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Apresentação</w:t>
      </w:r>
    </w:p>
    <w:p w:rsidR="00000000" w:rsidDel="00000000" w:rsidP="00000000" w:rsidRDefault="00000000" w:rsidRPr="00000000" w14:paraId="00000002">
      <w:pPr>
        <w:spacing w:after="0"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3">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Caras leitoras e leitores,</w:t>
      </w:r>
    </w:p>
    <w:p w:rsidR="00000000" w:rsidDel="00000000" w:rsidP="00000000" w:rsidRDefault="00000000" w:rsidRPr="00000000" w14:paraId="0000000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É com grande prazer que apresentamos o livro “Mulheres, Justiça e Direitos Humanos”, uma coletânea de textos escritos por autoras dedicadas a desvendar, analisar e desafiar a complexa teia de violência de gênero, raça e classe. A obra, composta por quinze capítulos, é fruto do engajamento e da expertise de 17 feministas, entre acadêmicas e militantes. Apresenta uma profunda exploração de diversas dimensões da violência contra a mulher no Brasil, trazendo à tona questões cruciais e, muitas vezes, silenciadas. Oferece, assim, um panorama amplo e multidisciplinar que percorre desde práticas restaurativas no contexto da violência doméstica até a interseccionalidade no âmbito político e laboral, passando pelo feminicídio reprodutivo, violência sexual, reforma psiquiátrica, desafios migratórios e racismo religioso.</w:t>
      </w:r>
    </w:p>
    <w:p w:rsidR="00000000" w:rsidDel="00000000" w:rsidP="00000000" w:rsidRDefault="00000000" w:rsidRPr="00000000" w14:paraId="00000005">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Mais detalhadamente, as autoras Cristiane Brandão Augusto e Roberta Barbosa Miranda abrem o livro com uma análise da justiça restaurativa como instrumento na busca por resoluções de conflito e seus desafios em casos de vítimas mulheres. Na sequência, Carolina Cagetti nos leva a uma investigação profunda sobre o reconhecimento da manifestação de violência feminicida em abortos inseguros, dialogando, de certa maneira, com o tema dos Direitos sexuais e reprodutivos explorado por Christina Almeida da Costa, no capítulo seguinte. </w:t>
      </w:r>
    </w:p>
    <w:p w:rsidR="00000000" w:rsidDel="00000000" w:rsidP="00000000" w:rsidRDefault="00000000" w:rsidRPr="00000000" w14:paraId="00000006">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Jaqueline Sério da Costa, por sua vez, aborda os desafios no cuidado antimanicomial de mulheres no contexto da Contrarreforma Psiquiátrica, texto que se aproxima do debate do capítulo 6, trazido por Júlia Machado Iglesias, quando recorre à Teoria Crítica dos Direitos Humanos para nos conduzir pelos caminhos para a eliminação dos manicômios judiciários e do sequestro da liberdade das mulheres com transtornos mentais em conflito com a lei.</w:t>
      </w:r>
    </w:p>
    <w:p w:rsidR="00000000" w:rsidDel="00000000" w:rsidP="00000000" w:rsidRDefault="00000000" w:rsidRPr="00000000" w14:paraId="0000000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Julia Santa Cruz Gutman retrata a luta e a resiliência das mães na trajetória da (re)construção de memórias de seus filhos, vítimas do Estado. E especificamente quando as ofendidas são crianças e adolescentes, o olhar de Mariana Nicolau de Oliveira se volta para as contribuições feministas na compreensão dos padrões de opressão nos marcadores etários e sexistas, no capítulo 8. Antes, porém, Maria Celeste Marques e Natália Queiroz Cabral Rodrigues desenvolvem a indispensável perspectiva de gênero, de raça e de classe no julgamento trabalhista, atentando para normativas e procedimentos nacionais e internacionais, como o Controle de Convencionalidade e a Convenção 156 da OIT.</w:t>
      </w:r>
    </w:p>
    <w:p w:rsidR="00000000" w:rsidDel="00000000" w:rsidP="00000000" w:rsidRDefault="00000000" w:rsidRPr="00000000" w14:paraId="00000008">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Dando visibilidade à vulnerabilidade das pessoas em situação de migração, Julia Moulin Almeida Pereira foca nos entraves para o acesso de mulheres migrantes forçadas aos seus direitos no Rio de Janeiro. Na mesma proposta de lentes voltadas a grupos específicos, Catarina Souza da Silva reflete sobre as interseções de gênero, raça e religião no sistema prisional.</w:t>
      </w:r>
    </w:p>
    <w:p w:rsidR="00000000" w:rsidDel="00000000" w:rsidP="00000000" w:rsidRDefault="00000000" w:rsidRPr="00000000" w14:paraId="00000009">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No campo da rota crítica para o acesso à Justiça, Rosangela Pereira da Silva examina os obstáculos enfrentados por quem se encontra em situação de violência doméstica. E retomando os desafios das vítimas de violência sexual no contexto de pandemia, Rosária de F. de Sá P. da Silva desvela as complexidades da proteção aos direitos da população feminina, especialmente quando consideramos as estatísticas de estupro de vulnerável intrafamiliar contra meninas e adolescentes.</w:t>
      </w:r>
    </w:p>
    <w:p w:rsidR="00000000" w:rsidDel="00000000" w:rsidP="00000000" w:rsidRDefault="00000000" w:rsidRPr="00000000" w14:paraId="0000000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No que concerne às pesquisas que incluem letalidade, Danielle Paula de Jesus de Souza nos chama a atenção para a importância de uma política pública efetiva de reparação às vítimas sobreviventes e às vítimas indiretas de feminicídio. Mergulhando nesta temática feminicida, Juliana Costa Vargas fecha a coletânea com as epistemologias feministas, sendo precedida pelas investigações de Laura Astrolabio dos Santos sobre violência política de gênero e raça, sub-representação e déficit democrático.</w:t>
      </w:r>
    </w:p>
    <w:p w:rsidR="00000000" w:rsidDel="00000000" w:rsidP="00000000" w:rsidRDefault="00000000" w:rsidRPr="00000000" w14:paraId="0000000B">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Com sua abordagem singular, portanto, cada capítulo oferece um olhar aprofundado sobre as diversas manifestações da violência contra mulheres e meninas e seus enfrentamentos, destacando a importância da reflexão, do diálogo e da ação para a transformação do cenário de desigualdades histórica e sistêmica. Acreditamos que esta obra possa representar uma fonte de inspiração para todas as pessoas interessadas em contribuir para um mundo mais justo e equitativo.</w:t>
      </w:r>
    </w:p>
    <w:p w:rsidR="00000000" w:rsidDel="00000000" w:rsidP="00000000" w:rsidRDefault="00000000" w:rsidRPr="00000000" w14:paraId="0000000C">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Boa leitura!</w:t>
      </w:r>
    </w:p>
    <w:p w:rsidR="00000000" w:rsidDel="00000000" w:rsidP="00000000" w:rsidRDefault="00000000" w:rsidRPr="00000000" w14:paraId="0000000D">
      <w:pPr>
        <w:spacing w:after="0" w:line="36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36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Cristiane Brandão Augusto, Julia Moulin Almeida Pereira e </w:t>
      </w:r>
    </w:p>
    <w:p w:rsidR="00000000" w:rsidDel="00000000" w:rsidP="00000000" w:rsidRDefault="00000000" w:rsidRPr="00000000" w14:paraId="0000000F">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Maria Celeste Simões Marques (Organizadoras)</w:t>
      </w: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Sumário</w:t>
      </w:r>
    </w:p>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APRESENTAÇÃO</w:t>
      </w:r>
      <w:r w:rsidDel="00000000" w:rsidR="00000000" w:rsidRPr="00000000">
        <w:rPr>
          <w:rFonts w:ascii="Times New Roman" w:cs="Times New Roman" w:eastAsia="Times New Roman" w:hAnsi="Times New Roman"/>
          <w:sz w:val="24"/>
          <w:szCs w:val="24"/>
          <w:rtl w:val="0"/>
        </w:rPr>
        <w:t xml:space="preserve"> …………………………………………………………………………1</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PRÁTICAS RESTAURATIVAS E VIOLÊNCIA DOMÉSTICA CONTRA A MULHER: LIMITES E DESAFIOS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FEMINICÍDIO REPRODUTIVO EM DECORRÊNCIA DE ABORTOS INSEGUROS NO BRASIL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 VIOLÊNCIA CONTRA AS MULHERES NA PANDEMIA: O ABORTO E OS DIREITOS SEXUAIS REPRODUTIVOS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CONTRARREFORMA PSIQUIÁTRICA E MANICÔMIOS JUDICIÁRIOS: DESAFIOS NO CUIDADO ANTIMANICOMIAL DE MULHERES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DO LUTO À LUTA: TRAJETÓRIA DAS MÃES NA (RE)CONSTRUÇÃO DA MEMÓRIA DE SEUS FILHOS, VÍTIMAS DO ESTADO, E NA (RE)SIGNIFICAÇÃO DE SUAS VIDAS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79</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MULHERES E MEDIDAS DE SEGURANÇA: OS CAMINHOS PARA A DERRUBADA DOS MANICÔMIOS JUDICIÁRIOS À LUZ DA TEORIA CRÍTICA DOS DIREITOS HUMANOS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INTERSECCIONALIDADE, O JULGAMENTO TRABALHISTA COM PERSPECTIVA DE GÊNERO, O CONTROLE DE CONVENCIONALIDADE E A CONVENÇÃO 156 DA OIT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114</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DESVENDANDO PADRÕES DE OPRESSÃO: CONTRIBUIÇÕES FEMINISTAS NA COMPREENSÃO DA RELAÇÃO ENTRE VIOLÊNCIA DE GÊNERO E VIOLÊNCIA CONTRA CRIANÇAS E ADOLESCENTES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OS DESAFIOS NO ACESSO DE MULHERES MIGRANTES FORÇADAS AOS SEUS DIREITOS NO RIO DE JANEIRO: UMA ANÁLISE INTERSECCIONAL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RACISMO RELIGIOSO E ENCARCERAMENTO: BREVES REFLEXÕES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164</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VIOLÊNCIA SEXUAL CONTRA MULHERES NA PANDEMIA: CONTEXTOS E DESAFIOS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175</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MULHERES EM SITUAÇÃO DE VIOLÊNCIA DOMÉSTICA E ACESSO AO SISTEMA DE JUSTIÇA: “A VIA CRUCIS” DAS MULHERES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190</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VIOLÊNCIA CONTRA A MULHER E </w:t>
      </w:r>
      <w:r w:rsidDel="00000000" w:rsidR="00000000" w:rsidRPr="00000000">
        <w:rPr>
          <w:rFonts w:ascii="Times New Roman" w:cs="Times New Roman" w:eastAsia="Times New Roman" w:hAnsi="Times New Roman"/>
          <w:sz w:val="24"/>
          <w:szCs w:val="24"/>
          <w:rtl w:val="0"/>
        </w:rPr>
        <w:t xml:space="preserve">FEMINICÍDIO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UMA POLÍTICA PÚBLICA EFETIVA DE REPARAÇÃO ÀS VÍTIMAS SOBREVIVENTES E ÀS VÍTIMAS INDIRETAS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206</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A VIOLÊNCIA POLÍTICA DE GÊNERO E RAÇA E A DIVISÃO SEXUAL E RACIAL DO TRABALHO COMO OBSTÁCULOS PARA O COMBATE À SUB-REPRESENTAÇÃO POLÍTICA DE MULHERES: DESAFIOS PARA O FORTALECIMENTO DA DEMOCRACIA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220</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PERSPECTIVAS DO FEMININO: CONTRIBUIÇÕES DO PENSAMENTO FEMINISTA AO ESTUDO DA VIOLÊNCIA DE GÊNERO E FEMINICÍDIO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230</w:t>
      </w:r>
    </w:p>
    <w:p w:rsidR="00000000" w:rsidDel="00000000" w:rsidP="00000000" w:rsidRDefault="00000000" w:rsidRPr="00000000" w14:paraId="0000002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PRÁTICAS RESTAURATIVAS E VIOLÊNCIA DOMÉSTICA CONTRA A MULHER: LIMITES E DESAFIOS</w:t>
      </w:r>
    </w:p>
    <w:p w:rsidR="00000000" w:rsidDel="00000000" w:rsidP="00000000" w:rsidRDefault="00000000" w:rsidRPr="00000000" w14:paraId="0000003F">
      <w:pPr>
        <w:spacing w:after="0" w:line="36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Cristiane Brandão Augusto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p w:rsidR="00000000" w:rsidDel="00000000" w:rsidP="00000000" w:rsidRDefault="00000000" w:rsidRPr="00000000" w14:paraId="00000040">
      <w:pPr>
        <w:spacing w:after="0" w:line="36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Roberta Barbosa Miranda</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tl w:val="0"/>
        </w:rPr>
      </w:r>
    </w:p>
    <w:p w:rsidR="00000000" w:rsidDel="00000000" w:rsidP="00000000" w:rsidRDefault="00000000" w:rsidRPr="00000000" w14:paraId="00000041">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043">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expectativa de minimizar o encarceramento em massa, com soluções alternativas às tradicionalmente apresentadas pela racionalidade penal moderna, e na perspectiva de potencializar o acesso à Justiça, bem como a participação ativa da vítima na resolução de conflitos, a Organização das Nações Unidas (ONU) regulamentou, em 1999, as práticas restaurativas na Justiça criminal com a Resolução nº 1999/26 e, posteriormente, com as Resoluções 2002/12 e 2000/14, estabelecendo princípios básicos para a sua utilização. No Brasil, a Resolução nº 225/2016</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do Conselho Nacional de Justiça dispõe sobre a Política Nacional de Justiça Restaurativa no país (CNJ, 2016):</w:t>
      </w:r>
    </w:p>
    <w:p w:rsidR="00000000" w:rsidDel="00000000" w:rsidP="00000000" w:rsidRDefault="00000000" w:rsidRPr="00000000" w14:paraId="0000004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Art. 1º. A Justiça Restaurativa constitui-se como um conjunto ordenado e sistêmico de princípios, métodos, técnicas e atividades próprias, que visa à conscientização sobre os fatores relacionais, institucionais e sociais motivadores de conflitos e violência, e por meio do qual os conflitos que geram dano, concreto ou abstrato, são solucionados de modo estruturado na seguinte forma (...) (CNJ, 2016).</w:t>
      </w:r>
    </w:p>
    <w:p w:rsidR="00000000" w:rsidDel="00000000" w:rsidP="00000000" w:rsidRDefault="00000000" w:rsidRPr="00000000" w14:paraId="0000004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literatura, o conceito de Justiça Restaurativa (JR) elaborado por Tony Marshall (1999) ganhou reconhecimento e notabilidade. Em seu </w:t>
      </w:r>
      <w:r w:rsidDel="00000000" w:rsidR="00000000" w:rsidRPr="00000000">
        <w:rPr>
          <w:rFonts w:ascii="Times New Roman" w:cs="Times New Roman" w:eastAsia="Times New Roman" w:hAnsi="Times New Roman"/>
          <w:i w:val="1"/>
          <w:sz w:val="24"/>
          <w:szCs w:val="24"/>
          <w:rtl w:val="0"/>
        </w:rPr>
        <w:t xml:space="preserve">Restorative Justice: an overview</w:t>
      </w:r>
      <w:r w:rsidDel="00000000" w:rsidR="00000000" w:rsidRPr="00000000">
        <w:rPr>
          <w:rFonts w:ascii="Times New Roman" w:cs="Times New Roman" w:eastAsia="Times New Roman" w:hAnsi="Times New Roman"/>
          <w:sz w:val="24"/>
          <w:szCs w:val="24"/>
          <w:rtl w:val="0"/>
        </w:rPr>
        <w:t xml:space="preserve">, explica que se trata de uma abordagem de resolução de problemas criminais que envolve as próprias partes e a comunidade em geral, num relacionamento ativo com agências legais e que não possui uma prática específica, mas sim uma série de princípios orientadores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voltados para a flexibilidade (criatividade) das reparações dos danos, numa lógica dialogal, contextualizada e preventiva. Ou ainda segundo ele, na concepção internacional comumente utilizada, a “</w:t>
      </w:r>
      <w:r w:rsidDel="00000000" w:rsidR="00000000" w:rsidRPr="00000000">
        <w:rPr>
          <w:rFonts w:ascii="Times New Roman" w:cs="Times New Roman" w:eastAsia="Times New Roman" w:hAnsi="Times New Roman"/>
          <w:i w:val="1"/>
          <w:sz w:val="24"/>
          <w:szCs w:val="24"/>
          <w:rtl w:val="0"/>
        </w:rPr>
        <w:t xml:space="preserve">Justiça Restaurativa é um processo através do qual as partes envolvidas em uma lesão específica decidem, coletivamente, como lidar com suas consequências e suas implicações para o futuro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(Marshall, 1999, p. 5, tradução nossa).</w:t>
      </w:r>
    </w:p>
    <w:p w:rsidR="00000000" w:rsidDel="00000000" w:rsidP="00000000" w:rsidRDefault="00000000" w:rsidRPr="00000000" w14:paraId="00000049">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Assim, reconduzindo às práticas comunitárias de justiça e com modelo inspirado em ritos indígenas em que prepondera o interesse coletivo, o processo restaurativo se baseia na informalidade e na dispensa (ou complementaridade) do ritual solene do </w:t>
      </w:r>
      <w:r w:rsidDel="00000000" w:rsidR="00000000" w:rsidRPr="00000000">
        <w:rPr>
          <w:rFonts w:ascii="Times New Roman" w:cs="Times New Roman" w:eastAsia="Times New Roman" w:hAnsi="Times New Roman"/>
          <w:sz w:val="24"/>
          <w:szCs w:val="24"/>
          <w:rtl w:val="0"/>
        </w:rPr>
        <w:t xml:space="preserve">J</w:t>
      </w:r>
      <w:r w:rsidDel="00000000" w:rsidR="00000000" w:rsidRPr="00000000">
        <w:rPr>
          <w:rFonts w:ascii="Times New Roman" w:cs="Times New Roman" w:eastAsia="Times New Roman" w:hAnsi="Times New Roman"/>
          <w:color w:val="000000"/>
          <w:sz w:val="24"/>
          <w:szCs w:val="24"/>
          <w:rtl w:val="0"/>
        </w:rPr>
        <w:t xml:space="preserve">udiciário. Nos encontros estritamente voluntários, as intervenções de facilitadores utilizam técnicas de mediação, conciliação e transação, objetivando suprir necessidades das partes e da coletividade, bem como lograr a pacificação e a reintegração social responsável e consubstancial. </w:t>
      </w:r>
      <w:r w:rsidDel="00000000" w:rsidR="00000000" w:rsidRPr="00000000">
        <w:rPr>
          <w:rtl w:val="0"/>
        </w:rPr>
      </w:r>
    </w:p>
    <w:p w:rsidR="00000000" w:rsidDel="00000000" w:rsidP="00000000" w:rsidRDefault="00000000" w:rsidRPr="00000000" w14:paraId="0000004A">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paradigma restaurativo, inspirado nas epistemes abolicionistas</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propõe uma “troca de lentes” (Zehr, 2008) de um direito penal de perspectiva retributiva para uma construção consensual de respostas aos conflitos sociais, redimensionando o papel das vítimas na tomada de decisões e rompendo com o sistema de apropriação do conflito pelo Estado (Ávila, 2020).</w:t>
      </w:r>
    </w:p>
    <w:p w:rsidR="00000000" w:rsidDel="00000000" w:rsidP="00000000" w:rsidRDefault="00000000" w:rsidRPr="00000000" w14:paraId="0000004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Louk Hulsman, um dos principais autores e defensores do abolicionismo penal, ao criticar as práticas penais a partir do conceito e existência do crime como fenômeno culpável, advoga que uma outra linguagem abriria a possibilidade para novos olhares e interpretações de uma situação conflituosa. Se cada situação é única, única será a sua solução, logo o conflito é o ponto de partida para sua resolução, não devendo existir um procedimento preestabelecido (Hulsman e Celis, 1997, p. 95-104). Dito de outro modo, o sistema de responsabilização pelos conflitos considerados como criminais deve ser feito de forma dialética, e não teórica e pré-formulada ao conflito, um objeto construído pelo sujeito ao mesmo tempo em que o sujeito é também formado pelo objeto.</w:t>
      </w:r>
    </w:p>
    <w:p w:rsidR="00000000" w:rsidDel="00000000" w:rsidP="00000000" w:rsidRDefault="00000000" w:rsidRPr="00000000" w14:paraId="0000004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alternativa, a teoria abolicionista entende que as situações-problema devem ser solucionadas por mecanismos formais – não vinculados ao sistema penal (como o direito civil e o administrativo) – e informais, através da comunidade. Neste sentido, a visão sobre os conflitos sociais e sobre a responsabilidade penal não corresponderia a um enquadramento estático, tendo o cárcere como fim em si mesmo, senão a um processo grupal, adaptado e transformado de acordo com a realidade social e histórica em uma </w:t>
      </w:r>
      <w:r w:rsidDel="00000000" w:rsidR="00000000" w:rsidRPr="00000000">
        <w:rPr>
          <w:rFonts w:ascii="Times New Roman" w:cs="Times New Roman" w:eastAsia="Times New Roman" w:hAnsi="Times New Roman"/>
          <w:i w:val="1"/>
          <w:sz w:val="24"/>
          <w:szCs w:val="24"/>
          <w:rtl w:val="0"/>
        </w:rPr>
        <w:t xml:space="preserve">práxis </w:t>
      </w:r>
      <w:r w:rsidDel="00000000" w:rsidR="00000000" w:rsidRPr="00000000">
        <w:rPr>
          <w:rFonts w:ascii="Times New Roman" w:cs="Times New Roman" w:eastAsia="Times New Roman" w:hAnsi="Times New Roman"/>
          <w:sz w:val="24"/>
          <w:szCs w:val="24"/>
          <w:rtl w:val="0"/>
        </w:rPr>
        <w:t xml:space="preserve">(Freire, 2013, p.52) capaz de lançar os fins para a concretização política transformadora, em que pensamento e ação são construídos simultânea e coletivamente. Ofensor, vítima, comunidade em geral, Estado, familiares, amigos, dentre outras figuras intervenientes, são peças fundamentais para uma solução, em tese, recompensadora e apaziguadora.</w:t>
      </w:r>
    </w:p>
    <w:p w:rsidR="00000000" w:rsidDel="00000000" w:rsidP="00000000" w:rsidRDefault="00000000" w:rsidRPr="00000000" w14:paraId="0000004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dessa perspectiva, busca-se convencer que essa forma de resolução de conflitos é capaz de cumprir uma função inovadora de transformação social, demonstrando empiricamente</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que uma sociedade sem prisões não se encontra somente num horizonte de sentido, mas, sim, que órgãos públicos vêm instrumentalizando mecanismos de viabilidade desse projeto.</w:t>
      </w:r>
    </w:p>
    <w:p w:rsidR="00000000" w:rsidDel="00000000" w:rsidP="00000000" w:rsidRDefault="00000000" w:rsidRPr="00000000" w14:paraId="0000004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2019, em um mapeamento dos programas de JR na Justiça comum brasileira, Federal e Estadual, somente três dos 31 Tribunais que responderam aos questionários afirmaram não possuir nenhum tipo de proposta de implementação. Verificou-se que, mesmo presente em praticamente toda a Federação, a iniciativa ainda é incipiente e sempre limitada aos crimes de baixo e médio potencial ofensivo (CNJ, 2019). Ademais, por indefinição conceitual e metodológica, as experiências afiguram-se completamente distintas entre si, podendo envolver sessões de mediação, círculos restaurativos, entre outros (Ávila, 2020, p. 206)</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dimensões negociais do conflito se mostram particularmente complexas quando envolvem violências sofridas por mulheres e crianças em contexto de relações domésticas, familiares ou íntimas de afeto (VD</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As práticas podem levar à sua revitimização, convertendo uma proposta, em tese, transformadora das estruturas em mais uma forma de violência institucional</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ensaio pretende, assim, contribuir para o extenso debate sobre limites e desafios de políticas alternativas ao retributivismo estatal nesses conflitos específicos de violência de gênero, mapeando as principais promessas e preocupações quanto ao uso do restaurativismo nos casos acobertados pela Lei Maria da Penha</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Para isso, dividiremos o texto em três partes: uma breve análise retrospectiva sobre práticas negociais de conflitos em sede de VD a partir da experiência brasileira do Juizados Especiais Criminais; a (in)compatibilidade entre os princípios restaurativos e as políticas públicas de enfrentamento às violências domésticas contra mulheres e meninas; e as recomendações mínimas para viabilizar um efetivo acesso à Justiça em casos de vítimas historicamente vulnerabilizadas por um </w:t>
      </w:r>
      <w:r w:rsidDel="00000000" w:rsidR="00000000" w:rsidRPr="00000000">
        <w:rPr>
          <w:rFonts w:ascii="Times New Roman" w:cs="Times New Roman" w:eastAsia="Times New Roman" w:hAnsi="Times New Roman"/>
          <w:i w:val="1"/>
          <w:sz w:val="24"/>
          <w:szCs w:val="24"/>
          <w:rtl w:val="0"/>
        </w:rPr>
        <w:t xml:space="preserve">continuum </w:t>
      </w:r>
      <w:r w:rsidDel="00000000" w:rsidR="00000000" w:rsidRPr="00000000">
        <w:rPr>
          <w:rFonts w:ascii="Times New Roman" w:cs="Times New Roman" w:eastAsia="Times New Roman" w:hAnsi="Times New Roman"/>
          <w:sz w:val="24"/>
          <w:szCs w:val="24"/>
          <w:rtl w:val="0"/>
        </w:rPr>
        <w:t xml:space="preserve">de agressões marcadas por assimetrias de gênero, principalmente quando interseccionadas com outros marcadores sociais.      </w:t>
      </w:r>
    </w:p>
    <w:p w:rsidR="00000000" w:rsidDel="00000000" w:rsidP="00000000" w:rsidRDefault="00000000" w:rsidRPr="00000000" w14:paraId="0000005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Composição de danos, transação penal e violência doméstica</w:t>
      </w:r>
    </w:p>
    <w:p w:rsidR="00000000" w:rsidDel="00000000" w:rsidP="00000000" w:rsidRDefault="00000000" w:rsidRPr="00000000" w14:paraId="0000005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1995, com a promulgação da Lei 9.099, foram criados os Juizados Especiais Criminais (JECrims), regulamentando o art. 98, I, da Constituição Federal de 88. Com o objetivo de promover acesso à Justiça através de composição de litígios de forma célere e desburocratizada, esse sistema preza pela economia processual e informalidade, com destaque para a transação penal e conciliação nos crimes considerados de menor potencial ofensivo. </w:t>
      </w:r>
    </w:p>
    <w:p w:rsidR="00000000" w:rsidDel="00000000" w:rsidP="00000000" w:rsidRDefault="00000000" w:rsidRPr="00000000" w14:paraId="0000005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inovação na época, portanto, se tornou mais acentuada pela previsão de acordos ou transações, no desígnio de se efetivar, ao mesmo tempo, uma participação mais ativa da vítima no processo penal, com a reparação do dano causado pelo ilícito, e de minimizar o encarceramento quando a pena máxima da infração não ultrapassasse dois anos</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O entusiasmo dos representantes judiciais desta política criminal já refletia muito da crença na potência desses mecanismos alternativos à prisão</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a constatação de que, no superlotado nascimento dos Juizados, a maior parte dos registros de ocorrência (em torno de 70%) de sua competência versava sobre violência doméstica e familiar contra a mulher (Campos e Carvalho, 2006, p. 419) acendeu um alerta para os movimentos feministas sobre como o tratamento jurídico dispensado aprofundava as assimetrias de gênero. Não só questões físico-estruturais dificultavam a resposta célere e informal, com escuta qualificada da vítima e um espaço negocial humanizado, como também uma cultura jurídica oficial hierarquizada (e hierarquizante) (Augusto, 2004), de perfil autoritário e descompromissada com a perspectiva de gênero, transparecia (e transparece) a longa trajetória de um sistema de justiça sexista, racista e classista (Davis, 2018; Lima, Pezente, Hundertmark, 2021).</w:t>
      </w:r>
    </w:p>
    <w:p w:rsidR="00000000" w:rsidDel="00000000" w:rsidP="00000000" w:rsidRDefault="00000000" w:rsidRPr="00000000" w14:paraId="0000005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embora estivéssemos numa onda de efetivação de medidas de enfrentamento às violências contra as mulheres, mais presente em nosso país a partir da década de 80 – criação do Conselho Nacional dos Direitos da Mulher (1985); das DEAMs (1985); promulgação de princípios e garantias constitucionais (1988); Convenção de Belém do Pará (1994) etc. –, a Lei 9.099/95 passou a representar um retrocesso, inclusive por, paradoxalmente, considerar de menor potencial ofensivo uma violação aos Direitos Humanos</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58">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9">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violência doméstica, por se tratar de comportamento reiterado e cotidiano, carrega consigo grau de comprometimento emocional (medo paralisante, p. ex.) que impede as mulheres de romper a situação violenta e de evitar outros delitos simultaneamente cometidos (estupro, cárcere privado, entre outros). A noção de delito de menor potencial ofensivo ignora, portanto, a escalada da violência e seu verdadeiro potencial ofensivo. Inúmeros estudos têm demonstrado que a maioria dos homicídios cometidos contra as mulheres, os chamados crimes passionais, ocorrem imediatamente após a separação. Nesses casos, as histórias se repetem: inúmeras tentativas de separação, seguidas de agressões e ameaças, culminam em homicídio. (Campos; Carvalho, 2006, p. 414).</w:t>
      </w:r>
    </w:p>
    <w:p w:rsidR="00000000" w:rsidDel="00000000" w:rsidP="00000000" w:rsidRDefault="00000000" w:rsidRPr="00000000" w14:paraId="0000005A">
      <w:pP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B">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a"/>
          <w:sz w:val="24"/>
          <w:szCs w:val="24"/>
          <w:rtl w:val="0"/>
        </w:rPr>
        <w:t xml:space="preserve">Sem dúvida, o movimento pelo fim do modelo conciliatório marcado pelo pagamento de cestas básicas ou multas, pela naturalização da VD e pela maior exposição das mulheres a situações de risco, foi de extrema expressividade. O</w:t>
      </w:r>
      <w:r w:rsidDel="00000000" w:rsidR="00000000" w:rsidRPr="00000000">
        <w:rPr>
          <w:rFonts w:ascii="Times New Roman" w:cs="Times New Roman" w:eastAsia="Times New Roman" w:hAnsi="Times New Roman"/>
          <w:color w:val="000000"/>
          <w:sz w:val="24"/>
          <w:szCs w:val="24"/>
          <w:rtl w:val="0"/>
        </w:rPr>
        <w:t xml:space="preserve"> caráter patrimonial destas medidas, associado ao descompromisso com a atenção à condição de sub</w:t>
      </w:r>
      <w:r w:rsidDel="00000000" w:rsidR="00000000" w:rsidRPr="00000000">
        <w:rPr>
          <w:rFonts w:ascii="Times New Roman" w:cs="Times New Roman" w:eastAsia="Times New Roman" w:hAnsi="Times New Roman"/>
          <w:sz w:val="24"/>
          <w:szCs w:val="24"/>
          <w:rtl w:val="0"/>
        </w:rPr>
        <w:t xml:space="preserve">ordin</w:t>
      </w:r>
      <w:r w:rsidDel="00000000" w:rsidR="00000000" w:rsidRPr="00000000">
        <w:rPr>
          <w:rFonts w:ascii="Times New Roman" w:cs="Times New Roman" w:eastAsia="Times New Roman" w:hAnsi="Times New Roman"/>
          <w:color w:val="000000"/>
          <w:sz w:val="24"/>
          <w:szCs w:val="24"/>
          <w:rtl w:val="0"/>
        </w:rPr>
        <w:t xml:space="preserve">ação </w:t>
      </w:r>
      <w:r w:rsidDel="00000000" w:rsidR="00000000" w:rsidRPr="00000000">
        <w:rPr>
          <w:rFonts w:ascii="Times New Roman" w:cs="Times New Roman" w:eastAsia="Times New Roman" w:hAnsi="Times New Roman"/>
          <w:sz w:val="24"/>
          <w:szCs w:val="24"/>
          <w:rtl w:val="0"/>
        </w:rPr>
        <w:t xml:space="preserve">sociohistórica</w:t>
      </w:r>
      <w:r w:rsidDel="00000000" w:rsidR="00000000" w:rsidRPr="00000000">
        <w:rPr>
          <w:rFonts w:ascii="Times New Roman" w:cs="Times New Roman" w:eastAsia="Times New Roman" w:hAnsi="Times New Roman"/>
          <w:color w:val="000000"/>
          <w:sz w:val="24"/>
          <w:szCs w:val="24"/>
          <w:rtl w:val="0"/>
        </w:rPr>
        <w:t xml:space="preserve"> da mulher, além da ausência de uma postura política coerente com a noção de violência de gênero como desrespeito a direitos humanos – por isso, incompatível com a natureza de “infrações de menor potencial ofensivo” – questionaram a aplicabilidade das normas dos Juizados Especiais Criminais (JECrims), com razão. Questionaram, inclusive, porque o estímulo às conciliações muitas vezes incitava a vítima à não-representação, levando à não instauração de proce</w:t>
      </w:r>
      <w:r w:rsidDel="00000000" w:rsidR="00000000" w:rsidRPr="00000000">
        <w:rPr>
          <w:rFonts w:ascii="Times New Roman" w:cs="Times New Roman" w:eastAsia="Times New Roman" w:hAnsi="Times New Roman"/>
          <w:sz w:val="24"/>
          <w:szCs w:val="24"/>
          <w:rtl w:val="0"/>
        </w:rPr>
        <w:t xml:space="preserve">dimentos públicos</w:t>
      </w:r>
      <w:r w:rsidDel="00000000" w:rsidR="00000000" w:rsidRPr="00000000">
        <w:rPr>
          <w:rFonts w:ascii="Times New Roman" w:cs="Times New Roman" w:eastAsia="Times New Roman" w:hAnsi="Times New Roman"/>
          <w:color w:val="000000"/>
          <w:sz w:val="24"/>
          <w:szCs w:val="24"/>
          <w:rtl w:val="0"/>
        </w:rPr>
        <w:t xml:space="preserve"> e tornando-se, então, um espaço de reprivatização da violência de gênero.</w:t>
      </w:r>
      <w:r w:rsidDel="00000000" w:rsidR="00000000" w:rsidRPr="00000000">
        <w:rPr>
          <w:rtl w:val="0"/>
        </w:rPr>
      </w:r>
    </w:p>
    <w:p w:rsidR="00000000" w:rsidDel="00000000" w:rsidP="00000000" w:rsidRDefault="00000000" w:rsidRPr="00000000" w14:paraId="0000005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Ficou claro, </w:t>
      </w:r>
      <w:r w:rsidDel="00000000" w:rsidR="00000000" w:rsidRPr="00000000">
        <w:rPr>
          <w:rFonts w:ascii="Times New Roman" w:cs="Times New Roman" w:eastAsia="Times New Roman" w:hAnsi="Times New Roman"/>
          <w:sz w:val="24"/>
          <w:szCs w:val="24"/>
          <w:rtl w:val="0"/>
        </w:rPr>
        <w:t xml:space="preserve">naquela altura</w:t>
      </w:r>
      <w:r w:rsidDel="00000000" w:rsidR="00000000" w:rsidRPr="00000000">
        <w:rPr>
          <w:rFonts w:ascii="Times New Roman" w:cs="Times New Roman" w:eastAsia="Times New Roman" w:hAnsi="Times New Roman"/>
          <w:color w:val="000000"/>
          <w:sz w:val="24"/>
          <w:szCs w:val="24"/>
          <w:rtl w:val="0"/>
        </w:rPr>
        <w:t xml:space="preserve">, que os casos que desembocavam nos JECrims encontravam nessa função meramente conciliatória, pouco crível e eficaz, a incompatibilidade denunciadora de uma descrença da população feminina nos mecanismos estatais de acesso à Justiça. Es</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color w:val="000000"/>
          <w:sz w:val="24"/>
          <w:szCs w:val="24"/>
          <w:rtl w:val="0"/>
        </w:rPr>
        <w:t xml:space="preserve">a descrença no fluxo de Justiça criminal, que reforçava o distanciamento da submissão dos casos de </w:t>
      </w:r>
      <w:r w:rsidDel="00000000" w:rsidR="00000000" w:rsidRPr="00000000">
        <w:rPr>
          <w:rFonts w:ascii="Times New Roman" w:cs="Times New Roman" w:eastAsia="Times New Roman" w:hAnsi="Times New Roman"/>
          <w:sz w:val="24"/>
          <w:szCs w:val="24"/>
          <w:rtl w:val="0"/>
        </w:rPr>
        <w:t xml:space="preserve">conflito</w:t>
      </w:r>
      <w:r w:rsidDel="00000000" w:rsidR="00000000" w:rsidRPr="00000000">
        <w:rPr>
          <w:rFonts w:ascii="Times New Roman" w:cs="Times New Roman" w:eastAsia="Times New Roman" w:hAnsi="Times New Roman"/>
          <w:color w:val="000000"/>
          <w:sz w:val="24"/>
          <w:szCs w:val="24"/>
          <w:rtl w:val="0"/>
        </w:rPr>
        <w:t xml:space="preserve"> a um Judiciário não preparado e não disposto a lidar com a temática da violência de gênero, teria sido um dos motivos pelos quais a relação das Delegacias da Mulher com o movimento feminista e o aparato judicial com demais grupos organizados, ainda que forte no início, tornou-se enfraquecido com o tempo.</w:t>
      </w:r>
      <w:r w:rsidDel="00000000" w:rsidR="00000000" w:rsidRPr="00000000">
        <w:rPr>
          <w:rtl w:val="0"/>
        </w:rPr>
      </w:r>
    </w:p>
    <w:p w:rsidR="00000000" w:rsidDel="00000000" w:rsidP="00000000" w:rsidRDefault="00000000" w:rsidRPr="00000000" w14:paraId="0000005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Previsível. Com a criação dos Juizados da Violência Doméstica e Familiar contra a Mulher (JVDFMs), não foi diferente</w:t>
      </w:r>
      <w:r w:rsidDel="00000000" w:rsidR="00000000" w:rsidRPr="00000000">
        <w:rPr>
          <w:rFonts w:ascii="Times New Roman" w:cs="Times New Roman" w:eastAsia="Times New Roman" w:hAnsi="Times New Roman"/>
          <w:color w:val="000000"/>
          <w:sz w:val="24"/>
          <w:szCs w:val="24"/>
          <w:vertAlign w:val="superscript"/>
        </w:rPr>
        <w:footnoteReference w:customMarkFollows="0" w:id="14"/>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5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2006, a Lei 11.340 – dentre tantas outras previsões reconhecidamente positivas – buscou evitar os danos registrados em sede de JECrim, instituindo Juizados próprios para a violência doméstica e familiar contra a mulher (JVDFM). Com competência híbrida atenta à complexidade das relações familiares e conjugais, a expectativa da nova legislação residia numa resposta rápida à situação concreta de risco apresentado (com medidas protetivas de urgência – arts. 18 e seguintes, da Lei 11.340/06) e numa responsabilização associada à sua conscientização (vide grupos reflexivos para autores de violência</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sem a adoção de práticas conciliatórias. Não à toa, estabeleceu-se a proibição das medidas dos Juizados Especiais Criminais (JECrims) aos casos da Lei Maria da Penha (art. 41, Lei 11.340/2006</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a"/>
          <w:sz w:val="24"/>
          <w:szCs w:val="24"/>
          <w:rtl w:val="0"/>
        </w:rPr>
        <w:t xml:space="preserve">No entanto, a implementação de uma política com perspectiva de gênero, visando a estratégias jurisdicionais tanto de prevenção, quanto de punição daqueles que cometem formas de violência contra a mulher, não deixa de revelar a aposta na judicialização dos conflitos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a"/>
          <w:sz w:val="24"/>
          <w:szCs w:val="24"/>
          <w:rtl w:val="0"/>
        </w:rPr>
        <w:t xml:space="preserve"> e na judicialização pela esfera criminal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a"/>
          <w:sz w:val="24"/>
          <w:szCs w:val="24"/>
          <w:rtl w:val="0"/>
        </w:rPr>
        <w:t xml:space="preserve"> com todos os problemas já alertados pela Criminologia Crítica (Batista, 2008; Campos, 1999; Larrauri, 2007).</w:t>
      </w:r>
      <w:r w:rsidDel="00000000" w:rsidR="00000000" w:rsidRPr="00000000">
        <w:rPr>
          <w:rtl w:val="0"/>
        </w:rPr>
      </w:r>
    </w:p>
    <w:p w:rsidR="00000000" w:rsidDel="00000000" w:rsidP="00000000" w:rsidRDefault="00000000" w:rsidRPr="00000000" w14:paraId="0000006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Fato é que, se a via Penal tem a vantagem de dar visibilidade ao fenômeno social – como no termo “feminicídio”, propagando inclusive midiaticamente –, por outro lado, cobra seu custo. Como destaca Patsilí Toledo (2016), com a tipificação, o aumento de pena e outros recursos de recrudescimento penal, parece haver uma acomodação de outros setores, dando a impressão de que o “problema está resolvido”. Ademais, esta via não implica, necessariamente, redução de impunidade ou adesão sensível dos membros do Judiciário às questões de gênero. Ao contrário, corre-se o risco de se retomar fortemente o velho olhar de que outras violências, que não resultem em morte ou graves lesões, sejam, na verdade, infrações de menor potencial ofensivo.</w:t>
      </w:r>
    </w:p>
    <w:p w:rsidR="00000000" w:rsidDel="00000000" w:rsidP="00000000" w:rsidRDefault="00000000" w:rsidRPr="00000000" w14:paraId="0000006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Ressalte-se, ainda, o efeito de redução do fenômeno social a um ente jurídico e, como tal, passível de ser analisado à luz de um autor e de uma vítima. Assim, não se concebem as violências contra as mulheres dentro de um discurso de </w:t>
      </w:r>
      <w:r w:rsidDel="00000000" w:rsidR="00000000" w:rsidRPr="00000000">
        <w:rPr>
          <w:rFonts w:ascii="Times New Roman" w:cs="Times New Roman" w:eastAsia="Times New Roman" w:hAnsi="Times New Roman"/>
          <w:i w:val="1"/>
          <w:sz w:val="24"/>
          <w:szCs w:val="24"/>
          <w:rtl w:val="0"/>
        </w:rPr>
        <w:t xml:space="preserve">opressão</w:t>
      </w:r>
      <w:r w:rsidDel="00000000" w:rsidR="00000000" w:rsidRPr="00000000">
        <w:rPr>
          <w:rFonts w:ascii="Times New Roman" w:cs="Times New Roman" w:eastAsia="Times New Roman" w:hAnsi="Times New Roman"/>
          <w:sz w:val="24"/>
          <w:szCs w:val="24"/>
          <w:rtl w:val="0"/>
        </w:rPr>
        <w:t xml:space="preserve">, senão de </w:t>
      </w:r>
      <w:r w:rsidDel="00000000" w:rsidR="00000000" w:rsidRPr="00000000">
        <w:rPr>
          <w:rFonts w:ascii="Times New Roman" w:cs="Times New Roman" w:eastAsia="Times New Roman" w:hAnsi="Times New Roman"/>
          <w:i w:val="1"/>
          <w:sz w:val="24"/>
          <w:szCs w:val="24"/>
          <w:rtl w:val="0"/>
        </w:rPr>
        <w:t xml:space="preserve">vitimização</w:t>
      </w:r>
      <w:r w:rsidDel="00000000" w:rsidR="00000000" w:rsidRPr="00000000">
        <w:rPr>
          <w:rFonts w:ascii="Times New Roman" w:cs="Times New Roman" w:eastAsia="Times New Roman" w:hAnsi="Times New Roman"/>
          <w:sz w:val="24"/>
          <w:szCs w:val="24"/>
          <w:rtl w:val="0"/>
        </w:rPr>
        <w:t xml:space="preserve">; não se reconhece o componente </w:t>
      </w:r>
      <w:r w:rsidDel="00000000" w:rsidR="00000000" w:rsidRPr="00000000">
        <w:rPr>
          <w:rFonts w:ascii="Times New Roman" w:cs="Times New Roman" w:eastAsia="Times New Roman" w:hAnsi="Times New Roman"/>
          <w:i w:val="1"/>
          <w:sz w:val="24"/>
          <w:szCs w:val="24"/>
          <w:rtl w:val="0"/>
        </w:rPr>
        <w:t xml:space="preserve">coletivo</w:t>
      </w:r>
      <w:r w:rsidDel="00000000" w:rsidR="00000000" w:rsidRPr="00000000">
        <w:rPr>
          <w:rFonts w:ascii="Times New Roman" w:cs="Times New Roman" w:eastAsia="Times New Roman" w:hAnsi="Times New Roman"/>
          <w:sz w:val="24"/>
          <w:szCs w:val="24"/>
          <w:rtl w:val="0"/>
        </w:rPr>
        <w:t xml:space="preserve"> e estrutural da violência de gênero, senão de conflitos </w:t>
      </w:r>
      <w:r w:rsidDel="00000000" w:rsidR="00000000" w:rsidRPr="00000000">
        <w:rPr>
          <w:rFonts w:ascii="Times New Roman" w:cs="Times New Roman" w:eastAsia="Times New Roman" w:hAnsi="Times New Roman"/>
          <w:i w:val="1"/>
          <w:sz w:val="24"/>
          <w:szCs w:val="24"/>
          <w:rtl w:val="0"/>
        </w:rPr>
        <w:t xml:space="preserve">interpessoais</w:t>
      </w:r>
      <w:r w:rsidDel="00000000" w:rsidR="00000000" w:rsidRPr="00000000">
        <w:rPr>
          <w:rFonts w:ascii="Times New Roman" w:cs="Times New Roman" w:eastAsia="Times New Roman" w:hAnsi="Times New Roman"/>
          <w:sz w:val="24"/>
          <w:szCs w:val="24"/>
          <w:rtl w:val="0"/>
        </w:rPr>
        <w:t xml:space="preserve">; não se contextualiza o fato dentro de uma cultura patriarcal, de dominação masculina, senão agudizam-se os estereótipos do agressor perverso e da ofendida merecedora da tutela do Estado. Como alerta Vera Andrade, o próprio sistema penal reforça e relegitima toda a estrutura de violências vividas nas relações familiares e sociais ao submeter a mulher vítima de violência a situações de “discriminação, humilhação e estereotipia” (Andrade, 2012, p. 132). Assim, o controle formal do sistema penal funciona como um </w:t>
      </w:r>
      <w:r w:rsidDel="00000000" w:rsidR="00000000" w:rsidRPr="00000000">
        <w:rPr>
          <w:rFonts w:ascii="Times New Roman" w:cs="Times New Roman" w:eastAsia="Times New Roman" w:hAnsi="Times New Roman"/>
          <w:i w:val="1"/>
          <w:sz w:val="24"/>
          <w:szCs w:val="24"/>
          <w:rtl w:val="0"/>
        </w:rPr>
        <w:t xml:space="preserve">continuum</w:t>
      </w:r>
      <w:r w:rsidDel="00000000" w:rsidR="00000000" w:rsidRPr="00000000">
        <w:rPr>
          <w:rFonts w:ascii="Times New Roman" w:cs="Times New Roman" w:eastAsia="Times New Roman" w:hAnsi="Times New Roman"/>
          <w:sz w:val="24"/>
          <w:szCs w:val="24"/>
          <w:rtl w:val="0"/>
        </w:rPr>
        <w:t xml:space="preserve"> do sistema informal de controle observado nas relações íntimas de afeto.</w:t>
      </w:r>
    </w:p>
    <w:p w:rsidR="00000000" w:rsidDel="00000000" w:rsidP="00000000" w:rsidRDefault="00000000" w:rsidRPr="00000000" w14:paraId="0000006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operação reduz a complexidade do sexismo e da misoginia na sociedade patriarcal à imputação a alguém com culpabilidade, que agiu de forma livre e consciente (Copello, 2016). Subvaloriza-se, portanto, a subordinação da mulher num sistema estrutural e dinâmico, que circula pelos mais diversos segmentos sociais, incrustada no modo de produção capitalista e nas instituições do Estado, tanto quanto nas relações domésticas e familiares, constituindo um regime político, econômico, cultural e social (Saffioti, 2004; Saffioti e Almeida, 1995). </w:t>
      </w:r>
    </w:p>
    <w:p w:rsidR="00000000" w:rsidDel="00000000" w:rsidP="00000000" w:rsidRDefault="00000000" w:rsidRPr="00000000" w14:paraId="0000006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Olvida-se, igualmente, a dinamicidade da violência, incorrendo em um processo homogeneizante (Pasinato, 2011) que não permite abranger especificidades concernentes à raça, etnia, classe social e outros marcadores sociais, inibindo o cruzamento de dados que descortinam a hierarquia existente não só entre os gêneros, mas também entre as próprias mulheres.</w:t>
      </w:r>
    </w:p>
    <w:p w:rsidR="00000000" w:rsidDel="00000000" w:rsidP="00000000" w:rsidRDefault="00000000" w:rsidRPr="00000000" w14:paraId="00000064">
      <w:pPr>
        <w:spacing w:after="0" w:line="360" w:lineRule="auto"/>
        <w:ind w:firstLine="708"/>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Mas, diante de todas essas questões, seria a Justiça Restaurativa uma solução viável?</w:t>
      </w:r>
    </w:p>
    <w:p w:rsidR="00000000" w:rsidDel="00000000" w:rsidP="00000000" w:rsidRDefault="00000000" w:rsidRPr="00000000" w14:paraId="0000006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(in)compatibilidade entre as práticas restaurativas e o enfrentamento às violências domésticas</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tl w:val="0"/>
        </w:rPr>
      </w:r>
    </w:p>
    <w:p w:rsidR="00000000" w:rsidDel="00000000" w:rsidP="00000000" w:rsidRDefault="00000000" w:rsidRPr="00000000" w14:paraId="00000067">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8">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“Justiça Restaurativa pela Paz em Casa” foi o mote da então Presidente do Conselho Nacional de Justiça e do Supremo Tribunal Federal em 2017, Ministra Cármen Lúcia, para incentivar a inclusão dessa abordagem na programação do “Justiça pela Paz em Casa”. Segundo a postagem do próprio CNJ, tal Programa (uma parceria com os Tribunais estaduais) tem como objetivo ampliar a efetividade da Lei 11.340, </w:t>
      </w:r>
      <w:r w:rsidDel="00000000" w:rsidR="00000000" w:rsidRPr="00000000">
        <w:rPr>
          <w:rFonts w:ascii="Times New Roman" w:cs="Times New Roman" w:eastAsia="Times New Roman" w:hAnsi="Times New Roman"/>
          <w:i w:val="1"/>
          <w:sz w:val="24"/>
          <w:szCs w:val="24"/>
          <w:rtl w:val="0"/>
        </w:rPr>
        <w:t xml:space="preserve">“concentrando esforços para agilizar o andamento dos processos relacionados à violência de gênero” </w:t>
      </w:r>
      <w:r w:rsidDel="00000000" w:rsidR="00000000" w:rsidRPr="00000000">
        <w:rPr>
          <w:rFonts w:ascii="Times New Roman" w:cs="Times New Roman" w:eastAsia="Times New Roman" w:hAnsi="Times New Roman"/>
          <w:sz w:val="24"/>
          <w:szCs w:val="24"/>
          <w:rtl w:val="0"/>
        </w:rPr>
        <w:t xml:space="preserve">(CNJ, s/d). Assim, agilizando os feitos com práticas restaurativas, pretendia-se a </w:t>
      </w:r>
      <w:r w:rsidDel="00000000" w:rsidR="00000000" w:rsidRPr="00000000">
        <w:rPr>
          <w:rFonts w:ascii="Times New Roman" w:cs="Times New Roman" w:eastAsia="Times New Roman" w:hAnsi="Times New Roman"/>
          <w:i w:val="1"/>
          <w:sz w:val="24"/>
          <w:szCs w:val="24"/>
          <w:rtl w:val="0"/>
        </w:rPr>
        <w:t xml:space="preserve">“recomposição das famílias que vivenciam o drama da violência doméstica[...]e a importância do foco familiar no combate à violência ao lembrar que, nessas situações, todos são atingidos e, mais profundamente, as crianças” </w:t>
      </w:r>
      <w:r w:rsidDel="00000000" w:rsidR="00000000" w:rsidRPr="00000000">
        <w:rPr>
          <w:rFonts w:ascii="Times New Roman" w:cs="Times New Roman" w:eastAsia="Times New Roman" w:hAnsi="Times New Roman"/>
          <w:sz w:val="24"/>
          <w:szCs w:val="24"/>
          <w:rtl w:val="0"/>
        </w:rPr>
        <w:t xml:space="preserve">(CNJ, 2017)</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color w:val="929292"/>
          <w:sz w:val="24"/>
          <w:szCs w:val="24"/>
          <w:highlight w:val="white"/>
          <w:rtl w:val="0"/>
        </w:rPr>
        <w:t xml:space="preserve"> </w:t>
      </w:r>
      <w:r w:rsidDel="00000000" w:rsidR="00000000" w:rsidRPr="00000000">
        <w:rPr>
          <w:rtl w:val="0"/>
        </w:rPr>
      </w:r>
    </w:p>
    <w:p w:rsidR="00000000" w:rsidDel="00000000" w:rsidP="00000000" w:rsidRDefault="00000000" w:rsidRPr="00000000" w14:paraId="00000069">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 legal para o cabimento desse conjunto de métodos e técnicas nas conflitualidades do âmbito da Lei Maria da Penha está na mesma Resolução 225/2016, do CNJ que, em seu art. 24, expressa claramente o estímulo à sua adoção pelas Coordenadorias Estaduais da Mulher em Situação de Violência Doméstica e Familiar dos Tribunais estaduais</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Tomando como referência os princípios básicos da JR, um resultado restaurativo não se restringiria a uma resposta material (indenização, reparação, compensação) e/ou simbólica (verificação dos acontecimentos, pedidos de desculpas e desculpas oficiais, reconhecimento público do dano causado, satisfação com as medidas preventivas tomadas, cerimônia de celebração, garantias de não repetição e serviço voluntário à comunidade ou organização da sociedade civil). Seus praticantes tendem a crer que o que é mais importante é a adesão voluntária a um amplo conjunto de valores como a verdade, a justiça, a segurança física e emocional, o empoderamento, a proteção de direitos, a solidariedade, o respeito e a transparência (UNODC, 2020, p. 13).  </w:t>
      </w:r>
    </w:p>
    <w:p w:rsidR="00000000" w:rsidDel="00000000" w:rsidP="00000000" w:rsidRDefault="00000000" w:rsidRPr="00000000" w14:paraId="0000006B">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os objetivos a serem alcançados envolvem: a) Apoiar as vítimas, dar-lhes voz e respostas, incentivá-las a exprimir suas necessidades e desejos, permitir-lhes participar no processo de resolução e oferecer-lhes assistência; b) Reparar parcialmente as relações afetadas pelo crime por meio de consensos sobre a melhor forma de resposta; c) Reafirmar os valores da comunidade e denunciar o comportamento criminoso; d) Incentivar a que todas as pessoas interessadas assumam suas devidas responsabilidades, em especial os ofensores; e) Identificar resultados restauradores e voltados para o futuro; f) Prevenir a reincidência, encorajando a mudança em cada um dos ofensores e facilitando a sua reinserção na comunidade (UNODC, 2020, p. 7-9). </w:t>
      </w:r>
    </w:p>
    <w:p w:rsidR="00000000" w:rsidDel="00000000" w:rsidP="00000000" w:rsidRDefault="00000000" w:rsidRPr="00000000" w14:paraId="0000006C">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os pilares que alicerçam as três concepções quanto aos seus objetivos fundamentais são: a concepção do </w:t>
      </w:r>
      <w:r w:rsidDel="00000000" w:rsidR="00000000" w:rsidRPr="00000000">
        <w:rPr>
          <w:rFonts w:ascii="Times New Roman" w:cs="Times New Roman" w:eastAsia="Times New Roman" w:hAnsi="Times New Roman"/>
          <w:i w:val="1"/>
          <w:sz w:val="24"/>
          <w:szCs w:val="24"/>
          <w:rtl w:val="0"/>
        </w:rPr>
        <w:t xml:space="preserve">encontro</w:t>
      </w:r>
      <w:r w:rsidDel="00000000" w:rsidR="00000000" w:rsidRPr="00000000">
        <w:rPr>
          <w:rFonts w:ascii="Times New Roman" w:cs="Times New Roman" w:eastAsia="Times New Roman" w:hAnsi="Times New Roman"/>
          <w:sz w:val="24"/>
          <w:szCs w:val="24"/>
          <w:rtl w:val="0"/>
        </w:rPr>
        <w:t xml:space="preserve">, enfatizando a liberdade de manifestação para a resolução do conflito; a concepção da </w:t>
      </w:r>
      <w:r w:rsidDel="00000000" w:rsidR="00000000" w:rsidRPr="00000000">
        <w:rPr>
          <w:rFonts w:ascii="Times New Roman" w:cs="Times New Roman" w:eastAsia="Times New Roman" w:hAnsi="Times New Roman"/>
          <w:i w:val="1"/>
          <w:sz w:val="24"/>
          <w:szCs w:val="24"/>
          <w:rtl w:val="0"/>
        </w:rPr>
        <w:t xml:space="preserve">reparação</w:t>
      </w:r>
      <w:r w:rsidDel="00000000" w:rsidR="00000000" w:rsidRPr="00000000">
        <w:rPr>
          <w:rFonts w:ascii="Times New Roman" w:cs="Times New Roman" w:eastAsia="Times New Roman" w:hAnsi="Times New Roman"/>
          <w:sz w:val="24"/>
          <w:szCs w:val="24"/>
          <w:rtl w:val="0"/>
        </w:rPr>
        <w:t xml:space="preserve">, através de medidas compensatórias pelo dano causado; e a concepção da </w:t>
      </w:r>
      <w:r w:rsidDel="00000000" w:rsidR="00000000" w:rsidRPr="00000000">
        <w:rPr>
          <w:rFonts w:ascii="Times New Roman" w:cs="Times New Roman" w:eastAsia="Times New Roman" w:hAnsi="Times New Roman"/>
          <w:i w:val="1"/>
          <w:sz w:val="24"/>
          <w:szCs w:val="24"/>
          <w:rtl w:val="0"/>
        </w:rPr>
        <w:t xml:space="preserve">transformação</w:t>
      </w:r>
      <w:r w:rsidDel="00000000" w:rsidR="00000000" w:rsidRPr="00000000">
        <w:rPr>
          <w:rFonts w:ascii="Times New Roman" w:cs="Times New Roman" w:eastAsia="Times New Roman" w:hAnsi="Times New Roman"/>
          <w:sz w:val="24"/>
          <w:szCs w:val="24"/>
          <w:rtl w:val="0"/>
        </w:rPr>
        <w:t xml:space="preserve">, em que o modelo restaurativo é visto como forma de construção coletiva de justiça, modificando as práticas comunitárias, o agressor e a vítima, inclusive no tocante à sua autonomia e seu “empoderamento” (CNJ, 2018b, p. 59).</w:t>
      </w:r>
    </w:p>
    <w:p w:rsidR="00000000" w:rsidDel="00000000" w:rsidP="00000000" w:rsidRDefault="00000000" w:rsidRPr="00000000" w14:paraId="0000006D">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campo das ideias, as potencialidades da JR são, de fato, instigantes. A aposta na reparação do dano, atendendo aos interesses da vítima, a partir de escuta humanizada, representa muito mais os anseios de vítimas de VD do que a mera retribuição por meio da apenação (Augusto, 2015; Santos, Tonche, Aguiar, 2021). O enfrentamento à violência, com o estabelecimento de trocas dialógicas e informais, relações harmônicas e simétricas, não revitimizadoras, contribuiria para a promoção do fortalecimento das ofendidas, a conscientização de direitos de mulheres e meninas, bem como a diminuição dos níveis de estresse pós-traumático das vítimas diretas e indiretas. </w:t>
      </w:r>
    </w:p>
    <w:p w:rsidR="00000000" w:rsidDel="00000000" w:rsidP="00000000" w:rsidRDefault="00000000" w:rsidRPr="00000000" w14:paraId="0000006E">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plano empírico, igualmente, pesquisas em nível internacional demonstram variadas experiências positivas (CNJ, 2018a, p. 270-272; UNODC, 2020, p. 81), apesar das constantes preocupações com o apelo à paz social, desconsiderando marcadores de raça e classe, bem como as limitações do restaurativismo nas hipóteses de violações sexuais, violência doméstica e demais crimes graves:</w:t>
      </w:r>
    </w:p>
    <w:p w:rsidR="00000000" w:rsidDel="00000000" w:rsidP="00000000" w:rsidRDefault="00000000" w:rsidRPr="00000000" w14:paraId="0000006F">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Pesquisa realizada por Freitas (2011), relacionada à aplicação de círculos de justiça restaurativa em contexto de comunidades indígenas no Canadá e Austrália, documentou que a intersecção de marcadores de discriminação, como gênero e raça, cria ambientes socioculturais que podem silenciar ainda mais mulheres pertencentes a grupos minoritários. Freitas conclui que tal desempoderamento interseccional gera o grave risco de reforçar a alienação, exclusão e silenciamento das histórias das mulheres submetidas à violência. O risco desta revitimização exigiria a criação de garantias especiais, destinadas a neutralizar os riscos. </w:t>
      </w:r>
    </w:p>
    <w:p w:rsidR="00000000" w:rsidDel="00000000" w:rsidP="00000000" w:rsidRDefault="00000000" w:rsidRPr="00000000" w14:paraId="00000071">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Nova Zelândia, um dos berços das práticas restaurativas de inspiração indígena (Maori), há recomendação do Ministério da Justiça de que casos de violência familiar e sexual “nem sempre serão apropriados” para intervenções restaurativas (Ávila, 2020, p. 211).</w:t>
      </w:r>
    </w:p>
    <w:p w:rsidR="00000000" w:rsidDel="00000000" w:rsidP="00000000" w:rsidRDefault="00000000" w:rsidRPr="00000000" w14:paraId="00000072">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Nova Zelândia, Holanda, Canadá, Bélgica e outros países, nesse sentido, se alinham com as preocupações de respostas restaurativas a graves violações aos Direitos Humanos (UNODC, 2020). Mais contundente é a Recomendação Geral 33 do Comitê CEDAW para que Estados partes </w:t>
      </w:r>
      <w:r w:rsidDel="00000000" w:rsidR="00000000" w:rsidRPr="00000000">
        <w:rPr>
          <w:rFonts w:ascii="Times New Roman" w:cs="Times New Roman" w:eastAsia="Times New Roman" w:hAnsi="Times New Roman"/>
          <w:i w:val="1"/>
          <w:sz w:val="24"/>
          <w:szCs w:val="24"/>
          <w:rtl w:val="0"/>
        </w:rPr>
        <w:t xml:space="preserve">“assegurem que casos de violência contra as mulheres, incluindo violência doméstica, sob nenhuma circunstância sejam encaminhados para qualquer procedimento alternativo de resolução de disputas” </w:t>
      </w:r>
      <w:r w:rsidDel="00000000" w:rsidR="00000000" w:rsidRPr="00000000">
        <w:rPr>
          <w:rFonts w:ascii="Times New Roman" w:cs="Times New Roman" w:eastAsia="Times New Roman" w:hAnsi="Times New Roman"/>
          <w:sz w:val="24"/>
          <w:szCs w:val="24"/>
          <w:rtl w:val="0"/>
        </w:rPr>
        <w:t xml:space="preserve">(ONU, 2015, p. 23).</w:t>
      </w:r>
    </w:p>
    <w:p w:rsidR="00000000" w:rsidDel="00000000" w:rsidP="00000000" w:rsidRDefault="00000000" w:rsidRPr="00000000" w14:paraId="00000074">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Brasil, embora o monitoramento dos resultados das práticas restaurativas na Justiça criminal seja escasso</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nos Tribunais que o realizam os resultados têm se mostrado assertivos, segundo algumas avaliações (CNJ, 2019). Outras, entretanto, não se afiguram tão otimistas. De acordo com Matos e Santana (2022, p. 13), de forma simplificada, podemos apontar para dois segmentos. Um favorável por apostar na desconstrução do aprendizado e/ou continuidade da violência, gerando menos ofensas e proporcionando maior proteção à mulher; em sentido contrário, aquele que vê a utilização de vias de resolução do conflito alternativas à racionalidade penal moderna como facilitação à impunidade, pela naturalização da violência, e à reafirmação do poder patriarcal. </w:t>
      </w:r>
    </w:p>
    <w:p w:rsidR="00000000" w:rsidDel="00000000" w:rsidP="00000000" w:rsidRDefault="00000000" w:rsidRPr="00000000" w14:paraId="00000075">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Mais detalhadamente, seja como proposta para a área de família, como substituto ao processo penal ou como dispositivo adicional a este, a perspectiva a favor de sua incidência ressalta as vantagens dos valores da JR para as próprias mulheres: maior espaço de fala, intervenção individualizada, soluções práticas para questões cíveis ou construção de ferramental para a cessação da violência (Ávila, 2020, p. 209). No campo da autonomia, também argumenta-se positivamente, já que o protagonismo da mulher substituiria o estigma passivo de vítima tutelada pelo Estado por pessoa ativa, detentora de desejos</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(Santos, 2017).</w:t>
      </w:r>
    </w:p>
    <w:p w:rsidR="00000000" w:rsidDel="00000000" w:rsidP="00000000" w:rsidRDefault="00000000" w:rsidRPr="00000000" w14:paraId="00000076">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aspecto interessante levantado por Ávila (2020, p. 222) diz respeito à possibilidade de se aplicar a abordagem restaurativa para as hipóteses de retratação à representação, em especial na ameaça, ou em geral quando a manifestação da vítima é fundamental para o procedimento criminal. Considerando que muitas mulheres desistem de prosseguir com a judicialização, uma proposta que não reproduza desigualdades, nem naturalize a violência poderia ser mais benéfica do que o simples arquivamento do inquérito/processo.</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7">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Contrariamente à aplicabilidade da JR a esses casos, pesquisas brasileiras (Santos; Machado, 2018; Campos; Padão, 2023) advertem para a retomada da lógica negocial dos conflitos como um problema já identificado anteriormente entre nós. A trajetória experienciada pelas mulheres vítimas das antigas infrações penais de menor potencial ofensivo, nas tratativas judiciárias dos JECrims, logo renovou o alerta. Mesmo porque, nos “considerandos” da Resolução 225/2016, do CNJ, as referências à Lei 9.099 e o foco na “promoção da paz social” são explícitas. Tal enfoque tende a reforçar valores comunitários que, culturalmente, reproduzem estereótipos de gênero e parâmetros sexistas, senão também classistas e racistas.</w:t>
      </w:r>
    </w:p>
    <w:p w:rsidR="00000000" w:rsidDel="00000000" w:rsidP="00000000" w:rsidRDefault="00000000" w:rsidRPr="00000000" w14:paraId="00000078">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investigações no campo prático, verificou-se que, em geral no nosso país, a JR foi cooptada pelo sistema de Justiça criminal e incorporada à formalidade, ao autoritarismo e conservadorismo da justiça tradicional. Com efeito, uma “cultura da harmonia” não se coaduna com a coerção, própria, aí sim, de um Judiciário de formação e ação com tais características:</w:t>
      </w:r>
      <w:r w:rsidDel="00000000" w:rsidR="00000000" w:rsidRPr="00000000">
        <w:rPr>
          <w:rFonts w:ascii="Times New Roman" w:cs="Times New Roman" w:eastAsia="Times New Roman" w:hAnsi="Times New Roman"/>
          <w:color w:val="403d39"/>
          <w:sz w:val="24"/>
          <w:szCs w:val="24"/>
          <w:highlight w:val="white"/>
          <w:rtl w:val="0"/>
        </w:rPr>
        <w:t xml:space="preserve"> </w:t>
      </w:r>
      <w:r w:rsidDel="00000000" w:rsidR="00000000" w:rsidRPr="00000000">
        <w:rPr>
          <w:rFonts w:ascii="Times New Roman" w:cs="Times New Roman" w:eastAsia="Times New Roman" w:hAnsi="Times New Roman"/>
          <w:i w:val="1"/>
          <w:color w:val="403d39"/>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A postura inquisitorial [no processo penal brasileiro], por apresentar um déficit democrático evidente, não apenas favorece o punitivismo, como obstaculiza as alternativas” </w:t>
      </w:r>
      <w:r w:rsidDel="00000000" w:rsidR="00000000" w:rsidRPr="00000000">
        <w:rPr>
          <w:rFonts w:ascii="Times New Roman" w:cs="Times New Roman" w:eastAsia="Times New Roman" w:hAnsi="Times New Roman"/>
          <w:sz w:val="24"/>
          <w:szCs w:val="24"/>
          <w:highlight w:val="white"/>
          <w:rtl w:val="0"/>
        </w:rPr>
        <w:t xml:space="preserve">(Carvalho; Achutti, 2021, s/p).</w:t>
      </w:r>
      <w:r w:rsidDel="00000000" w:rsidR="00000000" w:rsidRPr="00000000">
        <w:rPr>
          <w:rtl w:val="0"/>
        </w:rPr>
      </w:r>
    </w:p>
    <w:p w:rsidR="00000000" w:rsidDel="00000000" w:rsidP="00000000" w:rsidRDefault="00000000" w:rsidRPr="00000000" w14:paraId="00000079">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Vera Andrade, na pesquisa capitaneada para o CNJ (2018b), também destaca esse protagonismo (personificado) do Poder Judiciário, seus atores e órgãos conexos, associado a um “ativismo” judicial baseado na politização do Judiciário. O conjunto principiológico da JR, todavia, a direciona para uma justiça inscrita no âmbito do humanismo e do pacifismo universalistas, forçando uma rediscussão sobre um novo ideal de Justiça e de reação, logo rediscussão sobre poder, controle social e dominação/emancipação.</w:t>
      </w:r>
    </w:p>
    <w:p w:rsidR="00000000" w:rsidDel="00000000" w:rsidP="00000000" w:rsidRDefault="00000000" w:rsidRPr="00000000" w14:paraId="0000007A">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da provocação ser absolutamente salutar e pertinente, com as práticas apropriadas e ressignificadas pela tradição escravocrata e inquisitorial de nossas instituições estatais, os constructos patriarcais, classistas e racistas estruturais solidificam métodos e respostas antagônicas aos valores restaurativos. Por isso, não surpreende a constatação empírica de participação compulsória dos envolvidos, com pouca vocalização para a vítima e para a comunidade. </w:t>
      </w:r>
    </w:p>
    <w:p w:rsidR="00000000" w:rsidDel="00000000" w:rsidP="00000000" w:rsidRDefault="00000000" w:rsidRPr="00000000" w14:paraId="0000007B">
      <w:pPr>
        <w:tabs>
          <w:tab w:val="left" w:leader="none" w:pos="723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Igualmente, ressalta-se o não investimento em facilitadores preparados e compromissados, ocasionando a dependência de sua voluntariedade e impactando na falta de um processo seletivo específico e na capacitação de base teórica sólida e crítica</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 A adoção quase que exclusiva dos chamados círculos de construção de paz soma-se ao coro dos problemas postos (Azevedo; Santos, 2021, p.753)</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Pesquisa realizada no Rio Grande do Sul concorda, em resultados parciais, que a funcionalidade das práticas restaurativas dentro do sistema repressivo e punitivo massifica os conflitos e dissolve a singularidade de cada caso. A ausência de participação ativa das partes sufoca os princípios da JR, dando predominância e expansão ao tradicional sistema de Justiça criminal, gerando riscos às pessoas envolvidas e deixando à margem das </w:t>
      </w:r>
      <w:r w:rsidDel="00000000" w:rsidR="00000000" w:rsidRPr="00000000">
        <w:rPr>
          <w:rFonts w:ascii="Times New Roman" w:cs="Times New Roman" w:eastAsia="Times New Roman" w:hAnsi="Times New Roman"/>
          <w:i w:val="1"/>
          <w:sz w:val="24"/>
          <w:szCs w:val="24"/>
          <w:rtl w:val="0"/>
        </w:rPr>
        <w:t xml:space="preserve">“propostas filosóficas e políticas de justiça o corpo e a vida das mulheres, nos marcos da diversidade e da pluralidade”</w:t>
      </w:r>
      <w:r w:rsidDel="00000000" w:rsidR="00000000" w:rsidRPr="00000000">
        <w:rPr>
          <w:rFonts w:ascii="Times New Roman" w:cs="Times New Roman" w:eastAsia="Times New Roman" w:hAnsi="Times New Roman"/>
          <w:sz w:val="24"/>
          <w:szCs w:val="24"/>
          <w:rtl w:val="0"/>
        </w:rPr>
        <w:t xml:space="preserve"> (Azevedo; Santos, 2021, p. 775).</w:t>
      </w:r>
    </w:p>
    <w:p w:rsidR="00000000" w:rsidDel="00000000" w:rsidP="00000000" w:rsidRDefault="00000000" w:rsidRPr="00000000" w14:paraId="0000007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Aliás, encontros forçados entre a vítima e o agressor, sem considerar as peculiaridades do caso concreto e as assimetrias de gênero, pretendem, via de regra, a restauração das estruturas familiares padrão, retroalimentando estereótipos, hierarquizações e potencializando outras manifestações violentas. Por conseguinte, aponta-se para a possibilidade de manipulação do processo pelo autor da violência, a culpabilização da vítima e sua revitimização e o não rompimento com a tolerância social para com a agressão contra mulheres e meninas. Sem dúvida, a inexistência de perspectiva de gênero mantém a prevalência de uma lógica familista revitimizadora (Santos; Machado, 2018). </w:t>
      </w:r>
    </w:p>
    <w:p w:rsidR="00000000" w:rsidDel="00000000" w:rsidP="00000000" w:rsidRDefault="00000000" w:rsidRPr="00000000" w14:paraId="0000007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outra investigação também no Rio Grande do Sul, a autora relata limitações não só legais/técnicas (Recomendação Comitê Cedaw supra mencionada e o impedimento das medidas despenalizadoras da Lei 9.099 pela Lei 11.340), mas também estruturais/operacionais (falta de investimento em capacitação contínua, remunerada, e em adesão do público ao projeto, visto de forma personificada e sem sustentação institucional); contextuais/democráticas (reduzida participação das vítimas e da comunidade) e epistemológicas/ideológicas (resistência dos operadores do direito às mudanças do paradigma punitivo no sistema criminal) à plena consolidação desse modelo de justiça (Leida, 2019, p. 126-128).  </w:t>
      </w:r>
    </w:p>
    <w:p w:rsidR="00000000" w:rsidDel="00000000" w:rsidP="00000000" w:rsidRDefault="00000000" w:rsidRPr="00000000" w14:paraId="0000007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desafios na aplicação de modelos restaurativos nos casos que envolvem violência contra a mulher também não passaram despercebidos pelo CNJ que, em 2018, lançou um Relatório Analítico Propositivo sobre as práticas restaurativas no escopo da Lei Maria da Penha, apontando como riscos desse modelo (i) os desequilíbrios de poder nas relações; (ii) o potencial de manipulação do processo, devido a sua informalidade típica; e (iii) a ênfase na forma tradicional de reparação de danos, como pedidos de desculpas e reaproximação dos envolvidos. O relatório também direciona críticas ao mencionado silenciamento da vítima, com raras oportunidades de fala e de individualização de seu conflito, fazendo-a se perceber como numa “justiça em linha de montagem” (CNJ, 2018a).</w:t>
      </w:r>
    </w:p>
    <w:p w:rsidR="00000000" w:rsidDel="00000000" w:rsidP="00000000" w:rsidRDefault="00000000" w:rsidRPr="00000000" w14:paraId="0000008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riscos se interseccionam e se reforçam na medida em que o déficit democrático do Judiciário autoriza a sua sobreposição às pessoas envolvidas no conflito, retroalimentando o desequilíbrio de poder que, por sua vez, legitima a reprodução do desequilíbrio entre as partes, agudizada por marcadores sociais. Logo, abre-se campo para a manipulação do processo e para uma resposta “restaurativa” por meio de violência institucional e simbólica, ou até tirânica: </w:t>
      </w:r>
    </w:p>
    <w:p w:rsidR="00000000" w:rsidDel="00000000" w:rsidP="00000000" w:rsidRDefault="00000000" w:rsidRPr="00000000" w14:paraId="00000081">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um programa não será restaurativo se não conseguir evitar a dominação. Qualquer tentativa de um dos participantes em silenciar ou dominar o outro deve ser anulada. A ideia é estar contra o discurso de dominação de poder advinda de uma das partes e buscar o equilíbrio de poder entre os participantes. No entanto, como pontua Randell (2013), a informalidade do processo da justiça restaurativa pode produzir variados resultados, incluindo a tirania (Campos; Padão, 2023, p. 4).</w:t>
      </w:r>
    </w:p>
    <w:p w:rsidR="00000000" w:rsidDel="00000000" w:rsidP="00000000" w:rsidRDefault="00000000" w:rsidRPr="00000000" w14:paraId="00000083">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Para além da naturalização </w:t>
      </w:r>
    </w:p>
    <w:p w:rsidR="00000000" w:rsidDel="00000000" w:rsidP="00000000" w:rsidRDefault="00000000" w:rsidRPr="00000000" w14:paraId="00000085">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estímulo do CNJ à implementação e expansão da JR na VD transparece uma política judiciária de adoção inconteste e </w:t>
      </w:r>
      <w:r w:rsidDel="00000000" w:rsidR="00000000" w:rsidRPr="00000000">
        <w:rPr>
          <w:rFonts w:ascii="Times New Roman" w:cs="Times New Roman" w:eastAsia="Times New Roman" w:hAnsi="Times New Roman"/>
          <w:i w:val="1"/>
          <w:sz w:val="24"/>
          <w:szCs w:val="24"/>
          <w:rtl w:val="0"/>
        </w:rPr>
        <w:t xml:space="preserve">natural</w:t>
      </w:r>
      <w:r w:rsidDel="00000000" w:rsidR="00000000" w:rsidRPr="00000000">
        <w:rPr>
          <w:rFonts w:ascii="Times New Roman" w:cs="Times New Roman" w:eastAsia="Times New Roman" w:hAnsi="Times New Roman"/>
          <w:sz w:val="24"/>
          <w:szCs w:val="24"/>
          <w:rtl w:val="0"/>
        </w:rPr>
        <w:t xml:space="preserve"> de práticas conciliatórias em conflitos familiares. A paz em casa é a finalidade que, </w:t>
      </w:r>
      <w:r w:rsidDel="00000000" w:rsidR="00000000" w:rsidRPr="00000000">
        <w:rPr>
          <w:rFonts w:ascii="Times New Roman" w:cs="Times New Roman" w:eastAsia="Times New Roman" w:hAnsi="Times New Roman"/>
          <w:i w:val="1"/>
          <w:sz w:val="24"/>
          <w:szCs w:val="24"/>
          <w:rtl w:val="0"/>
        </w:rPr>
        <w:t xml:space="preserve">naturalmente</w:t>
      </w:r>
      <w:r w:rsidDel="00000000" w:rsidR="00000000" w:rsidRPr="00000000">
        <w:rPr>
          <w:rFonts w:ascii="Times New Roman" w:cs="Times New Roman" w:eastAsia="Times New Roman" w:hAnsi="Times New Roman"/>
          <w:sz w:val="24"/>
          <w:szCs w:val="24"/>
          <w:rtl w:val="0"/>
        </w:rPr>
        <w:t xml:space="preserve">, justifica a intervenção judicial</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através de métodos e procedimentos, para os quais, entretanto, a literatura feminista opõe inúmeras críticas.</w:t>
      </w:r>
    </w:p>
    <w:p w:rsidR="00000000" w:rsidDel="00000000" w:rsidP="00000000" w:rsidRDefault="00000000" w:rsidRPr="00000000" w14:paraId="0000008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tomando como fato que as práticas restaurativas vêm sendo aplicadas a situações de violência de gênero no Brasil (ainda que com todos os alertas e oposições), estudiosas e estudiosos do tema sugerem ações para minimizar o impacto negativo que instrumentos consensuais podem ter em relações de dominação-subordinação, como são as relações patriarcais.</w:t>
      </w:r>
    </w:p>
    <w:p w:rsidR="00000000" w:rsidDel="00000000" w:rsidP="00000000" w:rsidRDefault="00000000" w:rsidRPr="00000000" w14:paraId="0000008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evitar incidência irrestrita da JR, Campos e Padão (2023, p. 5) citam propostas de pesquisadores estrangeiros que, ou não a aconselham em relacionamentos íntimos e em casos de ameaça e perigo às vítimas e à comunidade, ou, quando houver desequilíbrio em VD, recomendam reuniões prévias com círculos de vítima (para fortalecê-las) e círculos de agressores</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(para desconstruir o negacionismo da infração), separadamente. </w:t>
      </w:r>
    </w:p>
    <w:p w:rsidR="00000000" w:rsidDel="00000000" w:rsidP="00000000" w:rsidRDefault="00000000" w:rsidRPr="00000000" w14:paraId="0000008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Cientes de que mulheres e meninas em situação de violência seguem em risco mesmo após buscarem o sistema de Justiça, sair de um contexto de opressão requer extrema cautela e estratégias adequadas para evitar revitimizações. Tal risco é dinâmico e deve ser avaliado em termos de probabilidade, não de possibilidade. </w:t>
      </w:r>
    </w:p>
    <w:p w:rsidR="00000000" w:rsidDel="00000000" w:rsidP="00000000" w:rsidRDefault="00000000" w:rsidRPr="00000000" w14:paraId="0000008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Desse modo, a UNODC (2020, p. 76) traz alguns critérios a serem considerados na avaliação do risco e, por conseguinte, na análise do cabimento ou não do programa restaurativo: gravidade da violência; histórico anterior de violência e controle; posse de armas, ameaças de morte; violência sexual; tempo desde a separação; violência mental, emocional e física; potencial de dificuldades econômicas; tendência para a automutilação e intenções declaradas ou tentativas de suicídio; insegurança, autoculpa e/ou medo percebidos e reais; qualquer indicação de desequilíbrio de poder (por exemplo, intimidação, culpabilização, difamação, isolamento, manipulação, minimização da violência etc.); controle de comportamento e ameaças; diferenças culturais; identificação (caso o anonimato ou a privacidade estejam em risco); interrupção de outros processos em andamento ou em vigor, como julgamentos, mandados de distanciamento, etc; riscos para crianças e outras pessoas próximas à vítima. </w:t>
      </w:r>
    </w:p>
    <w:p w:rsidR="00000000" w:rsidDel="00000000" w:rsidP="00000000" w:rsidRDefault="00000000" w:rsidRPr="00000000" w14:paraId="0000008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Acrescentaríamos a observância de vinculação do agressor com outras violências urbanas ou rurais, especialmente milícias, tráfico de drogas, exploração de garimpo ilegal, grilagem de terras, genocídio da população indígena, dentre outros. São traços culturais e geopolíticos relevantes que, inclusive, denunciam a importação idílica do restaurativismo como um modelo conciliatório do </w:t>
      </w:r>
      <w:r w:rsidDel="00000000" w:rsidR="00000000" w:rsidRPr="00000000">
        <w:rPr>
          <w:rFonts w:ascii="Times New Roman" w:cs="Times New Roman" w:eastAsia="Times New Roman" w:hAnsi="Times New Roman"/>
          <w:i w:val="1"/>
          <w:sz w:val="24"/>
          <w:szCs w:val="24"/>
          <w:rtl w:val="0"/>
        </w:rPr>
        <w:t xml:space="preserve">common law</w:t>
      </w:r>
      <w:r w:rsidDel="00000000" w:rsidR="00000000" w:rsidRPr="00000000">
        <w:rPr>
          <w:rFonts w:ascii="Times New Roman" w:cs="Times New Roman" w:eastAsia="Times New Roman" w:hAnsi="Times New Roman"/>
          <w:sz w:val="24"/>
          <w:szCs w:val="24"/>
          <w:rtl w:val="0"/>
        </w:rPr>
        <w:t xml:space="preserve"> (usos e costumes) para o ordenamento jurídico brasileiro, adepto de outro sistema jurídico (</w:t>
      </w:r>
      <w:r w:rsidDel="00000000" w:rsidR="00000000" w:rsidRPr="00000000">
        <w:rPr>
          <w:rFonts w:ascii="Times New Roman" w:cs="Times New Roman" w:eastAsia="Times New Roman" w:hAnsi="Times New Roman"/>
          <w:i w:val="1"/>
          <w:sz w:val="24"/>
          <w:szCs w:val="24"/>
          <w:rtl w:val="0"/>
        </w:rPr>
        <w:t xml:space="preserve">civil law</w:t>
      </w:r>
      <w:r w:rsidDel="00000000" w:rsidR="00000000" w:rsidRPr="00000000">
        <w:rPr>
          <w:rFonts w:ascii="Times New Roman" w:cs="Times New Roman" w:eastAsia="Times New Roman" w:hAnsi="Times New Roman"/>
          <w:sz w:val="24"/>
          <w:szCs w:val="24"/>
          <w:rtl w:val="0"/>
        </w:rPr>
        <w:t xml:space="preserve">, baseado na lei positivada). </w:t>
      </w:r>
    </w:p>
    <w:p w:rsidR="00000000" w:rsidDel="00000000" w:rsidP="00000000" w:rsidRDefault="00000000" w:rsidRPr="00000000" w14:paraId="0000008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Alternativas individuais e coletivas, que se proponham a visualizar o fenômeno da violência de gênero, entrelaçada com raça e classe, como estrutural e estruturante da sociedade brasileira, são destacadas como políticas fundamentais (Santos; Machado, 2018). A questão que se põe é se a legislação, em geral, de proteção às mulheres e meninas e a própria Lei Maria da Penha, em particular, já não seriam instrumentos normativos suficientes para propor princípios, valores e métodos para um conjunto articulado de ações, atuantes no sentido da prevenção das violências e do fortalecimento da mulher. </w:t>
      </w:r>
    </w:p>
    <w:p w:rsidR="00000000" w:rsidDel="00000000" w:rsidP="00000000" w:rsidRDefault="00000000" w:rsidRPr="00000000" w14:paraId="0000008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 entendermos positivamente, </w:t>
      </w:r>
      <w:r w:rsidDel="00000000" w:rsidR="00000000" w:rsidRPr="00000000">
        <w:rPr>
          <w:rFonts w:ascii="Times New Roman" w:cs="Times New Roman" w:eastAsia="Times New Roman" w:hAnsi="Times New Roman"/>
          <w:i w:val="1"/>
          <w:sz w:val="24"/>
          <w:szCs w:val="24"/>
          <w:rtl w:val="0"/>
        </w:rPr>
        <w:t xml:space="preserve">círculos de agressores</w:t>
      </w:r>
      <w:r w:rsidDel="00000000" w:rsidR="00000000" w:rsidRPr="00000000">
        <w:rPr>
          <w:rFonts w:ascii="Times New Roman" w:cs="Times New Roman" w:eastAsia="Times New Roman" w:hAnsi="Times New Roman"/>
          <w:sz w:val="24"/>
          <w:szCs w:val="24"/>
          <w:rtl w:val="0"/>
        </w:rPr>
        <w:t xml:space="preserve"> poderiam ser traduzidos por </w:t>
      </w:r>
      <w:r w:rsidDel="00000000" w:rsidR="00000000" w:rsidRPr="00000000">
        <w:rPr>
          <w:rFonts w:ascii="Times New Roman" w:cs="Times New Roman" w:eastAsia="Times New Roman" w:hAnsi="Times New Roman"/>
          <w:i w:val="1"/>
          <w:sz w:val="24"/>
          <w:szCs w:val="24"/>
          <w:rtl w:val="0"/>
        </w:rPr>
        <w:t xml:space="preserve">grupos reflexivos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Círculos de vítimas</w:t>
      </w:r>
      <w:r w:rsidDel="00000000" w:rsidR="00000000" w:rsidRPr="00000000">
        <w:rPr>
          <w:rFonts w:ascii="Times New Roman" w:cs="Times New Roman" w:eastAsia="Times New Roman" w:hAnsi="Times New Roman"/>
          <w:sz w:val="24"/>
          <w:szCs w:val="24"/>
          <w:rtl w:val="0"/>
        </w:rPr>
        <w:t xml:space="preserve"> seriam atividades em </w:t>
      </w:r>
      <w:r w:rsidDel="00000000" w:rsidR="00000000" w:rsidRPr="00000000">
        <w:rPr>
          <w:rFonts w:ascii="Times New Roman" w:cs="Times New Roman" w:eastAsia="Times New Roman" w:hAnsi="Times New Roman"/>
          <w:i w:val="1"/>
          <w:sz w:val="24"/>
          <w:szCs w:val="24"/>
          <w:rtl w:val="0"/>
        </w:rPr>
        <w:t xml:space="preserve">Centros de Referência ou outros espaços da Rede de Enfrentamento à violência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Empoderamento feminino </w:t>
      </w:r>
      <w:r w:rsidDel="00000000" w:rsidR="00000000" w:rsidRPr="00000000">
        <w:rPr>
          <w:rFonts w:ascii="Times New Roman" w:cs="Times New Roman" w:eastAsia="Times New Roman" w:hAnsi="Times New Roman"/>
          <w:sz w:val="24"/>
          <w:szCs w:val="24"/>
          <w:rtl w:val="0"/>
        </w:rPr>
        <w:t xml:space="preserve">corresponderia ao </w:t>
      </w:r>
      <w:r w:rsidDel="00000000" w:rsidR="00000000" w:rsidRPr="00000000">
        <w:rPr>
          <w:rFonts w:ascii="Times New Roman" w:cs="Times New Roman" w:eastAsia="Times New Roman" w:hAnsi="Times New Roman"/>
          <w:i w:val="1"/>
          <w:sz w:val="24"/>
          <w:szCs w:val="24"/>
          <w:rtl w:val="0"/>
        </w:rPr>
        <w:t xml:space="preserve">fortalecimento de mulheres</w:t>
      </w:r>
      <w:r w:rsidDel="00000000" w:rsidR="00000000" w:rsidRPr="00000000">
        <w:rPr>
          <w:rFonts w:ascii="Times New Roman" w:cs="Times New Roman" w:eastAsia="Times New Roman" w:hAnsi="Times New Roman"/>
          <w:sz w:val="24"/>
          <w:szCs w:val="24"/>
          <w:rtl w:val="0"/>
        </w:rPr>
        <w:t xml:space="preserve"> pela integração operacional do Poder Judiciário, do Ministério Público e da Defensoria Pública com as áreas de segurança pública, assistência social, saúde, educação, trabalho e habitação; </w:t>
      </w:r>
      <w:r w:rsidDel="00000000" w:rsidR="00000000" w:rsidRPr="00000000">
        <w:rPr>
          <w:rFonts w:ascii="Times New Roman" w:cs="Times New Roman" w:eastAsia="Times New Roman" w:hAnsi="Times New Roman"/>
          <w:i w:val="1"/>
          <w:sz w:val="24"/>
          <w:szCs w:val="24"/>
          <w:rtl w:val="0"/>
        </w:rPr>
        <w:t xml:space="preserve">Engajamento da comunidade </w:t>
      </w:r>
      <w:r w:rsidDel="00000000" w:rsidR="00000000" w:rsidRPr="00000000">
        <w:rPr>
          <w:rFonts w:ascii="Times New Roman" w:cs="Times New Roman" w:eastAsia="Times New Roman" w:hAnsi="Times New Roman"/>
          <w:sz w:val="24"/>
          <w:szCs w:val="24"/>
          <w:rtl w:val="0"/>
        </w:rPr>
        <w:t xml:space="preserve">se viabilizaria pela promoção de </w:t>
      </w:r>
      <w:r w:rsidDel="00000000" w:rsidR="00000000" w:rsidRPr="00000000">
        <w:rPr>
          <w:rFonts w:ascii="Times New Roman" w:cs="Times New Roman" w:eastAsia="Times New Roman" w:hAnsi="Times New Roman"/>
          <w:i w:val="1"/>
          <w:sz w:val="24"/>
          <w:szCs w:val="24"/>
          <w:rtl w:val="0"/>
        </w:rPr>
        <w:t xml:space="preserve">programas educacionais</w:t>
      </w:r>
      <w:r w:rsidDel="00000000" w:rsidR="00000000" w:rsidRPr="00000000">
        <w:rPr>
          <w:rFonts w:ascii="Times New Roman" w:cs="Times New Roman" w:eastAsia="Times New Roman" w:hAnsi="Times New Roman"/>
          <w:sz w:val="24"/>
          <w:szCs w:val="24"/>
          <w:rtl w:val="0"/>
        </w:rPr>
        <w:t xml:space="preserve"> que disseminem valores éticos de irrestrito respeito à dignidade da pessoa humana com a perspectiva de gênero, de raça e classe; </w:t>
      </w:r>
      <w:r w:rsidDel="00000000" w:rsidR="00000000" w:rsidRPr="00000000">
        <w:rPr>
          <w:rFonts w:ascii="Times New Roman" w:cs="Times New Roman" w:eastAsia="Times New Roman" w:hAnsi="Times New Roman"/>
          <w:i w:val="1"/>
          <w:sz w:val="24"/>
          <w:szCs w:val="24"/>
          <w:rtl w:val="0"/>
        </w:rPr>
        <w:t xml:space="preserve">dar voz à vítima </w:t>
      </w:r>
      <w:r w:rsidDel="00000000" w:rsidR="00000000" w:rsidRPr="00000000">
        <w:rPr>
          <w:rFonts w:ascii="Times New Roman" w:cs="Times New Roman" w:eastAsia="Times New Roman" w:hAnsi="Times New Roman"/>
          <w:sz w:val="24"/>
          <w:szCs w:val="24"/>
          <w:rtl w:val="0"/>
        </w:rPr>
        <w:t xml:space="preserve">traduz-se por </w:t>
      </w:r>
      <w:r w:rsidDel="00000000" w:rsidR="00000000" w:rsidRPr="00000000">
        <w:rPr>
          <w:rFonts w:ascii="Times New Roman" w:cs="Times New Roman" w:eastAsia="Times New Roman" w:hAnsi="Times New Roman"/>
          <w:i w:val="1"/>
          <w:sz w:val="24"/>
          <w:szCs w:val="24"/>
          <w:rtl w:val="0"/>
        </w:rPr>
        <w:t xml:space="preserve">escuta sensível, atendimento específico e humanizado </w:t>
      </w:r>
      <w:r w:rsidDel="00000000" w:rsidR="00000000" w:rsidRPr="00000000">
        <w:rPr>
          <w:rFonts w:ascii="Times New Roman" w:cs="Times New Roman" w:eastAsia="Times New Roman" w:hAnsi="Times New Roman"/>
          <w:sz w:val="24"/>
          <w:szCs w:val="24"/>
          <w:rtl w:val="0"/>
        </w:rPr>
        <w:t xml:space="preserve">nos equipamentos da Rede… Enfim, uma questão de reforçar – e, não, de esvaziar – as diretrizes internacionais, regionais e nacionais dos Direitos Humanos das Mulheres e Meninas.</w:t>
      </w:r>
    </w:p>
    <w:p w:rsidR="00000000" w:rsidDel="00000000" w:rsidP="00000000" w:rsidRDefault="00000000" w:rsidRPr="00000000" w14:paraId="0000008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Daí porque Santos e Machado (2018, p. 258) sustentam que: </w:t>
      </w:r>
    </w:p>
    <w:p w:rsidR="00000000" w:rsidDel="00000000" w:rsidP="00000000" w:rsidRDefault="00000000" w:rsidRPr="00000000" w14:paraId="0000008F">
      <w:pPr>
        <w:spacing w:after="0" w:line="360" w:lineRule="auto"/>
        <w:ind w:left="22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 isso defendemos aqui a construção de uma justiça emancipatória que, assim como a própria Lei Maria da Penha, seja formulada a partir da sociedade, mas que também esteja pautada no trabalho coordenado da comunidade, com, sem e, quando necessário, contra o Estado, promovendo assim valores democráticos que possibilitariam a intervenção em níveis plurais. Trata-se de implementar integralmente a Lei Maria da Penha, mas também de ir além dela, colocando as mulheres e a comunidade em diálogo com as instituições a partir de uma perspectiva crítica das ideologias e práticas dominantes que reproduzem as violências contra as mulheres. </w:t>
      </w:r>
    </w:p>
    <w:p w:rsidR="00000000" w:rsidDel="00000000" w:rsidP="00000000" w:rsidRDefault="00000000" w:rsidRPr="00000000" w14:paraId="0000009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Considerações finais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3">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seja inegável que o ordenamento jurídico brasileiro sofreu fortes avanços no reconhecimento de direitos das mulheres pós Constituição de 1988, ainda não foram propostas substitutivas à ótica punitivista e retributiva do sistema penal tradicional, que dificilmente compreende as singularidades dos crimes contra as mulheres, especialmente quando vítima e ofensor compartilham muito mais do que um fato isolado no tempo. </w:t>
      </w:r>
    </w:p>
    <w:p w:rsidR="00000000" w:rsidDel="00000000" w:rsidP="00000000" w:rsidRDefault="00000000" w:rsidRPr="00000000" w14:paraId="0000009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JR, em sua proposta teórica, se apresenta como um processo alternativo (ou complementar) e externo ao sistema de justiça criminal, que fortalece as partes envolvidas em um conflito e a comunidade ao seu redor, e as permite solucionar os próprios problemas, dando visibilidade à vontade da vítima e destacando a responsabilidade do ofensor. Confere, assim, a substituição da intervenção do Estado, com seu conceito de privação da liberdade como sinônimo de justiça, por um ideal de pacificação intra, inter e transubjetiva, alcançando valores éticos, humanitários e comunitários.  </w:t>
      </w:r>
    </w:p>
    <w:p w:rsidR="00000000" w:rsidDel="00000000" w:rsidP="00000000" w:rsidRDefault="00000000" w:rsidRPr="00000000" w14:paraId="0000009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a experiência brasileira demonstra que o que consideramos </w:t>
      </w:r>
      <w:r w:rsidDel="00000000" w:rsidR="00000000" w:rsidRPr="00000000">
        <w:rPr>
          <w:rFonts w:ascii="Times New Roman" w:cs="Times New Roman" w:eastAsia="Times New Roman" w:hAnsi="Times New Roman"/>
          <w:i w:val="1"/>
          <w:sz w:val="24"/>
          <w:szCs w:val="24"/>
          <w:rtl w:val="0"/>
        </w:rPr>
        <w:t xml:space="preserve">Justiça Restaurativa</w:t>
      </w:r>
      <w:r w:rsidDel="00000000" w:rsidR="00000000" w:rsidRPr="00000000">
        <w:rPr>
          <w:rFonts w:ascii="Times New Roman" w:cs="Times New Roman" w:eastAsia="Times New Roman" w:hAnsi="Times New Roman"/>
          <w:sz w:val="24"/>
          <w:szCs w:val="24"/>
          <w:rtl w:val="0"/>
        </w:rPr>
        <w:t xml:space="preserve"> contraria seu próprio conceito. A ausência de regulamentação e monitoramento das práticas restaurativas, inseridas no ordenamento jurídico por meio de Resolução do CNJ,  e tendo todo o procedimento realizado dentro do próprio sistema de justiça criminal, não representa uma potencial alternativa transformadora da realidade. Em uma ambientação judiciária tradicionalmente conservadora e autoritária, apresenta-se, na verdade, como prática potencialmente culpabilizadora da vítima, revitimizadora, reprodutora de estereótipos de gênero, raça e classe, fomentadora da lógica familista, notadamente se contextualizada na naturalização das ofensas em relações domésticas e familiares ou se compreendidas como infrações de menor potencial ofensivo. </w:t>
      </w:r>
    </w:p>
    <w:p w:rsidR="00000000" w:rsidDel="00000000" w:rsidP="00000000" w:rsidRDefault="00000000" w:rsidRPr="00000000" w14:paraId="0000009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mais que muitas pesquisadoras e investigadores do tema sejam cautelosos quanto à aplicação da JR em VD, nosso país tem incentivado sua adoção. A Campanha Justiça Restaurativa pela Paz em Casa, do Conselho Nacional de Justiça, é um exemplo. O método informal agiliza a “resolução” dos conflitos, reduz o número de processos e, consequentemente, facilita o atingimento de metas oficiais estabelecidas pelos tribunais.  Pesquisas empíricas, contudo, marcam problemas sérios que apontam para um aprofundamento do déficit democrático e da subalternização das mulheres. </w:t>
      </w:r>
    </w:p>
    <w:p w:rsidR="00000000" w:rsidDel="00000000" w:rsidP="00000000" w:rsidRDefault="00000000" w:rsidRPr="00000000" w14:paraId="0000009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algumas autoras e autores sustentam uma necessária legislação do processo restaurativo ou, ao menos, critérios básicos de sua viabilidade e efetividade. Em linhas gerais, deve considerar: aplicável somente àqueles que se manifestarem positivamente; a existência de um suporte jurídico e psicológico às vítimas, que preze por sua independência e tomada de decisões; a capacitação dos aplicadores das práticas restaurativas, atentando para as peculiaridades de gênero, raça e classe que permeiam nossa sociedade e as relações domésticas e familiares; a participação da comunidade informada e capacitada para entender a perspectiva de gênero e os possíveis impactos de seu envolvimento na tomada de decisões etc.</w:t>
      </w:r>
    </w:p>
    <w:p w:rsidR="00000000" w:rsidDel="00000000" w:rsidP="00000000" w:rsidRDefault="00000000" w:rsidRPr="00000000" w14:paraId="0000009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haver forte consenso de que os processos restaurativos demandam equidade e paridade, resta quase nenhum espaço para soluções negociais satisfatórias de conflito quando diante de realidades de dominação-subordinação. E entendendo que, em nosso país, o sistema patriarcal-capitalista opera fortemente, mais ainda quando alicerçado em parâmetros coloniais, as </w:t>
      </w:r>
      <w:r w:rsidDel="00000000" w:rsidR="00000000" w:rsidRPr="00000000">
        <w:rPr>
          <w:rFonts w:ascii="Times New Roman" w:cs="Times New Roman" w:eastAsia="Times New Roman" w:hAnsi="Times New Roman"/>
          <w:i w:val="1"/>
          <w:sz w:val="24"/>
          <w:szCs w:val="24"/>
          <w:rtl w:val="0"/>
        </w:rPr>
        <w:t xml:space="preserve">alternativas ao sistema penal </w:t>
      </w:r>
      <w:r w:rsidDel="00000000" w:rsidR="00000000" w:rsidRPr="00000000">
        <w:rPr>
          <w:rFonts w:ascii="Times New Roman" w:cs="Times New Roman" w:eastAsia="Times New Roman" w:hAnsi="Times New Roman"/>
          <w:sz w:val="24"/>
          <w:szCs w:val="24"/>
          <w:rtl w:val="0"/>
        </w:rPr>
        <w:t xml:space="preserve">tendem a se revelar como processos de recentralização do Judiciário, pela reinstitucionalização e relegitimação de práticas patriarcais de “composição de danos”, com risco de esvaziamento das normativas e das políticas públicas de enfrentamento às violências contra mulheres e meninas.</w:t>
      </w:r>
    </w:p>
    <w:p w:rsidR="00000000" w:rsidDel="00000000" w:rsidP="00000000" w:rsidRDefault="00000000" w:rsidRPr="00000000" w14:paraId="0000009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Referências bibliográficas</w:t>
      </w:r>
    </w:p>
    <w:p w:rsidR="00000000" w:rsidDel="00000000" w:rsidP="00000000" w:rsidRDefault="00000000" w:rsidRPr="00000000" w14:paraId="0000009C">
      <w:pP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ACHUTTI, Daniel. </w:t>
      </w:r>
      <w:r w:rsidDel="00000000" w:rsidR="00000000" w:rsidRPr="00000000">
        <w:rPr>
          <w:rFonts w:ascii="Times New Roman" w:cs="Times New Roman" w:eastAsia="Times New Roman" w:hAnsi="Times New Roman"/>
          <w:b w:val="1"/>
          <w:sz w:val="24"/>
          <w:szCs w:val="24"/>
          <w:rtl w:val="0"/>
        </w:rPr>
        <w:t xml:space="preserve">Justiça restaurativa e abolicionismo penal: </w:t>
      </w:r>
      <w:r w:rsidDel="00000000" w:rsidR="00000000" w:rsidRPr="00000000">
        <w:rPr>
          <w:rFonts w:ascii="Times New Roman" w:cs="Times New Roman" w:eastAsia="Times New Roman" w:hAnsi="Times New Roman"/>
          <w:sz w:val="24"/>
          <w:szCs w:val="24"/>
          <w:rtl w:val="0"/>
        </w:rPr>
        <w:t xml:space="preserve">contribuições para um novo modelo de administração de conflitos no Brasil. 2ª ed. São Paulo: Saraiva, 2016.</w:t>
      </w:r>
    </w:p>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AUGUSTO, Cristiane Brandão. </w:t>
      </w:r>
      <w:r w:rsidDel="00000000" w:rsidR="00000000" w:rsidRPr="00000000">
        <w:rPr>
          <w:rFonts w:ascii="Times New Roman" w:cs="Times New Roman" w:eastAsia="Times New Roman" w:hAnsi="Times New Roman"/>
          <w:b w:val="1"/>
          <w:sz w:val="24"/>
          <w:szCs w:val="24"/>
          <w:rtl w:val="0"/>
        </w:rPr>
        <w:t xml:space="preserve">Violência contra a mulher e as práticas institucionais.</w:t>
      </w:r>
      <w:r w:rsidDel="00000000" w:rsidR="00000000" w:rsidRPr="00000000">
        <w:rPr>
          <w:rFonts w:ascii="Times New Roman" w:cs="Times New Roman" w:eastAsia="Times New Roman" w:hAnsi="Times New Roman"/>
          <w:sz w:val="24"/>
          <w:szCs w:val="24"/>
          <w:rtl w:val="0"/>
        </w:rPr>
        <w:t xml:space="preserve"> Brasília: Ipea/Ministério da Justiça. 2015. (Série Pensando o Direito, v. 52).</w:t>
      </w:r>
    </w:p>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AUGUSTO, Cristiane Brandão. </w:t>
      </w:r>
      <w:r w:rsidDel="00000000" w:rsidR="00000000" w:rsidRPr="00000000">
        <w:rPr>
          <w:rFonts w:ascii="Times New Roman" w:cs="Times New Roman" w:eastAsia="Times New Roman" w:hAnsi="Times New Roman"/>
          <w:b w:val="1"/>
          <w:sz w:val="24"/>
          <w:szCs w:val="24"/>
          <w:rtl w:val="0"/>
        </w:rPr>
        <w:t xml:space="preserve">Nova Justiça Penal:</w:t>
      </w:r>
      <w:r w:rsidDel="00000000" w:rsidR="00000000" w:rsidRPr="00000000">
        <w:rPr>
          <w:rFonts w:ascii="Times New Roman" w:cs="Times New Roman" w:eastAsia="Times New Roman" w:hAnsi="Times New Roman"/>
          <w:sz w:val="24"/>
          <w:szCs w:val="24"/>
          <w:rtl w:val="0"/>
        </w:rPr>
        <w:t xml:space="preserve"> com ou sem juízo? Rio de Janeiro: Lumen Juris, 2004.</w:t>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ÁVILA, Thiago Pierobom de. Justiça Restaurativa e Violência Doméstica: Contribuição ao refinamento das garantias processuais de proteção às mulheres.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Cadernos do Programa de Pós-Graduação em Direito PPGDir./UFRGS</w:t>
      </w:r>
      <w:r w:rsidDel="00000000" w:rsidR="00000000" w:rsidRPr="00000000">
        <w:rPr>
          <w:rFonts w:ascii="Times New Roman" w:cs="Times New Roman" w:eastAsia="Times New Roman" w:hAnsi="Times New Roman"/>
          <w:sz w:val="24"/>
          <w:szCs w:val="24"/>
          <w:rtl w:val="0"/>
        </w:rPr>
        <w:t xml:space="preserve">. Edição Digital, Porto Alegre, vol.XV, nº 2, p. 204-231, 2020. </w:t>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AZEVEDO, Rodrigo Ghiringhelli de; SANTOS, Michelle Karen Batista dos. Justiça Restaurativa em crimes de violência doméstica contra as mulheres: limites e desafios das experiências brasileiras.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Revista Juris Poiesi</w:t>
      </w:r>
      <w:r w:rsidDel="00000000" w:rsidR="00000000" w:rsidRPr="00000000">
        <w:rPr>
          <w:rFonts w:ascii="Times New Roman" w:cs="Times New Roman" w:eastAsia="Times New Roman" w:hAnsi="Times New Roman"/>
          <w:i w:val="1"/>
          <w:sz w:val="24"/>
          <w:szCs w:val="24"/>
          <w:rtl w:val="0"/>
        </w:rPr>
        <w:t xml:space="preserve">s</w:t>
      </w:r>
      <w:r w:rsidDel="00000000" w:rsidR="00000000" w:rsidRPr="00000000">
        <w:rPr>
          <w:rFonts w:ascii="Times New Roman" w:cs="Times New Roman" w:eastAsia="Times New Roman" w:hAnsi="Times New Roman"/>
          <w:sz w:val="24"/>
          <w:szCs w:val="24"/>
          <w:rtl w:val="0"/>
        </w:rPr>
        <w:t xml:space="preserve">, Rio de Janeiro. v. 24, n. 34, p. 750-777, 2021.</w:t>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BATISTA. Nilo. Só Carolina não viu – violência doméstica e políticas criminais no Brasil. </w:t>
      </w:r>
      <w:r w:rsidDel="00000000" w:rsidR="00000000" w:rsidRPr="00000000">
        <w:rPr>
          <w:rFonts w:ascii="Times New Roman" w:cs="Times New Roman" w:eastAsia="Times New Roman" w:hAnsi="Times New Roman"/>
          <w:i w:val="1"/>
          <w:sz w:val="24"/>
          <w:szCs w:val="24"/>
          <w:highlight w:val="white"/>
          <w:rtl w:val="0"/>
        </w:rPr>
        <w:t xml:space="preserve">In</w:t>
      </w:r>
      <w:r w:rsidDel="00000000" w:rsidR="00000000" w:rsidRPr="00000000">
        <w:rPr>
          <w:rFonts w:ascii="Times New Roman" w:cs="Times New Roman" w:eastAsia="Times New Roman" w:hAnsi="Times New Roman"/>
          <w:sz w:val="24"/>
          <w:szCs w:val="24"/>
          <w:highlight w:val="white"/>
          <w:rtl w:val="0"/>
        </w:rPr>
        <w:t xml:space="preserve">: MELLO, Adriana Ramos de. (Org). </w:t>
      </w:r>
      <w:r w:rsidDel="00000000" w:rsidR="00000000" w:rsidRPr="00000000">
        <w:rPr>
          <w:rFonts w:ascii="Times New Roman" w:cs="Times New Roman" w:eastAsia="Times New Roman" w:hAnsi="Times New Roman"/>
          <w:b w:val="1"/>
          <w:sz w:val="24"/>
          <w:szCs w:val="24"/>
          <w:highlight w:val="white"/>
          <w:rtl w:val="0"/>
        </w:rPr>
        <w:t xml:space="preserve">Comentários à Lei de Violência e Familiar contra a Mulher.</w:t>
      </w:r>
      <w:r w:rsidDel="00000000" w:rsidR="00000000" w:rsidRPr="00000000">
        <w:rPr>
          <w:rFonts w:ascii="Times New Roman" w:cs="Times New Roman" w:eastAsia="Times New Roman" w:hAnsi="Times New Roman"/>
          <w:sz w:val="24"/>
          <w:szCs w:val="24"/>
          <w:highlight w:val="white"/>
          <w:rtl w:val="0"/>
        </w:rPr>
        <w:t xml:space="preserve"> Rio de Janeiro: Lumen Juris, 2007. p. 1-20.</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CAMPOS, Carmen Hein de (Org.). </w:t>
      </w:r>
      <w:r w:rsidDel="00000000" w:rsidR="00000000" w:rsidRPr="00000000">
        <w:rPr>
          <w:rFonts w:ascii="Times New Roman" w:cs="Times New Roman" w:eastAsia="Times New Roman" w:hAnsi="Times New Roman"/>
          <w:b w:val="1"/>
          <w:sz w:val="24"/>
          <w:szCs w:val="24"/>
          <w:rtl w:val="0"/>
        </w:rPr>
        <w:t xml:space="preserve">Criminologia e feminismo</w:t>
      </w:r>
      <w:r w:rsidDel="00000000" w:rsidR="00000000" w:rsidRPr="00000000">
        <w:rPr>
          <w:rFonts w:ascii="Times New Roman" w:cs="Times New Roman" w:eastAsia="Times New Roman" w:hAnsi="Times New Roman"/>
          <w:sz w:val="24"/>
          <w:szCs w:val="24"/>
          <w:rtl w:val="0"/>
        </w:rPr>
        <w:t xml:space="preserve">. Porto Alegre: Ed. Sulina, 1999. </w:t>
      </w:r>
    </w:p>
    <w:p w:rsidR="00000000" w:rsidDel="00000000" w:rsidP="00000000" w:rsidRDefault="00000000" w:rsidRPr="00000000" w14:paraId="000000A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CAMPOS, Carmen Hein de; CARVALHO, Salo de. Violência doméstica e Juizados Especiais Criminais: análise a partir do feminismo e do garantismo.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Revista Estudos Feministas</w:t>
      </w:r>
      <w:r w:rsidDel="00000000" w:rsidR="00000000" w:rsidRPr="00000000">
        <w:rPr>
          <w:rFonts w:ascii="Times New Roman" w:cs="Times New Roman" w:eastAsia="Times New Roman" w:hAnsi="Times New Roman"/>
          <w:sz w:val="24"/>
          <w:szCs w:val="24"/>
          <w:rtl w:val="0"/>
        </w:rPr>
        <w:t xml:space="preserve">, Florianópolis, vol. 14, n° 2, p. 409-422, mai./ago., 2006. </w:t>
      </w:r>
    </w:p>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CAMPOS, Carmen Hein de; PADÃO, Jacqueline. Desafios para aproximar violência de gênero e Justiça Restaurativa.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Revista Brasileira de Ciências Criminais</w:t>
      </w:r>
      <w:r w:rsidDel="00000000" w:rsidR="00000000" w:rsidRPr="00000000">
        <w:rPr>
          <w:rFonts w:ascii="Times New Roman" w:cs="Times New Roman" w:eastAsia="Times New Roman" w:hAnsi="Times New Roman"/>
          <w:sz w:val="24"/>
          <w:szCs w:val="24"/>
          <w:rtl w:val="0"/>
        </w:rPr>
        <w:t xml:space="preserve">, São Paulo, vol.196/2023, p.19-40, Maio-Jun/2023. Disponível em: </w:t>
      </w:r>
      <w:hyperlink r:id="rId8">
        <w:r w:rsidDel="00000000" w:rsidR="00000000" w:rsidRPr="00000000">
          <w:rPr>
            <w:rFonts w:ascii="Times New Roman" w:cs="Times New Roman" w:eastAsia="Times New Roman" w:hAnsi="Times New Roman"/>
            <w:sz w:val="24"/>
            <w:szCs w:val="24"/>
            <w:u w:val="single"/>
            <w:rtl w:val="0"/>
          </w:rPr>
          <w:t xml:space="preserve">http://www.mpgo.mp.br/portal/arquivos/2023/05/23/12_51_15_343_Desafios_para_aproximar.pdf</w:t>
        </w:r>
      </w:hyperlink>
      <w:r w:rsidDel="00000000" w:rsidR="00000000" w:rsidRPr="00000000">
        <w:rPr>
          <w:rFonts w:ascii="Times New Roman" w:cs="Times New Roman" w:eastAsia="Times New Roman" w:hAnsi="Times New Roman"/>
          <w:sz w:val="24"/>
          <w:szCs w:val="24"/>
          <w:rtl w:val="0"/>
        </w:rPr>
        <w:t xml:space="preserve">. Acesso em: 18 set. 2023.</w:t>
      </w:r>
    </w:p>
    <w:p w:rsidR="00000000" w:rsidDel="00000000" w:rsidP="00000000" w:rsidRDefault="00000000" w:rsidRPr="00000000" w14:paraId="000000A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CARVALHO, Salo de; ACHUTTI, Daniel. Justiça Restaurativa em Risco: a crítica criminológica ao modelo judicial brasileiro. </w:t>
      </w:r>
      <w:r w:rsidDel="00000000" w:rsidR="00000000" w:rsidRPr="00000000">
        <w:rPr>
          <w:rFonts w:ascii="Times New Roman" w:cs="Times New Roman" w:eastAsia="Times New Roman" w:hAnsi="Times New Roman"/>
          <w:b w:val="1"/>
          <w:sz w:val="24"/>
          <w:szCs w:val="24"/>
          <w:highlight w:val="white"/>
          <w:rtl w:val="0"/>
        </w:rPr>
        <w:t xml:space="preserve">Sequência Estudos Jurídicos e Políticos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[S.l.]</w:t>
      </w:r>
      <w:r w:rsidDel="00000000" w:rsidR="00000000" w:rsidRPr="00000000">
        <w:rPr>
          <w:rFonts w:ascii="Times New Roman" w:cs="Times New Roman" w:eastAsia="Times New Roman" w:hAnsi="Times New Roman"/>
          <w:sz w:val="24"/>
          <w:szCs w:val="24"/>
          <w:highlight w:val="white"/>
          <w:rtl w:val="0"/>
        </w:rPr>
        <w:t xml:space="preserve">, v. 42, n. 87, p. 1-39, 2021. Disponível em:   </w:t>
      </w:r>
      <w:hyperlink r:id="rId9">
        <w:r w:rsidDel="00000000" w:rsidR="00000000" w:rsidRPr="00000000">
          <w:rPr>
            <w:rFonts w:ascii="Times New Roman" w:cs="Times New Roman" w:eastAsia="Times New Roman" w:hAnsi="Times New Roman"/>
            <w:color w:val="000000"/>
            <w:sz w:val="24"/>
            <w:szCs w:val="24"/>
            <w:highlight w:val="white"/>
            <w:u w:val="single"/>
            <w:rtl w:val="0"/>
          </w:rPr>
          <w:t xml:space="preserve">https://periodicos.ufsc.br/index.php/sequencia/article/view/74694</w:t>
        </w:r>
      </w:hyperlink>
      <w:r w:rsidDel="00000000" w:rsidR="00000000" w:rsidRPr="00000000">
        <w:rPr>
          <w:rFonts w:ascii="Times New Roman" w:cs="Times New Roman" w:eastAsia="Times New Roman" w:hAnsi="Times New Roman"/>
          <w:color w:val="000000"/>
          <w:sz w:val="24"/>
          <w:szCs w:val="24"/>
          <w:highlight w:val="white"/>
          <w:u w:val="single"/>
          <w:rtl w:val="0"/>
        </w:rPr>
        <w:t xml:space="preserve">.</w:t>
      </w:r>
      <w:r w:rsidDel="00000000" w:rsidR="00000000" w:rsidRPr="00000000">
        <w:rPr>
          <w:rFonts w:ascii="Times New Roman" w:cs="Times New Roman" w:eastAsia="Times New Roman" w:hAnsi="Times New Roman"/>
          <w:sz w:val="24"/>
          <w:szCs w:val="24"/>
          <w:highlight w:val="white"/>
          <w:rtl w:val="0"/>
        </w:rPr>
        <w:t xml:space="preserve"> Acesso em: 7 out. 2023.</w:t>
      </w: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CONSELHO FEDERAL DE PSICOLOGIA. </w:t>
      </w:r>
      <w:r w:rsidDel="00000000" w:rsidR="00000000" w:rsidRPr="00000000">
        <w:rPr>
          <w:rFonts w:ascii="Times New Roman" w:cs="Times New Roman" w:eastAsia="Times New Roman" w:hAnsi="Times New Roman"/>
          <w:b w:val="1"/>
          <w:sz w:val="24"/>
          <w:szCs w:val="24"/>
          <w:highlight w:val="white"/>
          <w:rtl w:val="0"/>
        </w:rPr>
        <w:t xml:space="preserve">Nota Técnica CFP Nº 1/2023</w:t>
      </w:r>
      <w:r w:rsidDel="00000000" w:rsidR="00000000" w:rsidRPr="00000000">
        <w:rPr>
          <w:rFonts w:ascii="Times New Roman" w:cs="Times New Roman" w:eastAsia="Times New Roman" w:hAnsi="Times New Roman"/>
          <w:sz w:val="24"/>
          <w:szCs w:val="24"/>
          <w:highlight w:val="white"/>
          <w:rtl w:val="0"/>
        </w:rPr>
        <w:t xml:space="preserve">. Visa a orientar psicólogas e psicólogos sobre a prática da Constelação Familiar, também denominada Constelações Familiares Sistêmicas. Disponível em: </w:t>
      </w:r>
      <w:hyperlink r:id="rId10">
        <w:r w:rsidDel="00000000" w:rsidR="00000000" w:rsidRPr="00000000">
          <w:rPr>
            <w:rFonts w:ascii="Times New Roman" w:cs="Times New Roman" w:eastAsia="Times New Roman" w:hAnsi="Times New Roman"/>
            <w:color w:val="000000"/>
            <w:sz w:val="24"/>
            <w:szCs w:val="24"/>
            <w:highlight w:val="white"/>
            <w:u w:val="single"/>
            <w:rtl w:val="0"/>
          </w:rPr>
          <w:t xml:space="preserve">https://site.cfp.org.br/wp-content/uploads/2023/03/Nota-Tecnica_Constelacao-familiar-03-03-23.pdf</w:t>
        </w:r>
      </w:hyperlink>
      <w:r w:rsidDel="00000000" w:rsidR="00000000" w:rsidRPr="00000000">
        <w:rPr>
          <w:rFonts w:ascii="Times New Roman" w:cs="Times New Roman" w:eastAsia="Times New Roman" w:hAnsi="Times New Roman"/>
          <w:color w:val="000000"/>
          <w:sz w:val="24"/>
          <w:szCs w:val="24"/>
          <w:highlight w:val="white"/>
          <w:u w:val="single"/>
          <w:rtl w:val="0"/>
        </w:rPr>
        <w:t xml:space="preserve">.</w:t>
      </w:r>
      <w:r w:rsidDel="00000000" w:rsidR="00000000" w:rsidRPr="00000000">
        <w:rPr>
          <w:rFonts w:ascii="Times New Roman" w:cs="Times New Roman" w:eastAsia="Times New Roman" w:hAnsi="Times New Roman"/>
          <w:sz w:val="24"/>
          <w:szCs w:val="24"/>
          <w:highlight w:val="white"/>
          <w:rtl w:val="0"/>
        </w:rPr>
        <w:t xml:space="preserve"> Acesso em: 7 out. 2023. </w:t>
      </w: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Resolução nº 225 de 31 de maio de 2016</w:t>
      </w:r>
      <w:r w:rsidDel="00000000" w:rsidR="00000000" w:rsidRPr="00000000">
        <w:rPr>
          <w:rFonts w:ascii="Times New Roman" w:cs="Times New Roman" w:eastAsia="Times New Roman" w:hAnsi="Times New Roman"/>
          <w:sz w:val="24"/>
          <w:szCs w:val="24"/>
          <w:rtl w:val="0"/>
        </w:rPr>
        <w:t xml:space="preserve">. Disponível em </w:t>
      </w:r>
      <w:hyperlink r:id="rId11">
        <w:r w:rsidDel="00000000" w:rsidR="00000000" w:rsidRPr="00000000">
          <w:rPr>
            <w:rFonts w:ascii="Times New Roman" w:cs="Times New Roman" w:eastAsia="Times New Roman" w:hAnsi="Times New Roman"/>
            <w:color w:val="000000"/>
            <w:sz w:val="24"/>
            <w:szCs w:val="24"/>
            <w:u w:val="single"/>
            <w:rtl w:val="0"/>
          </w:rPr>
          <w:t xml:space="preserve">https://atos.cnj.jus.br/files/compilado160827202007275f1efbfbf0faa.pdf</w:t>
        </w:r>
      </w:hyperlink>
      <w:r w:rsidDel="00000000" w:rsidR="00000000" w:rsidRPr="00000000">
        <w:rPr>
          <w:rFonts w:ascii="Times New Roman" w:cs="Times New Roman" w:eastAsia="Times New Roman" w:hAnsi="Times New Roman"/>
          <w:sz w:val="24"/>
          <w:szCs w:val="24"/>
          <w:rtl w:val="0"/>
        </w:rPr>
        <w:t xml:space="preserve">.  Acesso em: 20 set. 2023.</w:t>
      </w:r>
    </w:p>
    <w:p w:rsidR="00000000" w:rsidDel="00000000" w:rsidP="00000000" w:rsidRDefault="00000000" w:rsidRPr="00000000" w14:paraId="000000B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Cármen Lúcia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“Justiça Restaurativa pela Paz em Casa”, Agência CNJ de Notícias, 26.05.2017. Disponível em: </w:t>
      </w:r>
      <w:hyperlink r:id="rId12">
        <w:r w:rsidDel="00000000" w:rsidR="00000000" w:rsidRPr="00000000">
          <w:rPr>
            <w:rFonts w:ascii="Times New Roman" w:cs="Times New Roman" w:eastAsia="Times New Roman" w:hAnsi="Times New Roman"/>
            <w:color w:val="000000"/>
            <w:sz w:val="24"/>
            <w:szCs w:val="24"/>
            <w:u w:val="single"/>
            <w:rtl w:val="0"/>
          </w:rPr>
          <w:t xml:space="preserve">https://www.cnj.jus.br/carmen-lucia-justica-restaurativa-pela-paz-em-casa/</w:t>
        </w:r>
      </w:hyperlink>
      <w:r w:rsidDel="00000000" w:rsidR="00000000" w:rsidRPr="00000000">
        <w:rPr>
          <w:rFonts w:ascii="Times New Roman" w:cs="Times New Roman" w:eastAsia="Times New Roman" w:hAnsi="Times New Roman"/>
          <w:sz w:val="24"/>
          <w:szCs w:val="24"/>
          <w:rtl w:val="0"/>
        </w:rPr>
        <w:t xml:space="preserve">. Acesso em: 3 out. 2023.</w:t>
      </w:r>
    </w:p>
    <w:p w:rsidR="00000000" w:rsidDel="00000000" w:rsidP="00000000" w:rsidRDefault="00000000" w:rsidRPr="00000000" w14:paraId="000000B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Justiça pela Paz em Casa</w:t>
      </w:r>
      <w:r w:rsidDel="00000000" w:rsidR="00000000" w:rsidRPr="00000000">
        <w:rPr>
          <w:rFonts w:ascii="Times New Roman" w:cs="Times New Roman" w:eastAsia="Times New Roman" w:hAnsi="Times New Roman"/>
          <w:sz w:val="24"/>
          <w:szCs w:val="24"/>
          <w:rtl w:val="0"/>
        </w:rPr>
        <w:t xml:space="preserve">. Disponível em: </w:t>
      </w:r>
      <w:hyperlink r:id="rId13">
        <w:r w:rsidDel="00000000" w:rsidR="00000000" w:rsidRPr="00000000">
          <w:rPr>
            <w:rFonts w:ascii="Times New Roman" w:cs="Times New Roman" w:eastAsia="Times New Roman" w:hAnsi="Times New Roman"/>
            <w:color w:val="000000"/>
            <w:sz w:val="24"/>
            <w:szCs w:val="24"/>
            <w:u w:val="single"/>
            <w:rtl w:val="0"/>
          </w:rPr>
          <w:t xml:space="preserve">https://www.cnj.jus.br/programas-e-acoes/violencia-contra-a-mulher/justica-pela-paz-em-casa/</w:t>
        </w:r>
      </w:hyperlink>
      <w:r w:rsidDel="00000000" w:rsidR="00000000" w:rsidRPr="00000000">
        <w:rPr>
          <w:rFonts w:ascii="Times New Roman" w:cs="Times New Roman" w:eastAsia="Times New Roman" w:hAnsi="Times New Roman"/>
          <w:sz w:val="24"/>
          <w:szCs w:val="24"/>
          <w:rtl w:val="0"/>
        </w:rPr>
        <w:t xml:space="preserve">. Acesso em: 3 out. 2023. </w:t>
      </w:r>
    </w:p>
    <w:p w:rsidR="00000000" w:rsidDel="00000000" w:rsidP="00000000" w:rsidRDefault="00000000" w:rsidRPr="00000000" w14:paraId="000000B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Entre práticas retributivas e restaurativas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Lei Maria da Penha e os avanços e desafios do Poder Judiciário. Brasília: Poder Judiciário, 2018a. Disponível em:  </w:t>
      </w:r>
      <w:hyperlink r:id="rId14">
        <w:r w:rsidDel="00000000" w:rsidR="00000000" w:rsidRPr="00000000">
          <w:rPr>
            <w:rFonts w:ascii="Times New Roman" w:cs="Times New Roman" w:eastAsia="Times New Roman" w:hAnsi="Times New Roman"/>
            <w:color w:val="000000"/>
            <w:sz w:val="24"/>
            <w:szCs w:val="24"/>
            <w:u w:val="single"/>
            <w:rtl w:val="0"/>
          </w:rPr>
          <w:t xml:space="preserve">https://www.cnj.jus.br/wp-content/uploads/2011/02/69f98306e01d7a679720c82bf016b8ea.pdf</w:t>
        </w:r>
      </w:hyperlink>
      <w:r w:rsidDel="00000000" w:rsidR="00000000" w:rsidRPr="00000000">
        <w:rPr>
          <w:rFonts w:ascii="Times New Roman" w:cs="Times New Roman" w:eastAsia="Times New Roman" w:hAnsi="Times New Roman"/>
          <w:sz w:val="24"/>
          <w:szCs w:val="24"/>
          <w:rtl w:val="0"/>
        </w:rPr>
        <w:t xml:space="preserve">. Acesso em: 03 out. 2023.</w:t>
      </w:r>
    </w:p>
    <w:p w:rsidR="00000000" w:rsidDel="00000000" w:rsidP="00000000" w:rsidRDefault="00000000" w:rsidRPr="00000000" w14:paraId="000000B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Pilotando a Justiça Restaurativa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 papel do Poder Judiciário. Brasília: Poder Judiciário, 2018b. Disponível em: </w:t>
      </w:r>
      <w:hyperlink r:id="rId15">
        <w:r w:rsidDel="00000000" w:rsidR="00000000" w:rsidRPr="00000000">
          <w:rPr>
            <w:rFonts w:ascii="Times New Roman" w:cs="Times New Roman" w:eastAsia="Times New Roman" w:hAnsi="Times New Roman"/>
            <w:color w:val="000000"/>
            <w:sz w:val="24"/>
            <w:szCs w:val="24"/>
            <w:u w:val="single"/>
            <w:rtl w:val="0"/>
          </w:rPr>
          <w:t xml:space="preserve">https://bibliotecadigital.cnj.jus.br/jspui/handle/123456789/284</w:t>
        </w:r>
      </w:hyperlink>
      <w:r w:rsidDel="00000000" w:rsidR="00000000" w:rsidRPr="00000000">
        <w:rPr>
          <w:rFonts w:ascii="Times New Roman" w:cs="Times New Roman" w:eastAsia="Times New Roman" w:hAnsi="Times New Roman"/>
          <w:sz w:val="24"/>
          <w:szCs w:val="24"/>
          <w:rtl w:val="0"/>
        </w:rPr>
        <w:t xml:space="preserve">. Acesso em: 20 set. 2023</w:t>
      </w:r>
    </w:p>
    <w:p w:rsidR="00000000" w:rsidDel="00000000" w:rsidP="00000000" w:rsidRDefault="00000000" w:rsidRPr="00000000" w14:paraId="000000B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Constelação familiar</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no firmamento da Justiça em 16 Estados e no DF. Agência CNJ de Notícias, 2018c. Disponível em: </w:t>
      </w:r>
      <w:hyperlink r:id="rId16">
        <w:r w:rsidDel="00000000" w:rsidR="00000000" w:rsidRPr="00000000">
          <w:rPr>
            <w:rFonts w:ascii="Times New Roman" w:cs="Times New Roman" w:eastAsia="Times New Roman" w:hAnsi="Times New Roman"/>
            <w:color w:val="000000"/>
            <w:sz w:val="24"/>
            <w:szCs w:val="24"/>
            <w:u w:val="single"/>
            <w:rtl w:val="0"/>
          </w:rPr>
          <w:t xml:space="preserve">https://www.cnj.jus.br/constelacao-familiar-no-firmamento-da-justica-em-16-estados-e-no-df/</w:t>
        </w:r>
      </w:hyperlink>
      <w:r w:rsidDel="00000000" w:rsidR="00000000" w:rsidRPr="00000000">
        <w:rPr>
          <w:rFonts w:ascii="Times New Roman" w:cs="Times New Roman" w:eastAsia="Times New Roman" w:hAnsi="Times New Roman"/>
          <w:color w:val="000000"/>
          <w:sz w:val="24"/>
          <w:szCs w:val="24"/>
          <w:u w:val="none"/>
          <w:rtl w:val="0"/>
        </w:rPr>
        <w:t xml:space="preserve">. </w:t>
      </w:r>
      <w:r w:rsidDel="00000000" w:rsidR="00000000" w:rsidRPr="00000000">
        <w:rPr>
          <w:rFonts w:ascii="Times New Roman" w:cs="Times New Roman" w:eastAsia="Times New Roman" w:hAnsi="Times New Roman"/>
          <w:sz w:val="24"/>
          <w:szCs w:val="24"/>
          <w:rtl w:val="0"/>
        </w:rPr>
        <w:t xml:space="preserve">Acesso em: 07 out. 2023.</w:t>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NACIONAL DE JUSTIÇA. </w:t>
      </w:r>
      <w:r w:rsidDel="00000000" w:rsidR="00000000" w:rsidRPr="00000000">
        <w:rPr>
          <w:rFonts w:ascii="Times New Roman" w:cs="Times New Roman" w:eastAsia="Times New Roman" w:hAnsi="Times New Roman"/>
          <w:b w:val="1"/>
          <w:sz w:val="24"/>
          <w:szCs w:val="24"/>
          <w:rtl w:val="0"/>
        </w:rPr>
        <w:t xml:space="preserve">Mapeamento dos programas de justiça restaurativa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Brasília: Poder Judiciário, 2019. Disponível em: </w:t>
      </w:r>
      <w:hyperlink r:id="rId17">
        <w:r w:rsidDel="00000000" w:rsidR="00000000" w:rsidRPr="00000000">
          <w:rPr>
            <w:rFonts w:ascii="Times New Roman" w:cs="Times New Roman" w:eastAsia="Times New Roman" w:hAnsi="Times New Roman"/>
            <w:color w:val="000000"/>
            <w:sz w:val="24"/>
            <w:szCs w:val="24"/>
            <w:u w:val="single"/>
            <w:rtl w:val="0"/>
          </w:rPr>
          <w:t xml:space="preserve">https://www.cnj.jus.br/wp-content/uploads/conteudo/arquivo/2019/06/8e6cf55c06c5593974bfb8803a8697f3.pdf</w:t>
        </w:r>
      </w:hyperlink>
      <w:r w:rsidDel="00000000" w:rsidR="00000000" w:rsidRPr="00000000">
        <w:rPr>
          <w:rFonts w:ascii="Times New Roman" w:cs="Times New Roman" w:eastAsia="Times New Roman" w:hAnsi="Times New Roman"/>
          <w:sz w:val="24"/>
          <w:szCs w:val="24"/>
          <w:rtl w:val="0"/>
        </w:rPr>
        <w:t xml:space="preserve">. Acesso em: 29 set. 2023.</w:t>
      </w:r>
    </w:p>
    <w:p w:rsidR="00000000" w:rsidDel="00000000" w:rsidP="00000000" w:rsidRDefault="00000000" w:rsidRPr="00000000" w14:paraId="000000C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40" w:lineRule="auto"/>
        <w:ind w:firstLine="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COPELLO, Patricia Laurenzo. La tutela específica de las mujeres en el sistema penal: una decisión controvertida.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Rev. EMERJ</w:t>
      </w:r>
      <w:r w:rsidDel="00000000" w:rsidR="00000000" w:rsidRPr="00000000">
        <w:rPr>
          <w:rFonts w:ascii="Times New Roman" w:cs="Times New Roman" w:eastAsia="Times New Roman" w:hAnsi="Times New Roman"/>
          <w:sz w:val="24"/>
          <w:szCs w:val="24"/>
          <w:rtl w:val="0"/>
        </w:rPr>
        <w:t xml:space="preserve">, Rio de Janeiro, v. 19, n. 72, p. 41-65, jan.- mar. 2016. Disponível em: </w:t>
      </w:r>
      <w:hyperlink r:id="rId18">
        <w:r w:rsidDel="00000000" w:rsidR="00000000" w:rsidRPr="00000000">
          <w:rPr>
            <w:rFonts w:ascii="Times New Roman" w:cs="Times New Roman" w:eastAsia="Times New Roman" w:hAnsi="Times New Roman"/>
            <w:color w:val="000000"/>
            <w:sz w:val="24"/>
            <w:szCs w:val="24"/>
            <w:u w:val="single"/>
            <w:rtl w:val="0"/>
          </w:rPr>
          <w:t xml:space="preserve">www.emerj.tjrj.jus.br/revistaemerj_online/edicoes/revista72/revista72_41.pdf</w:t>
        </w:r>
      </w:hyperlink>
      <w:r w:rsidDel="00000000" w:rsidR="00000000" w:rsidRPr="00000000">
        <w:rPr>
          <w:rFonts w:ascii="Times New Roman" w:cs="Times New Roman" w:eastAsia="Times New Roman" w:hAnsi="Times New Roman"/>
          <w:sz w:val="24"/>
          <w:szCs w:val="24"/>
          <w:rtl w:val="0"/>
        </w:rPr>
        <w:t xml:space="preserve">. Acesso em: 11 set. 2023.</w:t>
      </w:r>
    </w:p>
    <w:p w:rsidR="00000000" w:rsidDel="00000000" w:rsidP="00000000" w:rsidRDefault="00000000" w:rsidRPr="00000000" w14:paraId="000000C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DAVIS, Angela. </w:t>
      </w:r>
      <w:r w:rsidDel="00000000" w:rsidR="00000000" w:rsidRPr="00000000">
        <w:rPr>
          <w:rFonts w:ascii="Times New Roman" w:cs="Times New Roman" w:eastAsia="Times New Roman" w:hAnsi="Times New Roman"/>
          <w:b w:val="1"/>
          <w:sz w:val="24"/>
          <w:szCs w:val="24"/>
          <w:rtl w:val="0"/>
        </w:rPr>
        <w:t xml:space="preserve">Estarão as prisões obsoletas?</w:t>
      </w:r>
      <w:r w:rsidDel="00000000" w:rsidR="00000000" w:rsidRPr="00000000">
        <w:rPr>
          <w:rFonts w:ascii="Times New Roman" w:cs="Times New Roman" w:eastAsia="Times New Roman" w:hAnsi="Times New Roman"/>
          <w:sz w:val="24"/>
          <w:szCs w:val="24"/>
          <w:rtl w:val="0"/>
        </w:rPr>
        <w:t xml:space="preserve"> 2. ed. Rio de Janeiro: Difel, 2018.</w:t>
      </w:r>
    </w:p>
    <w:p w:rsidR="00000000" w:rsidDel="00000000" w:rsidP="00000000" w:rsidRDefault="00000000" w:rsidRPr="00000000" w14:paraId="000000C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FREIRE, Paulo. </w:t>
      </w:r>
      <w:r w:rsidDel="00000000" w:rsidR="00000000" w:rsidRPr="00000000">
        <w:rPr>
          <w:rFonts w:ascii="Times New Roman" w:cs="Times New Roman" w:eastAsia="Times New Roman" w:hAnsi="Times New Roman"/>
          <w:b w:val="1"/>
          <w:sz w:val="24"/>
          <w:szCs w:val="24"/>
          <w:rtl w:val="0"/>
        </w:rPr>
        <w:t xml:space="preserve">Pedagogia do oprimido</w:t>
      </w:r>
      <w:r w:rsidDel="00000000" w:rsidR="00000000" w:rsidRPr="00000000">
        <w:rPr>
          <w:rFonts w:ascii="Times New Roman" w:cs="Times New Roman" w:eastAsia="Times New Roman" w:hAnsi="Times New Roman"/>
          <w:sz w:val="24"/>
          <w:szCs w:val="24"/>
          <w:rtl w:val="0"/>
        </w:rPr>
        <w:t xml:space="preserve">. 54. ed. Rio de Janeiro: Paz e Terra, 2013.</w:t>
      </w:r>
    </w:p>
    <w:p w:rsidR="00000000" w:rsidDel="00000000" w:rsidP="00000000" w:rsidRDefault="00000000" w:rsidRPr="00000000" w14:paraId="000000C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HULSMAN, Louk; CELIS, Jacqueline Bernat de. </w:t>
      </w:r>
      <w:r w:rsidDel="00000000" w:rsidR="00000000" w:rsidRPr="00000000">
        <w:rPr>
          <w:rFonts w:ascii="Times New Roman" w:cs="Times New Roman" w:eastAsia="Times New Roman" w:hAnsi="Times New Roman"/>
          <w:b w:val="1"/>
          <w:sz w:val="24"/>
          <w:szCs w:val="24"/>
          <w:rtl w:val="0"/>
        </w:rPr>
        <w:t xml:space="preserve">Penas perdidas:</w:t>
      </w:r>
      <w:r w:rsidDel="00000000" w:rsidR="00000000" w:rsidRPr="00000000">
        <w:rPr>
          <w:rFonts w:ascii="Times New Roman" w:cs="Times New Roman" w:eastAsia="Times New Roman" w:hAnsi="Times New Roman"/>
          <w:sz w:val="24"/>
          <w:szCs w:val="24"/>
          <w:rtl w:val="0"/>
        </w:rPr>
        <w:t xml:space="preserve"> o sistema penal em questão. 2. ed. Niterói: Luam, 1997.</w:t>
      </w:r>
    </w:p>
    <w:p w:rsidR="00000000" w:rsidDel="00000000" w:rsidP="00000000" w:rsidRDefault="00000000" w:rsidRPr="00000000" w14:paraId="000000C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LARRAURI, Elena. </w:t>
      </w:r>
      <w:r w:rsidDel="00000000" w:rsidR="00000000" w:rsidRPr="00000000">
        <w:rPr>
          <w:rFonts w:ascii="Times New Roman" w:cs="Times New Roman" w:eastAsia="Times New Roman" w:hAnsi="Times New Roman"/>
          <w:b w:val="1"/>
          <w:sz w:val="24"/>
          <w:szCs w:val="24"/>
          <w:rtl w:val="0"/>
        </w:rPr>
        <w:t xml:space="preserve">Criminología crítica y violencia de género</w:t>
      </w:r>
      <w:r w:rsidDel="00000000" w:rsidR="00000000" w:rsidRPr="00000000">
        <w:rPr>
          <w:rFonts w:ascii="Times New Roman" w:cs="Times New Roman" w:eastAsia="Times New Roman" w:hAnsi="Times New Roman"/>
          <w:sz w:val="24"/>
          <w:szCs w:val="24"/>
          <w:rtl w:val="0"/>
        </w:rPr>
        <w:t xml:space="preserve">. Madrid: [s.n], 2007. Disponível em: </w:t>
      </w:r>
      <w:hyperlink r:id="rId19">
        <w:r w:rsidDel="00000000" w:rsidR="00000000" w:rsidRPr="00000000">
          <w:rPr>
            <w:rFonts w:ascii="Times New Roman" w:cs="Times New Roman" w:eastAsia="Times New Roman" w:hAnsi="Times New Roman"/>
            <w:sz w:val="24"/>
            <w:szCs w:val="24"/>
            <w:u w:val="single"/>
            <w:rtl w:val="0"/>
          </w:rPr>
          <w:t xml:space="preserve">http://mientrastanto.org/sites/default/files/pdfs/928.pdf</w:t>
        </w:r>
      </w:hyperlink>
      <w:r w:rsidDel="00000000" w:rsidR="00000000" w:rsidRPr="00000000">
        <w:rPr>
          <w:rFonts w:ascii="Times New Roman" w:cs="Times New Roman" w:eastAsia="Times New Roman" w:hAnsi="Times New Roman"/>
          <w:sz w:val="24"/>
          <w:szCs w:val="24"/>
          <w:rtl w:val="0"/>
        </w:rPr>
        <w:t xml:space="preserve">. Acesso em: 30 set. 2023.</w:t>
      </w:r>
    </w:p>
    <w:p w:rsidR="00000000" w:rsidDel="00000000" w:rsidP="00000000" w:rsidRDefault="00000000" w:rsidRPr="00000000" w14:paraId="000000C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LEIDA, Marilande F. </w:t>
      </w:r>
      <w:r w:rsidDel="00000000" w:rsidR="00000000" w:rsidRPr="00000000">
        <w:rPr>
          <w:rFonts w:ascii="Times New Roman" w:cs="Times New Roman" w:eastAsia="Times New Roman" w:hAnsi="Times New Roman"/>
          <w:b w:val="1"/>
          <w:sz w:val="24"/>
          <w:szCs w:val="24"/>
          <w:rtl w:val="0"/>
        </w:rPr>
        <w:t xml:space="preserve">Justiça Restaurativa e Violência Doméstica: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experiência restaurativa judicial no Juizado de Violência Doméstica de Novo Hamburgo/RS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Dissertação de Mestrado, UFSC, 2019. Disponível em: </w:t>
      </w:r>
      <w:hyperlink r:id="rId20">
        <w:r w:rsidDel="00000000" w:rsidR="00000000" w:rsidRPr="00000000">
          <w:rPr>
            <w:rFonts w:ascii="Times New Roman" w:cs="Times New Roman" w:eastAsia="Times New Roman" w:hAnsi="Times New Roman"/>
            <w:sz w:val="24"/>
            <w:szCs w:val="24"/>
            <w:u w:val="single"/>
            <w:rtl w:val="0"/>
          </w:rPr>
          <w:t xml:space="preserve">https://repositorio.ufsc.br/bitstream/handle/123456789/215276/PDPC-P0025-D.pdf?sequence=-1&amp;isAllowed=y</w:t>
        </w:r>
      </w:hyperlink>
      <w:r w:rsidDel="00000000" w:rsidR="00000000" w:rsidRPr="00000000">
        <w:rPr>
          <w:rFonts w:ascii="Times New Roman" w:cs="Times New Roman" w:eastAsia="Times New Roman" w:hAnsi="Times New Roman"/>
          <w:sz w:val="24"/>
          <w:szCs w:val="24"/>
          <w:rtl w:val="0"/>
        </w:rPr>
        <w:t xml:space="preserve">. Acesso em: 29 fev. 2023.</w:t>
      </w:r>
    </w:p>
    <w:p w:rsidR="00000000" w:rsidDel="00000000" w:rsidP="00000000" w:rsidRDefault="00000000" w:rsidRPr="00000000" w14:paraId="000000C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Fernanda da Silva; PEZENTE, Carolina Rovaris; HUNDERTMARK, Jóicy Rodrigues Teixeira. As evidências racistas e sexistas no campo de atuação da Lei Maria da Penha: Uma leitura pela perspectiva da colonialidade. </w:t>
      </w:r>
      <w:r w:rsidDel="00000000" w:rsidR="00000000" w:rsidRPr="00000000">
        <w:rPr>
          <w:rFonts w:ascii="Times New Roman" w:cs="Times New Roman" w:eastAsia="Times New Roman" w:hAnsi="Times New Roman"/>
          <w:b w:val="1"/>
          <w:sz w:val="24"/>
          <w:szCs w:val="24"/>
          <w:rtl w:val="0"/>
        </w:rPr>
        <w:t xml:space="preserve">Revista de Gênero, Sexualidade e Direito</w:t>
      </w:r>
      <w:r w:rsidDel="00000000" w:rsidR="00000000" w:rsidRPr="00000000">
        <w:rPr>
          <w:rFonts w:ascii="Times New Roman" w:cs="Times New Roman" w:eastAsia="Times New Roman" w:hAnsi="Times New Roman"/>
          <w:sz w:val="24"/>
          <w:szCs w:val="24"/>
          <w:rtl w:val="0"/>
        </w:rPr>
        <w:t xml:space="preserve">, v.7, n.1, p.91-111, jan/jul.2021. Disponível em:  </w:t>
      </w:r>
      <w:hyperlink r:id="rId21">
        <w:r w:rsidDel="00000000" w:rsidR="00000000" w:rsidRPr="00000000">
          <w:rPr>
            <w:rFonts w:ascii="Times New Roman" w:cs="Times New Roman" w:eastAsia="Times New Roman" w:hAnsi="Times New Roman"/>
            <w:color w:val="000000"/>
            <w:sz w:val="24"/>
            <w:szCs w:val="24"/>
            <w:u w:val="single"/>
            <w:rtl w:val="0"/>
          </w:rPr>
          <w:t xml:space="preserve">https://www.indexlaw.org/index.php/revistagsd/article/view/7820/pdf</w:t>
        </w:r>
      </w:hyperlink>
      <w:r w:rsidDel="00000000" w:rsidR="00000000" w:rsidRPr="00000000">
        <w:rPr>
          <w:rFonts w:ascii="Times New Roman" w:cs="Times New Roman" w:eastAsia="Times New Roman" w:hAnsi="Times New Roman"/>
          <w:color w:val="000000"/>
          <w:sz w:val="24"/>
          <w:szCs w:val="24"/>
          <w:u w:val="single"/>
          <w:rtl w:val="0"/>
        </w:rPr>
        <w:t xml:space="preserve">.</w:t>
      </w:r>
      <w:r w:rsidDel="00000000" w:rsidR="00000000" w:rsidRPr="00000000">
        <w:rPr>
          <w:rFonts w:ascii="Times New Roman" w:cs="Times New Roman" w:eastAsia="Times New Roman" w:hAnsi="Times New Roman"/>
          <w:color w:val="000000"/>
          <w:sz w:val="24"/>
          <w:szCs w:val="24"/>
          <w:u w:val="none"/>
          <w:rtl w:val="0"/>
        </w:rPr>
        <w:t xml:space="preserve"> </w:t>
      </w:r>
      <w:r w:rsidDel="00000000" w:rsidR="00000000" w:rsidRPr="00000000">
        <w:rPr>
          <w:rFonts w:ascii="Times New Roman" w:cs="Times New Roman" w:eastAsia="Times New Roman" w:hAnsi="Times New Roman"/>
          <w:sz w:val="24"/>
          <w:szCs w:val="24"/>
          <w:rtl w:val="0"/>
        </w:rPr>
        <w:t xml:space="preserve">Acesso em 07 out. 2023.</w:t>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MARSHALL, Tony F.</w:t>
      </w:r>
      <w:r w:rsidDel="00000000" w:rsidR="00000000" w:rsidRPr="00000000">
        <w:rPr>
          <w:rFonts w:ascii="Times New Roman" w:cs="Times New Roman" w:eastAsia="Times New Roman" w:hAnsi="Times New Roman"/>
          <w:b w:val="1"/>
          <w:sz w:val="24"/>
          <w:szCs w:val="24"/>
          <w:rtl w:val="0"/>
        </w:rPr>
        <w:t xml:space="preserve"> Restorative Justice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 overview. Londres: s/ed, 1999. Disponível em: </w:t>
      </w:r>
      <w:hyperlink r:id="rId22">
        <w:r w:rsidDel="00000000" w:rsidR="00000000" w:rsidRPr="00000000">
          <w:rPr>
            <w:rFonts w:ascii="Times New Roman" w:cs="Times New Roman" w:eastAsia="Times New Roman" w:hAnsi="Times New Roman"/>
            <w:color w:val="000000"/>
            <w:sz w:val="24"/>
            <w:szCs w:val="24"/>
            <w:u w:val="single"/>
            <w:rtl w:val="0"/>
          </w:rPr>
          <w:t xml:space="preserve">http://www.antoniocasella.eu/restorative/Marshall_1999-b.pdf</w:t>
        </w:r>
      </w:hyperlink>
      <w:r w:rsidDel="00000000" w:rsidR="00000000" w:rsidRPr="00000000">
        <w:rPr>
          <w:rFonts w:ascii="Times New Roman" w:cs="Times New Roman" w:eastAsia="Times New Roman" w:hAnsi="Times New Roman"/>
          <w:sz w:val="24"/>
          <w:szCs w:val="24"/>
          <w:rtl w:val="0"/>
        </w:rPr>
        <w:t xml:space="preserve">. Acesso em: 23 set. 2023.</w:t>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MATOS, Taysa; SANTANA, Selma P. (Org.) </w:t>
      </w:r>
      <w:r w:rsidDel="00000000" w:rsidR="00000000" w:rsidRPr="00000000">
        <w:rPr>
          <w:rFonts w:ascii="Times New Roman" w:cs="Times New Roman" w:eastAsia="Times New Roman" w:hAnsi="Times New Roman"/>
          <w:b w:val="1"/>
          <w:sz w:val="24"/>
          <w:szCs w:val="24"/>
          <w:rtl w:val="0"/>
        </w:rPr>
        <w:t xml:space="preserve">Justiça Restaurativa e Violência Doméstica:</w:t>
      </w:r>
      <w:r w:rsidDel="00000000" w:rsidR="00000000" w:rsidRPr="00000000">
        <w:rPr>
          <w:rFonts w:ascii="Times New Roman" w:cs="Times New Roman" w:eastAsia="Times New Roman" w:hAnsi="Times New Roman"/>
          <w:sz w:val="24"/>
          <w:szCs w:val="24"/>
          <w:rtl w:val="0"/>
        </w:rPr>
        <w:t xml:space="preserve"> Uma relação possível? Belo Horizonte/São Paulo: D’Placido, 2022.</w:t>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DAS NAÇÕES UNIDAS. Comitê Cedaw. </w:t>
      </w:r>
      <w:r w:rsidDel="00000000" w:rsidR="00000000" w:rsidRPr="00000000">
        <w:rPr>
          <w:rFonts w:ascii="Times New Roman" w:cs="Times New Roman" w:eastAsia="Times New Roman" w:hAnsi="Times New Roman"/>
          <w:b w:val="1"/>
          <w:sz w:val="24"/>
          <w:szCs w:val="24"/>
          <w:rtl w:val="0"/>
        </w:rPr>
        <w:t xml:space="preserve">Recomendação Geral no. 33 sobre o acesso das mulheres à Justiça.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2015. Disponível em </w:t>
      </w:r>
      <w:hyperlink r:id="rId23">
        <w:r w:rsidDel="00000000" w:rsidR="00000000" w:rsidRPr="00000000">
          <w:rPr>
            <w:rFonts w:ascii="Times New Roman" w:cs="Times New Roman" w:eastAsia="Times New Roman" w:hAnsi="Times New Roman"/>
            <w:color w:val="000000"/>
            <w:sz w:val="24"/>
            <w:szCs w:val="24"/>
            <w:u w:val="single"/>
            <w:rtl w:val="0"/>
          </w:rPr>
          <w:t xml:space="preserve">https://assets-compromissoeatitude-ipg.sfo2.digitaloceanspaces.com/2016/02/Recomendacao-Geral-n33-Comite-CEDAW.pdf</w:t>
        </w:r>
      </w:hyperlink>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Acesso em: 29 set 2023.</w:t>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DOS ESTADOS AMERICANOS. </w:t>
      </w:r>
      <w:r w:rsidDel="00000000" w:rsidR="00000000" w:rsidRPr="00000000">
        <w:rPr>
          <w:rFonts w:ascii="Times New Roman" w:cs="Times New Roman" w:eastAsia="Times New Roman" w:hAnsi="Times New Roman"/>
          <w:b w:val="1"/>
          <w:sz w:val="24"/>
          <w:szCs w:val="24"/>
          <w:rtl w:val="0"/>
        </w:rPr>
        <w:t xml:space="preserve">Convenção Interamericana para prevenir, punir e erradicar a violência contra a mulher (Convenção de Belém do Pará). </w:t>
      </w:r>
      <w:r w:rsidDel="00000000" w:rsidR="00000000" w:rsidRPr="00000000">
        <w:rPr>
          <w:rFonts w:ascii="Times New Roman" w:cs="Times New Roman" w:eastAsia="Times New Roman" w:hAnsi="Times New Roman"/>
          <w:sz w:val="24"/>
          <w:szCs w:val="24"/>
          <w:rtl w:val="0"/>
        </w:rPr>
        <w:t xml:space="preserve">1994. Disponível em: </w:t>
      </w:r>
      <w:hyperlink r:id="rId24">
        <w:r w:rsidDel="00000000" w:rsidR="00000000" w:rsidRPr="00000000">
          <w:rPr>
            <w:rFonts w:ascii="Times New Roman" w:cs="Times New Roman" w:eastAsia="Times New Roman" w:hAnsi="Times New Roman"/>
            <w:color w:val="000000"/>
            <w:sz w:val="24"/>
            <w:szCs w:val="24"/>
            <w:u w:val="single"/>
            <w:rtl w:val="0"/>
          </w:rPr>
          <w:t xml:space="preserve">http://www.cidh.org/Basicos/Portugues/m.Belem.do.Para.htm</w:t>
        </w:r>
      </w:hyperlink>
      <w:r w:rsidDel="00000000" w:rsidR="00000000" w:rsidRPr="00000000">
        <w:rPr>
          <w:rFonts w:ascii="Times New Roman" w:cs="Times New Roman" w:eastAsia="Times New Roman" w:hAnsi="Times New Roman"/>
          <w:sz w:val="24"/>
          <w:szCs w:val="24"/>
          <w:rtl w:val="0"/>
        </w:rPr>
        <w:t xml:space="preserve">. Acesso em: 3 out. 2023.</w:t>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PASINATO, Wânia. “Femicídios” e as mortes de mulheres no Brasil.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b w:val="1"/>
          <w:sz w:val="24"/>
          <w:szCs w:val="24"/>
          <w:rtl w:val="0"/>
        </w:rPr>
        <w:t xml:space="preserve"> Cadernos Pagu</w:t>
      </w:r>
      <w:r w:rsidDel="00000000" w:rsidR="00000000" w:rsidRPr="00000000">
        <w:rPr>
          <w:rFonts w:ascii="Times New Roman" w:cs="Times New Roman" w:eastAsia="Times New Roman" w:hAnsi="Times New Roman"/>
          <w:sz w:val="24"/>
          <w:szCs w:val="24"/>
          <w:rtl w:val="0"/>
        </w:rPr>
        <w:t xml:space="preserve">, Campinas, n. 37, p. 219-246, 2011. Disponível em: </w:t>
      </w:r>
      <w:hyperlink r:id="rId25">
        <w:r w:rsidDel="00000000" w:rsidR="00000000" w:rsidRPr="00000000">
          <w:rPr>
            <w:rFonts w:ascii="Times New Roman" w:cs="Times New Roman" w:eastAsia="Times New Roman" w:hAnsi="Times New Roman"/>
            <w:color w:val="000000"/>
            <w:sz w:val="24"/>
            <w:szCs w:val="24"/>
            <w:u w:val="single"/>
            <w:rtl w:val="0"/>
          </w:rPr>
          <w:t xml:space="preserve">www.scielo.br/scielo.php?script=sci_arttext&amp;pid=S0104-83332011000200008&amp;lng=en&amp;nrm=iso</w:t>
        </w:r>
      </w:hyperlink>
      <w:r w:rsidDel="00000000" w:rsidR="00000000" w:rsidRPr="00000000">
        <w:rPr>
          <w:rFonts w:ascii="Times New Roman" w:cs="Times New Roman" w:eastAsia="Times New Roman" w:hAnsi="Times New Roman"/>
          <w:sz w:val="24"/>
          <w:szCs w:val="24"/>
          <w:rtl w:val="0"/>
        </w:rPr>
        <w:t xml:space="preserve">. Acesso em: Acesso em: 28 set. 2023.</w:t>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SAFFITOTI, Heleieth I. B. </w:t>
      </w:r>
      <w:r w:rsidDel="00000000" w:rsidR="00000000" w:rsidRPr="00000000">
        <w:rPr>
          <w:rFonts w:ascii="Times New Roman" w:cs="Times New Roman" w:eastAsia="Times New Roman" w:hAnsi="Times New Roman"/>
          <w:b w:val="1"/>
          <w:sz w:val="24"/>
          <w:szCs w:val="24"/>
          <w:rtl w:val="0"/>
        </w:rPr>
        <w:t xml:space="preserve">Gênero, patriarcado, violência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São Paulo: Fundação Perseu Abramo, 2004.</w:t>
      </w:r>
    </w:p>
    <w:p w:rsidR="00000000" w:rsidDel="00000000" w:rsidP="00000000" w:rsidRDefault="00000000" w:rsidRPr="00000000" w14:paraId="000000D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line="240" w:lineRule="auto"/>
        <w:ind w:firstLine="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SAFFITOTI, Heleieth I. B &amp; Almeida, Suely Souza de. </w:t>
      </w:r>
      <w:r w:rsidDel="00000000" w:rsidR="00000000" w:rsidRPr="00000000">
        <w:rPr>
          <w:rFonts w:ascii="Times New Roman" w:cs="Times New Roman" w:eastAsia="Times New Roman" w:hAnsi="Times New Roman"/>
          <w:b w:val="1"/>
          <w:sz w:val="24"/>
          <w:szCs w:val="24"/>
          <w:rtl w:val="0"/>
        </w:rPr>
        <w:t xml:space="preserve">Violência de gênero:</w:t>
      </w:r>
      <w:r w:rsidDel="00000000" w:rsidR="00000000" w:rsidRPr="00000000">
        <w:rPr>
          <w:rFonts w:ascii="Times New Roman" w:cs="Times New Roman" w:eastAsia="Times New Roman" w:hAnsi="Times New Roman"/>
          <w:sz w:val="24"/>
          <w:szCs w:val="24"/>
          <w:rtl w:val="0"/>
        </w:rPr>
        <w:t xml:space="preserve"> poder e impotência. Rio de Janeiro: Revinter, 1995.</w:t>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Cecília MacDowell; MACHADO, Isadora Vier. Punir, restaurar ou transformar? Por uma justiça emancipatória em casos de violência doméstica.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Revista Brasileira de Ciências Criminais. </w:t>
      </w:r>
      <w:r w:rsidDel="00000000" w:rsidR="00000000" w:rsidRPr="00000000">
        <w:rPr>
          <w:rFonts w:ascii="Times New Roman" w:cs="Times New Roman" w:eastAsia="Times New Roman" w:hAnsi="Times New Roman"/>
          <w:sz w:val="24"/>
          <w:szCs w:val="24"/>
          <w:rtl w:val="0"/>
        </w:rPr>
        <w:t xml:space="preserve">Dossiê Especial: Gênero e sistema punitivo. São Paulo, p. 241-271, 2018.</w:t>
      </w:r>
    </w:p>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Michelle Karen Batista. Autonomia e empoderamento: Aplicação da Justiça Restaurativa no Brasil em casos de violência contra a mulher.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Revista da Defensoria Pública do Estado do Rio Grande do Sul.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Defensoria Pública do Estado do Rio Grande do Sul, Porto Alegre, ano 8, v.18, p.11-34. Porto Alegre: DPE, 2017.</w:t>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SANTOS, Michelle Karen Batista; TONCHE, Juliana; AGUIAR, Carla Zamith Boin. Justiça restaurativa e violência de gênero: novas estratégias emancipatórias.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MACHADO, Amanda Castro; GRAF, Paloma Machado; CATARELI, Viviane de Ornellas (Org.). </w:t>
      </w:r>
      <w:r w:rsidDel="00000000" w:rsidR="00000000" w:rsidRPr="00000000">
        <w:rPr>
          <w:rFonts w:ascii="Times New Roman" w:cs="Times New Roman" w:eastAsia="Times New Roman" w:hAnsi="Times New Roman"/>
          <w:b w:val="1"/>
          <w:sz w:val="24"/>
          <w:szCs w:val="24"/>
          <w:rtl w:val="0"/>
        </w:rPr>
        <w:t xml:space="preserve">Narrativas restaurativas libertárias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potências e resistências. 1ed. São Paulo: ESA OAB SP PUBLICAÇÕES, 2021, v. 1, p. 317-338.</w:t>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TOLEDO, Patsilí. La Aplicación de leyes sobre femicidio/feminicidio en américa latina (primeras evaluaciones).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Rev. EMERJ,</w:t>
      </w:r>
      <w:r w:rsidDel="00000000" w:rsidR="00000000" w:rsidRPr="00000000">
        <w:rPr>
          <w:rFonts w:ascii="Times New Roman" w:cs="Times New Roman" w:eastAsia="Times New Roman" w:hAnsi="Times New Roman"/>
          <w:sz w:val="24"/>
          <w:szCs w:val="24"/>
          <w:rtl w:val="0"/>
        </w:rPr>
        <w:t xml:space="preserve"> Rio de Janeiro, v. 19, n. 72, p. 82-92, jan./mar. 2016. Disponível em: </w:t>
      </w:r>
      <w:hyperlink r:id="rId26">
        <w:r w:rsidDel="00000000" w:rsidR="00000000" w:rsidRPr="00000000">
          <w:rPr>
            <w:rFonts w:ascii="Times New Roman" w:cs="Times New Roman" w:eastAsia="Times New Roman" w:hAnsi="Times New Roman"/>
            <w:color w:val="000000"/>
            <w:sz w:val="24"/>
            <w:szCs w:val="24"/>
            <w:u w:val="single"/>
            <w:rtl w:val="0"/>
          </w:rPr>
          <w:t xml:space="preserve">www.emerj.tjrj.jus.br/revistaemerj_online/edicoes/revista72/revista72_sumario.htm</w:t>
        </w:r>
      </w:hyperlink>
      <w:r w:rsidDel="00000000" w:rsidR="00000000" w:rsidRPr="00000000">
        <w:rPr>
          <w:rFonts w:ascii="Times New Roman" w:cs="Times New Roman" w:eastAsia="Times New Roman" w:hAnsi="Times New Roman"/>
          <w:sz w:val="24"/>
          <w:szCs w:val="24"/>
          <w:rtl w:val="0"/>
        </w:rPr>
        <w:t xml:space="preserve">. Acesso em: 20 set. 2023.</w:t>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NATION OFFICE ON DRUGS AND CRIME (UNODC). </w:t>
      </w:r>
      <w:r w:rsidDel="00000000" w:rsidR="00000000" w:rsidRPr="00000000">
        <w:rPr>
          <w:rFonts w:ascii="Times New Roman" w:cs="Times New Roman" w:eastAsia="Times New Roman" w:hAnsi="Times New Roman"/>
          <w:b w:val="1"/>
          <w:sz w:val="24"/>
          <w:szCs w:val="24"/>
          <w:rtl w:val="0"/>
        </w:rPr>
        <w:t xml:space="preserve">Manual sobre Programas de Justiça Restaurativa. </w:t>
      </w:r>
      <w:r w:rsidDel="00000000" w:rsidR="00000000" w:rsidRPr="00000000">
        <w:rPr>
          <w:rFonts w:ascii="Times New Roman" w:cs="Times New Roman" w:eastAsia="Times New Roman" w:hAnsi="Times New Roman"/>
          <w:sz w:val="24"/>
          <w:szCs w:val="24"/>
          <w:rtl w:val="0"/>
        </w:rPr>
        <w:t xml:space="preserve">2a ed. Viena: ONU, 2020. </w:t>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FEMINICÍDIO REPRODUTIVO EM DECORRÊNCIA DE ABORTOS INSEGUROS NO BRASIL</w:t>
      </w:r>
    </w:p>
    <w:p w:rsidR="00000000" w:rsidDel="00000000" w:rsidP="00000000" w:rsidRDefault="00000000" w:rsidRPr="00000000" w14:paraId="000000E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Carolina Cagetti</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tl w:val="0"/>
        </w:rPr>
      </w:r>
    </w:p>
    <w:p w:rsidR="00000000" w:rsidDel="00000000" w:rsidP="00000000" w:rsidRDefault="00000000" w:rsidRPr="00000000" w14:paraId="000000E9">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A">
      <w:pPr>
        <w:spacing w:after="0" w:line="360" w:lineRule="auto"/>
        <w:ind w:right="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0EB">
      <w:pPr>
        <w:spacing w:after="0" w:line="360" w:lineRule="auto"/>
        <w:ind w:right="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C">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 estética e a utilidade dos corpos humanos têm desempenhado um papel fundamental no contexto do sistema capitalista. Observar a maneira como os direitos reprodutivos das mulheres e das pessoas com útero são abordados à luz da saúde e dos direitos humanos é imprescindível, especialmente considerando que esses direitos ainda não estão plenamente reconhecidos e garantidos pelo Estado. No entanto, no Brasil, a objeção de consciência, a violência obstétrica e a criminalização do aborto têm resultado na legitimação do que pode ser denominado de "feminicídio reprodutivo".</w:t>
      </w:r>
    </w:p>
    <w:p w:rsidR="00000000" w:rsidDel="00000000" w:rsidP="00000000" w:rsidRDefault="00000000" w:rsidRPr="00000000" w14:paraId="000000ED">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Apesar do crescente impacto dos movimentos feministas na discussão sobre os direitos reprodutivos, os países latino-americanos têm enfrentado dificuldades significativas em relaxar as restrições em relação ao aborto. Essa resistência provoca conflitos morais e sociais consideráveis e é alimentada, em parte, por influências religiosas, com destaque para a Igreja Católica e os movimentos antiaborto, cujas posições têm ecoado em conferências internacionais, incluindo nas Nações Unidas. Nessa complexa arena política, muitas vezes as pessoas da política são hesitantes em confrontar as forças conservadoras, e uma parte considerável é inclusive ativamente alinhada a elas (Htun, 2003).</w:t>
      </w:r>
    </w:p>
    <w:p w:rsidR="00000000" w:rsidDel="00000000" w:rsidP="00000000" w:rsidRDefault="00000000" w:rsidRPr="00000000" w14:paraId="000000EE">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No cenário brasileiro, embora o aborto seja ilegal, a prática é amplamente disseminada, resultando em sérios riscos para a saúde das mulheres. As leis punitivas raramente são aplicadas, e os esforços para implementar mudanças significativas na assistência pública são escassos. A acessibilidade ao aborto seguro em clínicas privadas é uma realidade para mulheres de classe média, o que reduz a pressão por uma liberalização mais ampla das leis. No entanto, as maiores vítimas das consequências de abortos clandestinos são as mulheres pobres e negras, que enfrentam obstáculos significativos para cuidados de saúde adequados.</w:t>
      </w:r>
    </w:p>
    <w:p w:rsidR="00000000" w:rsidDel="00000000" w:rsidP="00000000" w:rsidRDefault="00000000" w:rsidRPr="00000000" w14:paraId="000000EF">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As mortes relacionadas à reprodução são uma tragédia que afeta exclusivamente as mulheres e as pessoas com útero e é, em grande parte, resultado das limitações legais que afetam o acesso e a garantia dos direitos reprodutivos. Muitas dessas mortes poderiam ser evitadas se o Estado abandonasse políticas antiquadas de controle sobre o corpo, sexualidade e reprodução feminina. </w:t>
      </w:r>
    </w:p>
    <w:p w:rsidR="00000000" w:rsidDel="00000000" w:rsidP="00000000" w:rsidRDefault="00000000" w:rsidRPr="00000000" w14:paraId="000000F0">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É importante notar que este artigo se concentra nas mortes decorrentes de abortos, abordando a ação indireta do Estado brasileiro, que perpetua a opressão de gênero por meio de leis restritivas e punitivas em relação aos direitos sexuais e reprodutivos principalmente das mulheres.</w:t>
      </w:r>
    </w:p>
    <w:p w:rsidR="00000000" w:rsidDel="00000000" w:rsidP="00000000" w:rsidRDefault="00000000" w:rsidRPr="00000000" w14:paraId="000000F1">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As mortes relacionadas a abortos voluntários podem ser interpretadas como uma forma de feminicídio indireto, especificamente do tipo reprodutivo, devido à proibição do Estado de realizar procedimentos de aborto na rede pública de saúde e à dificuldade em fornecer atendimento adequado para complicações decorrentes de abortos inseguros. Portanto, é importante ressaltar que essas políticas estatais afetam principalmente mulheres de baixa renda, trabalhadoras, negras, indígenas e imigrantes, que dependem, em grande parte, do sistema público de saúde.</w:t>
      </w:r>
    </w:p>
    <w:p w:rsidR="00000000" w:rsidDel="00000000" w:rsidP="00000000" w:rsidRDefault="00000000" w:rsidRPr="00000000" w14:paraId="000000F2">
      <w:pPr>
        <w:spacing w:after="0" w:line="360" w:lineRule="auto"/>
        <w:ind w:right="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F3">
      <w:pPr>
        <w:spacing w:after="0" w:line="360" w:lineRule="auto"/>
        <w:ind w:right="0"/>
        <w:jc w:val="both"/>
        <w:rPr>
          <w:rFonts w:ascii="Times New Roman" w:cs="Times New Roman" w:eastAsia="Times New Roman" w:hAnsi="Times New Roman"/>
          <w:i w:val="1"/>
          <w:color w:val="000000"/>
          <w:sz w:val="24"/>
          <w:szCs w:val="24"/>
          <w:highlight w:val="white"/>
        </w:rPr>
      </w:pPr>
      <w:r w:rsidDel="00000000" w:rsidR="00000000" w:rsidRPr="00000000">
        <w:rPr>
          <w:rFonts w:ascii="Times New Roman" w:cs="Times New Roman" w:eastAsia="Times New Roman" w:hAnsi="Times New Roman"/>
          <w:i w:val="1"/>
          <w:color w:val="000000"/>
          <w:sz w:val="24"/>
          <w:szCs w:val="24"/>
          <w:highlight w:val="white"/>
          <w:rtl w:val="0"/>
        </w:rPr>
        <w:t xml:space="preserve">Violência</w:t>
      </w:r>
    </w:p>
    <w:p w:rsidR="00000000" w:rsidDel="00000000" w:rsidP="00000000" w:rsidRDefault="00000000" w:rsidRPr="00000000" w14:paraId="000000F4">
      <w:pPr>
        <w:spacing w:after="0" w:line="360" w:lineRule="auto"/>
        <w:ind w:right="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F5">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 promulgação da Política Nacional de Redução da Morbimortalidade por Acidentes e Violências (PNRMAV) em 2001, constituiu uma importante conquista para a sociedade e o movimento de saúde, pois formalizou o problema da violência como uma séria questão de saúde pública e garantiu seu reconhecimento oficial pelo Estado brasileiro. Nesse contexto, o Brasil e o Canadá assumiram um papel de liderança, destacando-se como os únicos países nas Américas a implementar políticas de saúde específicas voltadas para a prevenção de acidentes e violências. (FIOCRUZ, 2021)</w:t>
      </w:r>
    </w:p>
    <w:p w:rsidR="00000000" w:rsidDel="00000000" w:rsidP="00000000" w:rsidRDefault="00000000" w:rsidRPr="00000000" w14:paraId="000000F6">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De acordo com a definição estabelecida pela PNRMAV em 2001, a violência é descrita como "</w:t>
      </w:r>
      <w:r w:rsidDel="00000000" w:rsidR="00000000" w:rsidRPr="00000000">
        <w:rPr>
          <w:rFonts w:ascii="Times New Roman" w:cs="Times New Roman" w:eastAsia="Times New Roman" w:hAnsi="Times New Roman"/>
          <w:i w:val="1"/>
          <w:color w:val="000000"/>
          <w:sz w:val="24"/>
          <w:szCs w:val="24"/>
          <w:highlight w:val="white"/>
          <w:rtl w:val="0"/>
        </w:rPr>
        <w:t xml:space="preserve">ações humanas individuais, de grupos, de classes, de nação que ocasionam a morte de seres humanos ou afetam sua integridade e sua saúde física, moral, mental e espiritual</w:t>
      </w:r>
      <w:r w:rsidDel="00000000" w:rsidR="00000000" w:rsidRPr="00000000">
        <w:rPr>
          <w:rFonts w:ascii="Times New Roman" w:cs="Times New Roman" w:eastAsia="Times New Roman" w:hAnsi="Times New Roman"/>
          <w:color w:val="000000"/>
          <w:sz w:val="24"/>
          <w:szCs w:val="24"/>
          <w:highlight w:val="white"/>
          <w:rtl w:val="0"/>
        </w:rPr>
        <w:t xml:space="preserve">”. Essa abordagem representa um marco importante no esforço coletivo de conscientização e enfrentamento da violência como uma séria ameaça à saúde pública. (Brasil, 2001)</w:t>
      </w:r>
    </w:p>
    <w:p w:rsidR="00000000" w:rsidDel="00000000" w:rsidP="00000000" w:rsidRDefault="00000000" w:rsidRPr="00000000" w14:paraId="000000F7">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Já na definição encontrada no primeiro Relatório Mundial sobre Violência e Saúde, de 2002, violência é o “</w:t>
      </w:r>
      <w:r w:rsidDel="00000000" w:rsidR="00000000" w:rsidRPr="00000000">
        <w:rPr>
          <w:rFonts w:ascii="Times New Roman" w:cs="Times New Roman" w:eastAsia="Times New Roman" w:hAnsi="Times New Roman"/>
          <w:i w:val="1"/>
          <w:color w:val="000000"/>
          <w:sz w:val="24"/>
          <w:szCs w:val="24"/>
          <w:highlight w:val="white"/>
          <w:rtl w:val="0"/>
        </w:rPr>
        <w:t xml:space="preserve">uso intencional da força física ou do poder real ou em ameaça, contra si próprio, contra outra pessoa, ou contra um grupo ou uma comunidade, que resulte ou tenha qualquer possibilidade de resultar em lesão, morte, dano psicológico, deficiência de desenvolvimento ou privação</w:t>
      </w:r>
      <w:r w:rsidDel="00000000" w:rsidR="00000000" w:rsidRPr="00000000">
        <w:rPr>
          <w:rFonts w:ascii="Times New Roman" w:cs="Times New Roman" w:eastAsia="Times New Roman" w:hAnsi="Times New Roman"/>
          <w:color w:val="000000"/>
          <w:sz w:val="24"/>
          <w:szCs w:val="24"/>
          <w:highlight w:val="white"/>
          <w:rtl w:val="0"/>
        </w:rPr>
        <w:t xml:space="preserve">”. (OMS, 2002, p. 5)</w:t>
      </w:r>
    </w:p>
    <w:p w:rsidR="00000000" w:rsidDel="00000000" w:rsidP="00000000" w:rsidRDefault="00000000" w:rsidRPr="00000000" w14:paraId="000000F8">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violência tem caráter complexo, histórico, multifacetado, multicausal, multideterminado e, por isso, para melhor compreendê-la, devem ser analisados os fatores contextuais, individuais e estruturais.</w:t>
      </w:r>
      <w:r w:rsidDel="00000000" w:rsidR="00000000" w:rsidRPr="00000000">
        <w:rPr>
          <w:rtl w:val="0"/>
        </w:rPr>
      </w:r>
    </w:p>
    <w:p w:rsidR="00000000" w:rsidDel="00000000" w:rsidP="00000000" w:rsidRDefault="00000000" w:rsidRPr="00000000" w14:paraId="000000F9">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No caso das mulheres – constantemente expostas a diferentes tipos de exploração e de constrangimentos na realização das mais diversas atividades do cotidiano – essas violências reiteradas diminuem as possibilidades de explorar a vida de forma segura, além de cercearem as experiências femininas e de podarem nossa sexualidade. Não há dúvidas de que a violência é um fator limitante das vivências sexuais e reprodutivas femininas.</w:t>
      </w:r>
      <w:r w:rsidDel="00000000" w:rsidR="00000000" w:rsidRPr="00000000">
        <w:rPr>
          <w:rtl w:val="0"/>
        </w:rPr>
      </w:r>
    </w:p>
    <w:p w:rsidR="00000000" w:rsidDel="00000000" w:rsidP="00000000" w:rsidRDefault="00000000" w:rsidRPr="00000000" w14:paraId="000000FA">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percepção da violência de gênero se evidencia por meio de dados da saúde, de atenção às vítimas e de documentos jurídicos, como as certidões de óbito.</w:t>
      </w:r>
      <w:r w:rsidDel="00000000" w:rsidR="00000000" w:rsidRPr="00000000">
        <w:rPr>
          <w:rtl w:val="0"/>
        </w:rPr>
      </w:r>
    </w:p>
    <w:p w:rsidR="00000000" w:rsidDel="00000000" w:rsidP="00000000" w:rsidRDefault="00000000" w:rsidRPr="00000000" w14:paraId="000000FB">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No que tange à saúde reprodutiva, a violência pode ser: (i) interpessoal, provocada por alguém conhecido visando uma mulher específica; (ii) coletiva, quando atinge diversas mulheres por meio da cultura e; (iii) institucional, por intermédio de políticas institucionais, legislativas e econômicas. </w:t>
      </w:r>
      <w:r w:rsidDel="00000000" w:rsidR="00000000" w:rsidRPr="00000000">
        <w:rPr>
          <w:rFonts w:ascii="Times New Roman" w:cs="Times New Roman" w:eastAsia="Times New Roman" w:hAnsi="Times New Roman"/>
          <w:sz w:val="24"/>
          <w:szCs w:val="24"/>
          <w:rtl w:val="0"/>
        </w:rPr>
        <w:t xml:space="preserve">(CIDH, 2004, art. 1 e 2)</w:t>
      </w:r>
    </w:p>
    <w:p w:rsidR="00000000" w:rsidDel="00000000" w:rsidP="00000000" w:rsidRDefault="00000000" w:rsidRPr="00000000" w14:paraId="000000FC">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No âmbito da violência interpessoal e coletiva, existe uma constante conexão entre (i) abusos físicos e sexuais e (ii) a saúde da mulher, indicando alguns impactos diretos e indiretos. Como impactos diretos, citam-se: a transmissão de doenças e infecções sexualmente transmissíveis, gravidez indesejada, aborto espontâneo, aborto inseguro e casos de homicídio e suicídio, notadamente em sociedades em que o estupro ou a gravidez fora do casamento são fortemente estigmatizados. Já entre os indiretos, mencionam-se: incluir o acesso à saúde por parte da mulher apenas com o consentimento masculino, o baixo poder de negociação no uso de contraceptivo e as práticas de esterilização compulsória – lembrando que o próprio sistema de saúde pode ser um agente causador de violência. Por fim, na esfera institucional, também existe uma forte relação entre violência institucional contra as mulheres e saúde reprodutiva, que pode ser exemplificada por situações como mutilação genital, violência obstétrica, esterilização compulsória e criminalização do aborto. (Romio, 2017)</w:t>
      </w:r>
      <w:r w:rsidDel="00000000" w:rsidR="00000000" w:rsidRPr="00000000">
        <w:rPr>
          <w:rtl w:val="0"/>
        </w:rPr>
      </w:r>
    </w:p>
    <w:p w:rsidR="00000000" w:rsidDel="00000000" w:rsidP="00000000" w:rsidRDefault="00000000" w:rsidRPr="00000000" w14:paraId="000000FD">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Como se já não bastassem os abusos, a política institucional reforça essa violência contra as mulheres. Assim como afirmou Lélia Gonzalez (1988 </w:t>
      </w:r>
      <w:r w:rsidDel="00000000" w:rsidR="00000000" w:rsidRPr="00000000">
        <w:rPr>
          <w:rFonts w:ascii="Times New Roman" w:cs="Times New Roman" w:eastAsia="Times New Roman" w:hAnsi="Times New Roman"/>
          <w:i w:val="1"/>
          <w:color w:val="000000"/>
          <w:sz w:val="24"/>
          <w:szCs w:val="24"/>
          <w:highlight w:val="white"/>
          <w:rtl w:val="0"/>
        </w:rPr>
        <w:t xml:space="preserve">apud</w:t>
      </w:r>
      <w:r w:rsidDel="00000000" w:rsidR="00000000" w:rsidRPr="00000000">
        <w:rPr>
          <w:rFonts w:ascii="Times New Roman" w:cs="Times New Roman" w:eastAsia="Times New Roman" w:hAnsi="Times New Roman"/>
          <w:color w:val="000000"/>
          <w:sz w:val="24"/>
          <w:szCs w:val="24"/>
          <w:highlight w:val="white"/>
          <w:rtl w:val="0"/>
        </w:rPr>
        <w:t xml:space="preserve"> Romio, 2017), as políticas de controle de natalidade na América Latina afetam violentamente os corpos femininos, tanto por meio da esterilização forçada, quanto por meio da criminalização do aborto, que ano após ano continuam a matar muitas mulheres.</w:t>
      </w:r>
      <w:r w:rsidDel="00000000" w:rsidR="00000000" w:rsidRPr="00000000">
        <w:rPr>
          <w:rtl w:val="0"/>
        </w:rPr>
      </w:r>
    </w:p>
    <w:p w:rsidR="00000000" w:rsidDel="00000000" w:rsidP="00000000" w:rsidRDefault="00000000" w:rsidRPr="00000000" w14:paraId="000000FE">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Na visão de Saffioti (1999), para que haja enfrentamento da violência, é fundamental uma ação conjunta de diversos setores – saúde, segurança pública, justiça, educação, assistência social e trabalho – com o objetivo de desconstruir desigualdades e combater as discriminações de gênero e a violência contra as mulheres.</w:t>
      </w:r>
      <w:r w:rsidDel="00000000" w:rsidR="00000000" w:rsidRPr="00000000">
        <w:rPr>
          <w:rtl w:val="0"/>
        </w:rPr>
      </w:r>
    </w:p>
    <w:p w:rsidR="00000000" w:rsidDel="00000000" w:rsidP="00000000" w:rsidRDefault="00000000" w:rsidRPr="00000000" w14:paraId="000000FF">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Uma verdadeira política de combate à violência (...) exige que se opere em rede, englobando a colaboração de diferentes áreas: polícia, magistratura, Ministério Público, defensoria pública, hospitais e profissionais da saúde, inclusive da área psi, da educação, do serviço social etc. E grande número de abrigos muito bem geridos. Cabe ressaltar, uma vez mais, a necessidade urgente de qualificação destes profissionais em relações de gênero (Saffioti, 1999, p. 91).</w:t>
      </w:r>
    </w:p>
    <w:p w:rsidR="00000000" w:rsidDel="00000000" w:rsidP="00000000" w:rsidRDefault="00000000" w:rsidRPr="00000000" w14:paraId="00000101">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after="0" w:line="360" w:lineRule="auto"/>
        <w:ind w:right="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Origens do conceito e a introdução do termo na América Latina</w:t>
      </w:r>
      <w:r w:rsidDel="00000000" w:rsidR="00000000" w:rsidRPr="00000000">
        <w:rPr>
          <w:rtl w:val="0"/>
        </w:rPr>
      </w:r>
    </w:p>
    <w:p w:rsidR="00000000" w:rsidDel="00000000" w:rsidP="00000000" w:rsidRDefault="00000000" w:rsidRPr="00000000" w14:paraId="00000103">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partir de meados dos anos 1970, o movimento feminista enxergou a necessidade de nomear diferenciadamente os homicídios de mulheres em decorrência da condição sexual e social feminina.</w:t>
      </w:r>
      <w:r w:rsidDel="00000000" w:rsidR="00000000" w:rsidRPr="00000000">
        <w:rPr>
          <w:rtl w:val="0"/>
        </w:rPr>
      </w:r>
    </w:p>
    <w:p w:rsidR="00000000" w:rsidDel="00000000" w:rsidP="00000000" w:rsidRDefault="00000000" w:rsidRPr="00000000" w14:paraId="00000105">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O termo foi usado pela primeira vez por Diana Russell, em 1976, durante o 1º Tribunal Internacional de Crimes Contra as Mulheres, na Bélgica, a respeito das mortes de mulheres nos Estados Unidos da América (EUA) e no Líbano. Ela alegou que os atos foram de cunho misógino e, por isso, deveriam ser sentenciados como feminicídios. O conceito foi apresentado abrangendo diversas violências contra as mulheres, que resultam em mortes e que são assiduamente provocadas ao longo dos séculos com diferentes justificativas. Podem ser citados os infanticídios femininos, os assassinatos em nome da honra e a queima de mulheres nas fogueiras. (Russell, 2011)</w:t>
      </w:r>
      <w:r w:rsidDel="00000000" w:rsidR="00000000" w:rsidRPr="00000000">
        <w:rPr>
          <w:rtl w:val="0"/>
        </w:rPr>
      </w:r>
    </w:p>
    <w:p w:rsidR="00000000" w:rsidDel="00000000" w:rsidP="00000000" w:rsidRDefault="00000000" w:rsidRPr="00000000" w14:paraId="00000106">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Em 1988, Liz Kelly definiu a violência sexual como qualquer ação física, verbal, visual ou sexual vivenciada por mulheres ou meninas que fira, degrade ou tire as habilidades de controlar contatos íntimos. Assim, o feminicídio, além de ser um assassinato misógino, é também uma forma de violência sexual. A autora também trouxe para o debate a noção de violência contínua, que põe em foco uma série de violências que podem ocasionar mortes de mulheres. (Romio, 2017)</w:t>
      </w:r>
    </w:p>
    <w:p w:rsidR="00000000" w:rsidDel="00000000" w:rsidP="00000000" w:rsidRDefault="00000000" w:rsidRPr="00000000" w14:paraId="00000107">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Na esteira desse pensamento, em 1992, Jane Caputi e Diana Russell elaboram que o terror continuado acontece quando há assédio e abuso sexual, estupros, escravidão sexual, mutilações genitais, esterilização forçada, violências obstétricas, torturas, maternidade forçada, privação de alimentos, imposição da heterossexualidade e até a sujeição a mutilações estéticas. Sempre que essas torturas têm fim quando a vida da mulher acaba, se tipificam como feminicídio. (Radford </w:t>
      </w:r>
      <w:r w:rsidDel="00000000" w:rsidR="00000000" w:rsidRPr="00000000">
        <w:rPr>
          <w:rFonts w:ascii="Times New Roman" w:cs="Times New Roman" w:eastAsia="Times New Roman" w:hAnsi="Times New Roman"/>
          <w:i w:val="1"/>
          <w:color w:val="000000"/>
          <w:sz w:val="24"/>
          <w:szCs w:val="24"/>
          <w:highlight w:val="white"/>
          <w:rtl w:val="0"/>
        </w:rPr>
        <w:t xml:space="preserve">et al</w:t>
      </w:r>
      <w:r w:rsidDel="00000000" w:rsidR="00000000" w:rsidRPr="00000000">
        <w:rPr>
          <w:rFonts w:ascii="Times New Roman" w:cs="Times New Roman" w:eastAsia="Times New Roman" w:hAnsi="Times New Roman"/>
          <w:color w:val="000000"/>
          <w:sz w:val="24"/>
          <w:szCs w:val="24"/>
          <w:highlight w:val="white"/>
          <w:rtl w:val="0"/>
        </w:rPr>
        <w:t xml:space="preserve">., 1992)</w:t>
      </w:r>
    </w:p>
    <w:p w:rsidR="00000000" w:rsidDel="00000000" w:rsidP="00000000" w:rsidRDefault="00000000" w:rsidRPr="00000000" w14:paraId="00000108">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Em 2011, Diana Russell inclui no termo feminicídio as mortes femininas em decorrência de abortos inseguros nos países em que as leis patriarcais e religiosas impedem que essas mulheres vivam. Também acrescenta as mortes em consequência da AIDS e de infecções contraídas em estupros e em comportamentos sexistas em geral. (Russell, 2011)</w:t>
      </w:r>
    </w:p>
    <w:p w:rsidR="00000000" w:rsidDel="00000000" w:rsidP="00000000" w:rsidRDefault="00000000" w:rsidRPr="00000000" w14:paraId="00000109">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Na visão de Jill Radford e Diana Russell, essas conceituações aumentam a possibilidade de compreensão das situações de violência as quais as mulheres são vítimas em contraponto à tendência de responsabilizá-las pelas agressões. Além disso, também oferecem às mulheres o direito de nomear suas próprias experiências. Isso porque colocam a violência sexual praticada pelos homens como uma afirmação do desejo de poder, de dominação e de controle, fundamental para a manutenção do patriarcado (</w:t>
      </w:r>
      <w:r w:rsidDel="00000000" w:rsidR="00000000" w:rsidRPr="00000000">
        <w:rPr>
          <w:rFonts w:ascii="Times New Roman" w:cs="Times New Roman" w:eastAsia="Times New Roman" w:hAnsi="Times New Roman"/>
          <w:sz w:val="24"/>
          <w:szCs w:val="24"/>
          <w:rtl w:val="0"/>
        </w:rPr>
        <w:t xml:space="preserve">Radford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1992).</w:t>
      </w:r>
      <w:r w:rsidDel="00000000" w:rsidR="00000000" w:rsidRPr="00000000">
        <w:rPr>
          <w:rFonts w:ascii="Times New Roman" w:cs="Times New Roman" w:eastAsia="Times New Roman" w:hAnsi="Times New Roman"/>
          <w:color w:val="000000"/>
          <w:sz w:val="24"/>
          <w:szCs w:val="24"/>
          <w:highlight w:val="white"/>
          <w:rtl w:val="0"/>
        </w:rPr>
        <w:t xml:space="preserve"> Ou seja, dão visibilidade à opressão estrutural que se manifesta pela violência e pelo controle dos corpos das mulheres como classe de sexo. E quando se fala de feminicídio, também é importante ressaltar a interação entre opressões de gênero juntamente com as de raça, classe e sexualidade. </w:t>
      </w:r>
      <w:r w:rsidDel="00000000" w:rsidR="00000000" w:rsidRPr="00000000">
        <w:rPr>
          <w:rtl w:val="0"/>
        </w:rPr>
      </w:r>
    </w:p>
    <w:p w:rsidR="00000000" w:rsidDel="00000000" w:rsidP="00000000" w:rsidRDefault="00000000" w:rsidRPr="00000000" w14:paraId="0000010A">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Com isso, é possível ver que nomear como feminicídio é relevante no âmbito das políticas sexuais que agem de forma a limitar a opressão patriarcal, podendo ser classificado de duas formas: (i) direta, provocado pelo assassinato direto de uma mulher por um homem e (ii) indireta, provocado por outras violências de gênero que resultam em morte.</w:t>
      </w:r>
      <w:r w:rsidDel="00000000" w:rsidR="00000000" w:rsidRPr="00000000">
        <w:rPr>
          <w:rtl w:val="0"/>
        </w:rPr>
      </w:r>
    </w:p>
    <w:p w:rsidR="00000000" w:rsidDel="00000000" w:rsidP="00000000" w:rsidRDefault="00000000" w:rsidRPr="00000000" w14:paraId="0000010B">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As formas institucionais de feminicídio se encontram na esfera indireta, dentre as quais está a criminalização do aborto e todas as políticas de controle do corpo e da sexualidade feminina, que venham a levar mulheres à óbito. A omissão do Estado em eliminar a violência de gênero também pode ser entendida como feminicídio indireto.</w:t>
      </w:r>
      <w:r w:rsidDel="00000000" w:rsidR="00000000" w:rsidRPr="00000000">
        <w:rPr>
          <w:rtl w:val="0"/>
        </w:rPr>
      </w:r>
    </w:p>
    <w:p w:rsidR="00000000" w:rsidDel="00000000" w:rsidP="00000000" w:rsidRDefault="00000000" w:rsidRPr="00000000" w14:paraId="0000010C">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No início de 1993, na Ciudad Juárez, ocorreu uma série de assassinatos violentos de mulheres, com a exposição de seus corpos, muitas vezes sem os seios e os olhos, pelas ruas da cidade mexicana na fronteira com os EUA. Esse foi o caso que fez a antropóloga mexicana Marcela Lagarde (2008) usar, pela primeira vez, o termo feminicídio no contexto latino-americano, conceituando-o como um conjunto de violações aos direitos humanos das mulheres, que ocorrem nas mortes e desaparecimentos, devendo ser entendidos como crimes de lesa à humanidade.</w:t>
      </w:r>
      <w:r w:rsidDel="00000000" w:rsidR="00000000" w:rsidRPr="00000000">
        <w:rPr>
          <w:rtl w:val="0"/>
        </w:rPr>
      </w:r>
    </w:p>
    <w:p w:rsidR="00000000" w:rsidDel="00000000" w:rsidP="00000000" w:rsidRDefault="00000000" w:rsidRPr="00000000" w14:paraId="0000010D">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Segundo Lagarde (2008), o feminicídio é o genocídio contra as mulheres e ocorre quando as condições históricas acarretam práticas sociais que permitem atitudes violentas contra a integridade, a saúde, a liberdade e a vida de meninas e mulheres. Demonstra, portanto, a desigualdade estrutural entre mulheres e homens e como a violência de gênero se torna um mecanismo de reprodução da opressão dos homens sobre as mulheres.</w:t>
      </w:r>
      <w:r w:rsidDel="00000000" w:rsidR="00000000" w:rsidRPr="00000000">
        <w:rPr>
          <w:rtl w:val="0"/>
        </w:rPr>
      </w:r>
    </w:p>
    <w:p w:rsidR="00000000" w:rsidDel="00000000" w:rsidP="00000000" w:rsidRDefault="00000000" w:rsidRPr="00000000" w14:paraId="0000010E">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Quando o Estado, que é o agente responsável por gerar bem-estar e proteger a vida de pessoas, atua de forma negligente, omissa e sexista; e a sociedade é marcada por um obscurantismo de gênero e de preconceitos misóginos, a antropóloga acredita que se cria a condição para que ocorram feminicídios e que estes, por sua vez, passam a se configurar em crime de Estado. (Lagarde, 2008)</w:t>
      </w:r>
      <w:r w:rsidDel="00000000" w:rsidR="00000000" w:rsidRPr="00000000">
        <w:rPr>
          <w:rtl w:val="0"/>
        </w:rPr>
      </w:r>
    </w:p>
    <w:p w:rsidR="00000000" w:rsidDel="00000000" w:rsidP="00000000" w:rsidRDefault="00000000" w:rsidRPr="00000000" w14:paraId="0000010F">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As autoridades estatais, por desprezo ou conluio com agressores, agem de forma a perpetuar a violência institucional ao dificultar o acesso das mulheres à justiça e à saúde pública, reforçando a desigualdade e a impunidade. O feminicídio gera uma quebra parcial no Estado de Direito já que o próprio Estado é incapaz de proteger a vida das mulheres, de garantir seus direitos humanos e de acabar com a violência que as acomete. (Lagarde, 2008)</w:t>
      </w:r>
      <w:r w:rsidDel="00000000" w:rsidR="00000000" w:rsidRPr="00000000">
        <w:rPr>
          <w:rtl w:val="0"/>
        </w:rPr>
      </w:r>
    </w:p>
    <w:p w:rsidR="00000000" w:rsidDel="00000000" w:rsidP="00000000" w:rsidRDefault="00000000" w:rsidRPr="00000000" w14:paraId="00000110">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Em 1998, Sueli Souza de Almeida fez a primeira publicação brasileira a respeito de feminicídios. Entretanto, o termo ganha enorme visibilidade somente em outubro de 2008, com Maria da Penha Maia, que dá nome à Lei nº 11.340, a qual dispõe sobre violência doméstica; e com Maria Dolores de Brito Mota, ao escrever sobre o caso de Eloá, que teve ampla cobertura da mídia. (Romio, 2017)</w:t>
      </w:r>
    </w:p>
    <w:p w:rsidR="00000000" w:rsidDel="00000000" w:rsidP="00000000" w:rsidRDefault="00000000" w:rsidRPr="00000000" w14:paraId="00000111">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Em 2011, Rita Segato conceitua feminicídio como um conjunto de violências voltadas propositalmente à eliminação de nós mulheres por nossa condição de mulheres, sendo necessário, portanto, elevar o conceito de feminicídio a um patamar equivalente ao genocídio. Assim, cunha o termo “femigenocídio”. (Romio, 2017)</w:t>
      </w:r>
    </w:p>
    <w:p w:rsidR="00000000" w:rsidDel="00000000" w:rsidP="00000000" w:rsidRDefault="00000000" w:rsidRPr="00000000" w14:paraId="00000112">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Um ano antes, em 2010, na XI Conferência Regional sobre a Mulher da América Latina e do Caribe, que ocorreu em Brasília, pôde-se notar uma transnacionalização do conceito nos países latino-americanos.</w:t>
      </w:r>
      <w:r w:rsidDel="00000000" w:rsidR="00000000" w:rsidRPr="00000000">
        <w:rPr>
          <w:rtl w:val="0"/>
        </w:rPr>
      </w:r>
    </w:p>
    <w:p w:rsidR="00000000" w:rsidDel="00000000" w:rsidP="00000000" w:rsidRDefault="00000000" w:rsidRPr="00000000" w14:paraId="00000113">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No documento elaborado pelo evento, o termo feminicídio apareceu no contexto de empoderamento feminino pela participação feminina na tomada de decisão e nas esferas de poder. A violência feminicida também aparece como obstáculo para essa participação se efetivar: “</w:t>
      </w:r>
      <w:r w:rsidDel="00000000" w:rsidR="00000000" w:rsidRPr="00000000">
        <w:rPr>
          <w:rFonts w:ascii="Times New Roman" w:cs="Times New Roman" w:eastAsia="Times New Roman" w:hAnsi="Times New Roman"/>
          <w:i w:val="1"/>
          <w:color w:val="000000"/>
          <w:sz w:val="24"/>
          <w:szCs w:val="24"/>
          <w:highlight w:val="white"/>
          <w:rtl w:val="0"/>
        </w:rPr>
        <w:t xml:space="preserve">incorporar en las políticas de seguridad pública medidas específicas para prevenir, investigar, sancionar, penalizar y erradicar el femicidio y el feminicidio, entendidos como la forma más extrema de violencia de género contra las mujeres</w:t>
      </w:r>
      <w:r w:rsidDel="00000000" w:rsidR="00000000" w:rsidRPr="00000000">
        <w:rPr>
          <w:rFonts w:ascii="Times New Roman" w:cs="Times New Roman" w:eastAsia="Times New Roman" w:hAnsi="Times New Roman"/>
          <w:color w:val="000000"/>
          <w:sz w:val="24"/>
          <w:szCs w:val="24"/>
          <w:highlight w:val="white"/>
          <w:rtl w:val="0"/>
        </w:rPr>
        <w:t xml:space="preserve">” (CEPAL de las mujeres, 2010, p. 8).</w:t>
      </w:r>
      <w:r w:rsidDel="00000000" w:rsidR="00000000" w:rsidRPr="00000000">
        <w:rPr>
          <w:rtl w:val="0"/>
        </w:rPr>
      </w:r>
    </w:p>
    <w:p w:rsidR="00000000" w:rsidDel="00000000" w:rsidP="00000000" w:rsidRDefault="00000000" w:rsidRPr="00000000" w14:paraId="00000114">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possibilidade de nomear a violência letal contra as mulheres ganhou notoriedade na América Latina por proporcionar um maior entendimento a uma das principais causas de mortes de mulheres jovens pobres, trabalhadoras, ameríndias, negras e migrantes laborais.</w:t>
      </w:r>
      <w:r w:rsidDel="00000000" w:rsidR="00000000" w:rsidRPr="00000000">
        <w:rPr>
          <w:rtl w:val="0"/>
        </w:rPr>
      </w:r>
    </w:p>
    <w:p w:rsidR="00000000" w:rsidDel="00000000" w:rsidP="00000000" w:rsidRDefault="00000000" w:rsidRPr="00000000" w14:paraId="00000115">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Segundo Gonzalez (1988 </w:t>
      </w:r>
      <w:r w:rsidDel="00000000" w:rsidR="00000000" w:rsidRPr="00000000">
        <w:rPr>
          <w:rFonts w:ascii="Times New Roman" w:cs="Times New Roman" w:eastAsia="Times New Roman" w:hAnsi="Times New Roman"/>
          <w:i w:val="1"/>
          <w:color w:val="000000"/>
          <w:sz w:val="24"/>
          <w:szCs w:val="24"/>
          <w:highlight w:val="white"/>
          <w:rtl w:val="0"/>
        </w:rPr>
        <w:t xml:space="preserve">apud</w:t>
      </w:r>
      <w:r w:rsidDel="00000000" w:rsidR="00000000" w:rsidRPr="00000000">
        <w:rPr>
          <w:rFonts w:ascii="Times New Roman" w:cs="Times New Roman" w:eastAsia="Times New Roman" w:hAnsi="Times New Roman"/>
          <w:color w:val="000000"/>
          <w:sz w:val="24"/>
          <w:szCs w:val="24"/>
          <w:highlight w:val="white"/>
          <w:rtl w:val="0"/>
        </w:rPr>
        <w:t xml:space="preserve"> Romio, 2017), as mulheres latino-americanas sofrem as violências sistemáticas provenientes das interações entre opressões de gênero, raça, classe, sexualidade e território. Mostram, assim, o desprezo pelo corpo da mulher e por sua vida, também como heranças da violência colonial-escravista, das ditaduras militares, dos conflitos urbanos e paramilitares.</w:t>
      </w:r>
      <w:r w:rsidDel="00000000" w:rsidR="00000000" w:rsidRPr="00000000">
        <w:rPr>
          <w:rtl w:val="0"/>
        </w:rPr>
      </w:r>
    </w:p>
    <w:p w:rsidR="00000000" w:rsidDel="00000000" w:rsidP="00000000" w:rsidRDefault="00000000" w:rsidRPr="00000000" w14:paraId="00000116">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Verifica-se que as latino-americanas entraram em processo de deslocar a violência da esfera interpessoal (conjugal, familiar e doméstica) – para a esfera estrutural da dominação patriarcal, ligada à sexualidade e ao corpo da mulher, associada a outras opressões, como exploração, racismo e neoliberalismo.</w:t>
      </w:r>
      <w:r w:rsidDel="00000000" w:rsidR="00000000" w:rsidRPr="00000000">
        <w:rPr>
          <w:rtl w:val="0"/>
        </w:rPr>
      </w:r>
    </w:p>
    <w:p w:rsidR="00000000" w:rsidDel="00000000" w:rsidP="00000000" w:rsidRDefault="00000000" w:rsidRPr="00000000" w14:paraId="00000117">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Graças às lutas incansáveis dos familiares das vítimas e dos movimentos feministas latino-americanos em buscar justiça e reconhecimento do problema, até o final de 2022, dezoito países e territórios da América Latina utilizam o termo feminicídio em seus códigos penais como forma de agravante dos homicídios nos casos em que as mortes foram motivadas pela condição feminina. (ONU, 2021)</w:t>
      </w:r>
      <w:r w:rsidDel="00000000" w:rsidR="00000000" w:rsidRPr="00000000">
        <w:rPr>
          <w:rtl w:val="0"/>
        </w:rPr>
      </w:r>
    </w:p>
    <w:p w:rsidR="00000000" w:rsidDel="00000000" w:rsidP="00000000" w:rsidRDefault="00000000" w:rsidRPr="00000000" w14:paraId="00000118">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after="0" w:line="360" w:lineRule="auto"/>
        <w:ind w:right="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Feminicídio reprodutivo e breve panorama político no Brasil</w:t>
      </w:r>
      <w:r w:rsidDel="00000000" w:rsidR="00000000" w:rsidRPr="00000000">
        <w:rPr>
          <w:rtl w:val="0"/>
        </w:rPr>
      </w:r>
    </w:p>
    <w:p w:rsidR="00000000" w:rsidDel="00000000" w:rsidP="00000000" w:rsidRDefault="00000000" w:rsidRPr="00000000" w14:paraId="0000011A">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Na estrutura tradicional normativa, tanto mulheres quanto homens atuam na reprodução, porém apenas as mulheres e pessoas com útero sofrem as consequências por reproduzir, estando suscetíveis a maus tratos e podendo ser penalizadas com a própria morte. É importante ressaltar que a morte por motivos reprodutivos é exclusiva das mulheres e dos corpos com possibilidade gestacional. Isso ocorre, pois, a reprodução é vista como uma responsabilidade somente das mulheres e assim, as políticas impactam diretamente seus corpos e suas vidas.</w:t>
      </w:r>
      <w:r w:rsidDel="00000000" w:rsidR="00000000" w:rsidRPr="00000000">
        <w:rPr>
          <w:rtl w:val="0"/>
        </w:rPr>
      </w:r>
    </w:p>
    <w:p w:rsidR="00000000" w:rsidDel="00000000" w:rsidP="00000000" w:rsidRDefault="00000000" w:rsidRPr="00000000" w14:paraId="0000011C">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Em grande parte das vezes, as mortes maternas poderiam ser evitadas se fosse garantido o acesso à saúde, com acompanhamento médico, a realização do pré-natal e o direito ao aborto legal, que ainda é inviabilizado em países onde existe uma política de controle dos corpos e da reprodução feminina.</w:t>
      </w:r>
      <w:r w:rsidDel="00000000" w:rsidR="00000000" w:rsidRPr="00000000">
        <w:rPr>
          <w:rtl w:val="0"/>
        </w:rPr>
      </w:r>
    </w:p>
    <w:p w:rsidR="00000000" w:rsidDel="00000000" w:rsidP="00000000" w:rsidRDefault="00000000" w:rsidRPr="00000000" w14:paraId="0000011D">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O presente artigo apresenta o feminicídio reprodutivo como uma realidade causada pela interrupção voluntária da gravidez (IVG) realizada de maneira ilegal e insegura no Brasil graças à restrição do serviço no SUS. A atual legislação brasileira não só não oferece o serviço como criminaliza o aborto voluntário por considerá-lo crime contra a vida, evidenciando a opressão ao feminino por meio de políticas estatais e reforçando a violência institucional contra a mulher.</w:t>
      </w:r>
      <w:r w:rsidDel="00000000" w:rsidR="00000000" w:rsidRPr="00000000">
        <w:rPr>
          <w:rtl w:val="0"/>
        </w:rPr>
      </w:r>
    </w:p>
    <w:p w:rsidR="00000000" w:rsidDel="00000000" w:rsidP="00000000" w:rsidRDefault="00000000" w:rsidRPr="00000000" w14:paraId="0000011E">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No país, o aborto é permitido em três casos: (i) risco de vida da mulher; (ii) anencefalia; e (iii) gravidez decorrente de estupro. Aqui serão apresentados os motivos pelos quais o pensamento do Estado brasileiro acerca desse tema é no mínimo contraditório.</w:t>
      </w:r>
      <w:r w:rsidDel="00000000" w:rsidR="00000000" w:rsidRPr="00000000">
        <w:rPr>
          <w:rtl w:val="0"/>
        </w:rPr>
      </w:r>
    </w:p>
    <w:p w:rsidR="00000000" w:rsidDel="00000000" w:rsidP="00000000" w:rsidRDefault="00000000" w:rsidRPr="00000000" w14:paraId="0000011F">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criminalização do aborto não impede que pessoas grávidas o realizem de maneira ilegal. Na verdade, o que a proibição causa são mortes e complicações que poderiam ser evitadas, além de poder deixar sequelas psicológicas e traumáticas que dificilmente serão tratadas, pelo fato de o aborto ser uma questão censurada pela moral.</w:t>
      </w:r>
      <w:r w:rsidDel="00000000" w:rsidR="00000000" w:rsidRPr="00000000">
        <w:rPr>
          <w:rtl w:val="0"/>
        </w:rPr>
      </w:r>
    </w:p>
    <w:p w:rsidR="00000000" w:rsidDel="00000000" w:rsidP="00000000" w:rsidRDefault="00000000" w:rsidRPr="00000000" w14:paraId="00000120">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Segundo Ventura (2009), a criminalização da IVG é uma condenação da mulher sem o devido processo legal, visto que prosseguir com uma gravidez implica riscos de vida, principalmente quando indesejada. É também uma relação forçada, a partir de uma maternidade imposta, que faz com que mulheres que engravidam passem compulsoriamente pelos riscos e arquem com os custos da reprodução em seus corpos. Essa legislação punitivista contrasta com os anseios do movimento feminista brasileiro que, ao longo das últimas décadas, vem lutando tanto para legalizar o aborto, quanto para barrar projetos que visam à proteção do nascituro, em sacrifício do direito de escolha da mulher.</w:t>
      </w:r>
      <w:r w:rsidDel="00000000" w:rsidR="00000000" w:rsidRPr="00000000">
        <w:rPr>
          <w:rtl w:val="0"/>
        </w:rPr>
      </w:r>
    </w:p>
    <w:p w:rsidR="00000000" w:rsidDel="00000000" w:rsidP="00000000" w:rsidRDefault="00000000" w:rsidRPr="00000000" w14:paraId="00000121">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política criminalizante do aborto viola a garantia dos direitos fundamentais das mulheres, por restringir o acesso à saúde e por favorecer tratamentos degradantes e desumanos, e fere direitos sexuais e reprodutivos femininos, por restringir diretamente a liberdade reprodutiva e a autonomia feminina sobre nossos próprios corpos.</w:t>
      </w:r>
      <w:r w:rsidDel="00000000" w:rsidR="00000000" w:rsidRPr="00000000">
        <w:rPr>
          <w:rtl w:val="0"/>
        </w:rPr>
      </w:r>
    </w:p>
    <w:p w:rsidR="00000000" w:rsidDel="00000000" w:rsidP="00000000" w:rsidRDefault="00000000" w:rsidRPr="00000000" w14:paraId="00000122">
      <w:pPr>
        <w:spacing w:after="0" w:line="360" w:lineRule="auto"/>
        <w:ind w:righ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Desde a Conferência Internacional sobre População e Desenvolvimento das Nações Unidas do Cairo, em 1994, e a Quarta Conferência Mundial sobre as Mulheres, no âmbito do sistema ONU, de Pequim, em 1995, recomenda-se que os Estados que atualmente penalizam essa conduta removam-na do âmbito criminal, e a coloquem como questão de saúde pública e de desigualdade de gênero. Segundo as definições da OMS em Cairo, em 1994:</w:t>
      </w:r>
    </w:p>
    <w:p w:rsidR="00000000" w:rsidDel="00000000" w:rsidP="00000000" w:rsidRDefault="00000000" w:rsidRPr="00000000" w14:paraId="00000123">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Saúde reprodutiva é um estado completo de bem-estar físico, mental e social, não apenas a ausência de doenças ou incapacidades, em todas as questões relacionadas ao sistema reprodutivo e suas funções e processos. A saúde reprodutiva implica, por conseguinte, que a pessoa possa ter uma vida sexual segura e satisfatória, tendo a capacidade de reproduzir e a liberdade de decidir sobre quando e quantas vezes deve fazê-lo. (ONU, 2007, p. 62).</w:t>
      </w:r>
    </w:p>
    <w:p w:rsidR="00000000" w:rsidDel="00000000" w:rsidP="00000000" w:rsidRDefault="00000000" w:rsidRPr="00000000" w14:paraId="00000125">
      <w:pPr>
        <w:spacing w:after="0" w:line="36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spacing w:after="0" w:line="360" w:lineRule="auto"/>
        <w:ind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 saúde reprodutiva deve ser entendida, portanto, não mais limitada pela capacidade de reproduzir. Com isso, novas fronteiras são abertas e debates sobre direitos ligados à sexualidade, aborto, infecções sexualmente transmissíveis (IST’s), criação dos filhos e violência de gênero entram em cena.</w:t>
      </w:r>
      <w:r w:rsidDel="00000000" w:rsidR="00000000" w:rsidRPr="00000000">
        <w:rPr>
          <w:rtl w:val="0"/>
        </w:rPr>
      </w:r>
    </w:p>
    <w:p w:rsidR="00000000" w:rsidDel="00000000" w:rsidP="00000000" w:rsidRDefault="00000000" w:rsidRPr="00000000" w14:paraId="00000127">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 ressaltar que no Brasil, a Constituição Federal de 1988 (CRFB/88) não prevê que a proteção à vida se inicie desde a concepção, o que leva a compreensão de que o nascituro não tem status de pessoa e, portanto, a legislação deveria visar de antemão a proteção da mulher e da pessoa gestante, visando sua dignidade na sua qualidade de pessoa. Porém, contraditoriamente, o aborto continua incluído no Código Penal. </w:t>
      </w:r>
    </w:p>
    <w:p w:rsidR="00000000" w:rsidDel="00000000" w:rsidP="00000000" w:rsidRDefault="00000000" w:rsidRPr="00000000" w14:paraId="00000128">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Criado em 1984, com grande participação do movimento feminista e sanitarista, o Programa de Assistência Integral da Saúde da Mulher (PAISM) entrou em pleno funcionamento somente em 2003 com a criação da Secretaria Especial de Políticas para as Mulheres (SPM) durante o primeiro governo Lula.</w:t>
      </w:r>
    </w:p>
    <w:p w:rsidR="00000000" w:rsidDel="00000000" w:rsidP="00000000" w:rsidRDefault="00000000" w:rsidRPr="00000000" w14:paraId="00000129">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CPIs de 1991 e de 2001 sobre a esterilização compulsória e a alta incidência de mortes maternas foram esforços legislativos a fim de reduzir a desigualdade de gênero e a mortalidade e morbidade feminina. Através delas foi possível constatar o grande impacto do aborto inseguro nas mortes maternas e a vulnerabilidade da mulher no que se refere à saúde reprodutiva, principalmente quando ela é negra e pobre. Nesse contexto, foram executadas normas sanitárias para facilitar o acesso à interrupção da gravidez nos casos permitidos por lei, como a Norma Técnica do Ministério da Saúde de 2005 (Brasil, 2011), e para garantir assistência às mulheres com complicações decorrentes de abortos inseguros. </w:t>
      </w:r>
    </w:p>
    <w:p w:rsidR="00000000" w:rsidDel="00000000" w:rsidP="00000000" w:rsidRDefault="00000000" w:rsidRPr="00000000" w14:paraId="0000012A">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2004, com a 1º Conferência Nacional de Políticas para as Mulheres, e em 2005, com a Comissão Tripartite, composta pelo governo, pelo Congresso Nacional e pela sociedade civil, para rever a criminalização do aborto, com coordenação da Secretaria Especial de Políticas para as Mulheres (SPM), foram feitos relatórios que alertavam a necessidade de legalizar o aborto até a 12ª semana de gestação e em outros casos previstos. O parecer foi incorporado pela relatora Jandira Feghali (PCdoB) ao PL 1.135/91, de autoria do PT. Em turbulentas discussões, o texto do PL foi reduzido a descriminalizar sem especificar as condições. (CFEMEA, 2008)</w:t>
      </w:r>
    </w:p>
    <w:p w:rsidR="00000000" w:rsidDel="00000000" w:rsidP="00000000" w:rsidRDefault="00000000" w:rsidRPr="00000000" w14:paraId="0000012B">
      <w:pPr>
        <w:spacing w:after="0" w:line="360" w:lineRule="auto"/>
        <w:ind w:right="0" w:firstLine="708"/>
        <w:jc w:val="both"/>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sz w:val="24"/>
          <w:szCs w:val="24"/>
          <w:rtl w:val="0"/>
        </w:rPr>
        <w:t xml:space="preserve">Em 2008, Jofran Frejat (PR/DF) e o evangélico Eduardo Cunha (PMDB/RJ) </w:t>
      </w:r>
      <w:r w:rsidDel="00000000" w:rsidR="00000000" w:rsidRPr="00000000">
        <w:rPr>
          <w:rFonts w:ascii="Times New Roman" w:cs="Times New Roman" w:eastAsia="Times New Roman" w:hAnsi="Times New Roman"/>
          <w:color w:val="000000"/>
          <w:sz w:val="24"/>
          <w:szCs w:val="24"/>
          <w:rtl w:val="0"/>
        </w:rPr>
        <w:t xml:space="preserve">adotaram manobras regimentais para dar um andamento mais acelerado a tramitação do PL, forçando a sua rejeição </w:t>
      </w:r>
      <w:r w:rsidDel="00000000" w:rsidR="00000000" w:rsidRPr="00000000">
        <w:rPr>
          <w:rFonts w:ascii="Times New Roman" w:cs="Times New Roman" w:eastAsia="Times New Roman" w:hAnsi="Times New Roman"/>
          <w:sz w:val="24"/>
          <w:szCs w:val="24"/>
          <w:rtl w:val="0"/>
        </w:rPr>
        <w:t xml:space="preserve">(CFEMEA, 2008). Cabe frisar que Eduardo Cunha também o autor da </w:t>
      </w:r>
      <w:r w:rsidDel="00000000" w:rsidR="00000000" w:rsidRPr="00000000">
        <w:rPr>
          <w:rFonts w:ascii="Times New Roman" w:cs="Times New Roman" w:eastAsia="Times New Roman" w:hAnsi="Times New Roman"/>
          <w:color w:val="202122"/>
          <w:sz w:val="24"/>
          <w:szCs w:val="24"/>
          <w:highlight w:val="white"/>
          <w:rtl w:val="0"/>
        </w:rPr>
        <w:t xml:space="preserve">PEC 164/2012, que trata a respeito da inviolabilidade do direito à vida desde a concepção (B</w:t>
      </w:r>
      <w:r w:rsidDel="00000000" w:rsidR="00000000" w:rsidRPr="00000000">
        <w:rPr>
          <w:rFonts w:ascii="Times New Roman" w:cs="Times New Roman" w:eastAsia="Times New Roman" w:hAnsi="Times New Roman"/>
          <w:sz w:val="24"/>
          <w:szCs w:val="24"/>
          <w:rtl w:val="0"/>
        </w:rPr>
        <w:t xml:space="preserve">rasil</w:t>
      </w:r>
      <w:r w:rsidDel="00000000" w:rsidR="00000000" w:rsidRPr="00000000">
        <w:rPr>
          <w:rFonts w:ascii="Times New Roman" w:cs="Times New Roman" w:eastAsia="Times New Roman" w:hAnsi="Times New Roman"/>
          <w:color w:val="202122"/>
          <w:sz w:val="24"/>
          <w:szCs w:val="24"/>
          <w:highlight w:val="white"/>
          <w:rtl w:val="0"/>
        </w:rPr>
        <w:t xml:space="preserve">, 2020).</w:t>
      </w:r>
    </w:p>
    <w:p w:rsidR="00000000" w:rsidDel="00000000" w:rsidP="00000000" w:rsidRDefault="00000000" w:rsidRPr="00000000" w14:paraId="0000012C">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2"/>
          <w:sz w:val="24"/>
          <w:szCs w:val="24"/>
          <w:highlight w:val="white"/>
          <w:rtl w:val="0"/>
        </w:rPr>
        <w:t xml:space="preserve">Em 2012, o </w:t>
      </w:r>
      <w:r w:rsidDel="00000000" w:rsidR="00000000" w:rsidRPr="00000000">
        <w:rPr>
          <w:rFonts w:ascii="Times New Roman" w:cs="Times New Roman" w:eastAsia="Times New Roman" w:hAnsi="Times New Roman"/>
          <w:sz w:val="24"/>
          <w:szCs w:val="24"/>
          <w:rtl w:val="0"/>
        </w:rPr>
        <w:t xml:space="preserve">Supremo Tribunal Federal (STF) votou a favor do aborto terapêutico em casos de anencefalia alegando que a condição é incompatível com a vida. (Brasil, 2023)</w:t>
      </w:r>
    </w:p>
    <w:p w:rsidR="00000000" w:rsidDel="00000000" w:rsidP="00000000" w:rsidRDefault="00000000" w:rsidRPr="00000000" w14:paraId="0000012D">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2015, sempre o mesmo deputado, Eduardo Cunha, assumiu a presidência da Câmara, e colocou em pauta o Projeto de Lei (PL) 5069/2013 que visava restringir o direito ao aborto legal, dificultando o acesso ao serviço às mulheres vítimas de estupro. Esse fato fez com que em outubro do mesmo ano, as brasileiras se levantassem a fim de impedir o tal PL. Esse momento ficou conhecido como Primavera Feminista e gerou grandes reverberações em 2016. (Portal Catarinas, 2018)</w:t>
      </w:r>
    </w:p>
    <w:p w:rsidR="00000000" w:rsidDel="00000000" w:rsidP="00000000" w:rsidRDefault="00000000" w:rsidRPr="00000000" w14:paraId="0000012E">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2017, na leva da Primavera Feminista, o Partido Socialismo e Liberdade (PSOL) elaborou a Arguição de Descumprimento de Preceito Fundamental (ADPF) 442 e a apresentou ao STF. Assim, através da ADPF 442, o partido pede a descriminalização do aborto nas 12 primeiras semanas de gestação, alegando violação de diversos princípios fundamentais que ferem a dignidade da pessoa humana, a cidadania, a igualdade, a não discriminação, a liberdade, a proibição de tortura ou o tratamento desumano e degradante, a inviolabilidade da vida, a saúde e o planejamento familiar das mulheres e os direitos sexuais e reprodutivos. (Brasil, 2018)</w:t>
      </w:r>
    </w:p>
    <w:p w:rsidR="00000000" w:rsidDel="00000000" w:rsidP="00000000" w:rsidRDefault="00000000" w:rsidRPr="00000000" w14:paraId="0000012F">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Em 2018, a relatora Rosa Weber convocou uma audiência pública com significativa visibilidade nacional, onde foram chamadas mais de 40 representantes dos diversos setores envolvidos na questão, entre especialistas, instituições e organizações nacionais e internacionais, para debaterem o tema, como representantes do Ministério da Saúde, da Federação Brasileira das Associações de Ginecologia e Obstetrícia (FEBRASGO), da Academia Nacional de Medicina, da Fundação Oswaldo Cruz (FIOCRUZ), da Conferência Nacional dos Bispos do Brasil (CNBB) e do Conselho Federal de Psicologia (Brasil, 2018). No fim da audiência pública, a ministra agradeceu a todas as falas e disse que seria necessário um momento de reflexão para amadurecimento da causa. (Brasil, 2018)</w:t>
      </w:r>
    </w:p>
    <w:p w:rsidR="00000000" w:rsidDel="00000000" w:rsidP="00000000" w:rsidRDefault="00000000" w:rsidRPr="00000000" w14:paraId="00000130">
      <w:pPr>
        <w:spacing w:after="0" w:line="360" w:lineRule="auto"/>
        <w:ind w:right="0"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Agora em 2023, também graças a forte demanda dos movimentos feministas, a ministra Rosa Weber, dias antes de se aposentar, finalmente votou virtualmente a favor da descriminalização em suas 129 páginas de voto, alegando ser uma questão de justiça social e reprodutiva. Dada a importância do tema, a pedido do ministro Luís Roberto Barroso, o julgamento foi suspenso para que a votação ocorra em sessão presencial do Plenário, em data a ser definida. (Brasil, 2023)</w:t>
      </w:r>
    </w:p>
    <w:p w:rsidR="00000000" w:rsidDel="00000000" w:rsidP="00000000" w:rsidRDefault="00000000" w:rsidRPr="00000000" w14:paraId="00000131">
      <w:pPr>
        <w:spacing w:after="0" w:line="360" w:lineRule="auto"/>
        <w:ind w:right="0"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Mesmo com os esforços e com os avanços em prol da autodeterminação das mulheres, a vigente política opressora do Estado – que leva mulheres a se submeterem a abortos clandestinos e inseguros – é a grande causadora das mortes de milhares de mulheres brasileiras, em especial as negras e pobres que não podem pagar pelo procedimento seguro. Por esse motivo, a atuação estatal é o feminicida institucional responsável, de forma indireta, pelo feminicídio reprodutivo que ocorre no Brasil.</w:t>
      </w:r>
    </w:p>
    <w:p w:rsidR="00000000" w:rsidDel="00000000" w:rsidP="00000000" w:rsidRDefault="00000000" w:rsidRPr="00000000" w14:paraId="00000132">
      <w:pPr>
        <w:spacing w:after="0" w:line="360" w:lineRule="auto"/>
        <w:ind w:right="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33">
      <w:pPr>
        <w:spacing w:after="0" w:line="360" w:lineRule="auto"/>
        <w:ind w:right="0"/>
        <w:jc w:val="both"/>
        <w:rPr>
          <w:rFonts w:ascii="Times New Roman" w:cs="Times New Roman" w:eastAsia="Times New Roman" w:hAnsi="Times New Roman"/>
          <w:i w:val="1"/>
          <w:color w:val="000000"/>
          <w:sz w:val="24"/>
          <w:szCs w:val="24"/>
          <w:highlight w:val="white"/>
        </w:rPr>
      </w:pPr>
      <w:r w:rsidDel="00000000" w:rsidR="00000000" w:rsidRPr="00000000">
        <w:rPr>
          <w:rFonts w:ascii="Times New Roman" w:cs="Times New Roman" w:eastAsia="Times New Roman" w:hAnsi="Times New Roman"/>
          <w:i w:val="1"/>
          <w:color w:val="000000"/>
          <w:sz w:val="24"/>
          <w:szCs w:val="24"/>
          <w:highlight w:val="white"/>
          <w:rtl w:val="0"/>
        </w:rPr>
        <w:t xml:space="preserve">Considerações finais</w:t>
      </w:r>
    </w:p>
    <w:p w:rsidR="00000000" w:rsidDel="00000000" w:rsidP="00000000" w:rsidRDefault="00000000" w:rsidRPr="00000000" w14:paraId="00000134">
      <w:pPr>
        <w:spacing w:after="0" w:line="360" w:lineRule="auto"/>
        <w:ind w:right="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35">
      <w:pPr>
        <w:spacing w:after="0" w:line="360" w:lineRule="auto"/>
        <w:ind w:right="0"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Ao longo do texto, também foi apresentada uma análise histórica da evolução do conceito de feminicídio na América Latina, desde suas origens nos movimentos feministas até sua incorporação nas legislações de diversos países da região. O conceito de "feminicídio reprodutivo" foi contextualizado dentro desse histórico, destacando como as mortes relacionadas à reprodução são uma forma específica de violência de gênero e como a criminalização do aborto e a falta de acesso a serviços de saúde seguros resultam em mortes evitáveis de mulheres, principalmente aquelas de baixa renda, negras e indígenas. </w:t>
      </w:r>
    </w:p>
    <w:p w:rsidR="00000000" w:rsidDel="00000000" w:rsidP="00000000" w:rsidRDefault="00000000" w:rsidRPr="00000000" w14:paraId="00000136">
      <w:pPr>
        <w:spacing w:after="0" w:line="360" w:lineRule="auto"/>
        <w:ind w:right="0"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O termo "feminicídio reprodutivo" foi aqui explorado em relação às mortes decorrentes de abortos inseguros e à responsabilidade indireta do Estado nesses óbitos, ressaltando que a criminalização do aborto é uma forma de violência institucional que perpetua a opressão de gênero. Foi também discutido como a falta de políticas públicas adequadas de saúde reprodutiva e a omissão em garantir o direito ao aborto seguro contribuem para a ocorrência do feminicídio reprodutivo. A importância de políticas de saúde integral da mulher, que respeitem nossa autonomia e nossos direitos sexuais e reprodutivos, foi enfatizada como um caminho essencial para evitar essas mortes.</w:t>
      </w:r>
    </w:p>
    <w:p w:rsidR="00000000" w:rsidDel="00000000" w:rsidP="00000000" w:rsidRDefault="00000000" w:rsidRPr="00000000" w14:paraId="00000137">
      <w:pPr>
        <w:spacing w:after="0" w:line="360" w:lineRule="auto"/>
        <w:ind w:right="0"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Além disso, foram abordados os esforços e lutas do movimento feminista no Brasil para garantir o acesso ao aborto seguro e para combater a criminalização dessa prática. Foram mencionadas as mobilizações populares, como a Primavera Feminista, e as iniciativas legislativas, como a ADPF 442, que busca a descriminalização do aborto nas 12 primeiras semanas de gestação, e que tiveram e estão tendo um impacto significativo na conscientização e no debate público sobre essa questão.</w:t>
      </w:r>
    </w:p>
    <w:p w:rsidR="00000000" w:rsidDel="00000000" w:rsidP="00000000" w:rsidRDefault="00000000" w:rsidRPr="00000000" w14:paraId="00000138">
      <w:pPr>
        <w:spacing w:after="0" w:line="360" w:lineRule="auto"/>
        <w:ind w:right="0"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Em suma, o feminicídio reprodutivo é uma realidade trágica que persiste no Brasil devido às políticas restritivas do Estado em relação ao aborto. A luta pelo reconhecimento dos direitos reprodutivos das mulheres, pelo acesso seguro ao aborto e pela eliminação das barreiras que colocam nossas vidas em risco continua sendo fundamental para garantir a equidade de gênero, a liberdade de escolha e autodeterminação e a saúde da população no país.</w:t>
      </w:r>
    </w:p>
    <w:p w:rsidR="00000000" w:rsidDel="00000000" w:rsidP="00000000" w:rsidRDefault="00000000" w:rsidRPr="00000000" w14:paraId="00000139">
      <w:pPr>
        <w:spacing w:after="0" w:line="360" w:lineRule="auto"/>
        <w:ind w:right="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3A">
      <w:pPr>
        <w:spacing w:after="0" w:line="360" w:lineRule="auto"/>
        <w:ind w:right="0"/>
        <w:jc w:val="both"/>
        <w:rPr>
          <w:rFonts w:ascii="Times New Roman" w:cs="Times New Roman" w:eastAsia="Times New Roman" w:hAnsi="Times New Roman"/>
          <w:i w:val="1"/>
          <w:color w:val="000000"/>
          <w:sz w:val="24"/>
          <w:szCs w:val="24"/>
          <w:highlight w:val="white"/>
        </w:rPr>
      </w:pPr>
      <w:r w:rsidDel="00000000" w:rsidR="00000000" w:rsidRPr="00000000">
        <w:rPr>
          <w:rFonts w:ascii="Times New Roman" w:cs="Times New Roman" w:eastAsia="Times New Roman" w:hAnsi="Times New Roman"/>
          <w:i w:val="1"/>
          <w:color w:val="000000"/>
          <w:sz w:val="24"/>
          <w:szCs w:val="24"/>
          <w:highlight w:val="white"/>
          <w:rtl w:val="0"/>
        </w:rPr>
        <w:t xml:space="preserve">Referências bibliográficas</w:t>
      </w:r>
    </w:p>
    <w:p w:rsidR="00000000" w:rsidDel="00000000" w:rsidP="00000000" w:rsidRDefault="00000000" w:rsidRPr="00000000" w14:paraId="0000013B">
      <w:pPr>
        <w:spacing w:after="0" w:line="360" w:lineRule="auto"/>
        <w:ind w:right="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1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Câmara dos Deputados. </w:t>
      </w:r>
      <w:r w:rsidDel="00000000" w:rsidR="00000000" w:rsidRPr="00000000">
        <w:rPr>
          <w:rFonts w:ascii="Times New Roman" w:cs="Times New Roman" w:eastAsia="Times New Roman" w:hAnsi="Times New Roman"/>
          <w:b w:val="1"/>
          <w:sz w:val="24"/>
          <w:szCs w:val="24"/>
          <w:rtl w:val="0"/>
        </w:rPr>
        <w:t xml:space="preserve">PEC 164/2012 para garantir aos fetos, desde a concepção, a inviolabilidade do direito à vida</w:t>
      </w:r>
      <w:r w:rsidDel="00000000" w:rsidR="00000000" w:rsidRPr="00000000">
        <w:rPr>
          <w:rFonts w:ascii="Times New Roman" w:cs="Times New Roman" w:eastAsia="Times New Roman" w:hAnsi="Times New Roman"/>
          <w:sz w:val="24"/>
          <w:szCs w:val="24"/>
          <w:rtl w:val="0"/>
        </w:rPr>
        <w:t xml:space="preserve">. Brasília, 2000. Disponível em:  </w:t>
      </w:r>
      <w:hyperlink r:id="rId27">
        <w:r w:rsidDel="00000000" w:rsidR="00000000" w:rsidRPr="00000000">
          <w:rPr>
            <w:rFonts w:ascii="Times New Roman" w:cs="Times New Roman" w:eastAsia="Times New Roman" w:hAnsi="Times New Roman"/>
            <w:color w:val="000000"/>
            <w:sz w:val="24"/>
            <w:szCs w:val="24"/>
            <w:u w:val="single"/>
            <w:rtl w:val="0"/>
          </w:rPr>
          <w:t xml:space="preserve">https://www.camara.leg.br/propostas-legislativas/543252</w:t>
        </w:r>
      </w:hyperlink>
      <w:r w:rsidDel="00000000" w:rsidR="00000000" w:rsidRPr="00000000">
        <w:rPr>
          <w:rFonts w:ascii="Times New Roman" w:cs="Times New Roman" w:eastAsia="Times New Roman" w:hAnsi="Times New Roman"/>
          <w:sz w:val="24"/>
          <w:szCs w:val="24"/>
          <w:rtl w:val="0"/>
        </w:rPr>
        <w:t xml:space="preserve">. Acessado em: 08/10/2023.</w:t>
      </w:r>
    </w:p>
    <w:p w:rsidR="00000000" w:rsidDel="00000000" w:rsidP="00000000" w:rsidRDefault="00000000" w:rsidRPr="00000000" w14:paraId="000001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 Ministério da Saúde. </w:t>
      </w:r>
      <w:r w:rsidDel="00000000" w:rsidR="00000000" w:rsidRPr="00000000">
        <w:rPr>
          <w:rFonts w:ascii="Times New Roman" w:cs="Times New Roman" w:eastAsia="Times New Roman" w:hAnsi="Times New Roman"/>
          <w:b w:val="1"/>
          <w:sz w:val="24"/>
          <w:szCs w:val="24"/>
          <w:rtl w:val="0"/>
        </w:rPr>
        <w:t xml:space="preserve">Norma técnica: atenção humanizada ao abortamento</w:t>
      </w:r>
      <w:r w:rsidDel="00000000" w:rsidR="00000000" w:rsidRPr="00000000">
        <w:rPr>
          <w:rFonts w:ascii="Times New Roman" w:cs="Times New Roman" w:eastAsia="Times New Roman" w:hAnsi="Times New Roman"/>
          <w:sz w:val="24"/>
          <w:szCs w:val="24"/>
          <w:rtl w:val="0"/>
        </w:rPr>
        <w:t xml:space="preserve">. 2ª Edição, Brasília, 2011. Disponível em: </w:t>
      </w:r>
      <w:hyperlink r:id="rId28">
        <w:r w:rsidDel="00000000" w:rsidR="00000000" w:rsidRPr="00000000">
          <w:rPr>
            <w:rFonts w:ascii="Times New Roman" w:cs="Times New Roman" w:eastAsia="Times New Roman" w:hAnsi="Times New Roman"/>
            <w:color w:val="000000"/>
            <w:sz w:val="24"/>
            <w:szCs w:val="24"/>
            <w:u w:val="single"/>
            <w:rtl w:val="0"/>
          </w:rPr>
          <w:t xml:space="preserve">https://bvsms.saude.gov.br/bvs/publicacoes/atencao_ humanizada_abortamento_norma_tecnica_2ed.pdf</w:t>
        </w:r>
      </w:hyperlink>
      <w:r w:rsidDel="00000000" w:rsidR="00000000" w:rsidRPr="00000000">
        <w:rPr>
          <w:rFonts w:ascii="Times New Roman" w:cs="Times New Roman" w:eastAsia="Times New Roman" w:hAnsi="Times New Roman"/>
          <w:sz w:val="24"/>
          <w:szCs w:val="24"/>
          <w:rtl w:val="0"/>
        </w:rPr>
        <w:t xml:space="preserve">. Acessado em 08/10/2023.</w:t>
      </w:r>
    </w:p>
    <w:p w:rsidR="00000000" w:rsidDel="00000000" w:rsidP="00000000" w:rsidRDefault="00000000" w:rsidRPr="00000000" w14:paraId="0000013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 Ministério da Saúde. </w:t>
      </w:r>
      <w:r w:rsidDel="00000000" w:rsidR="00000000" w:rsidRPr="00000000">
        <w:rPr>
          <w:rFonts w:ascii="Times New Roman" w:cs="Times New Roman" w:eastAsia="Times New Roman" w:hAnsi="Times New Roman"/>
          <w:b w:val="1"/>
          <w:sz w:val="24"/>
          <w:szCs w:val="24"/>
          <w:rtl w:val="0"/>
        </w:rPr>
        <w:t xml:space="preserve">Política Nacional de Redução da Morbimortalidade por Acidentes e Violência</w:t>
      </w:r>
      <w:r w:rsidDel="00000000" w:rsidR="00000000" w:rsidRPr="00000000">
        <w:rPr>
          <w:rFonts w:ascii="Times New Roman" w:cs="Times New Roman" w:eastAsia="Times New Roman" w:hAnsi="Times New Roman"/>
          <w:i w:val="1"/>
          <w:sz w:val="24"/>
          <w:szCs w:val="24"/>
          <w:rtl w:val="0"/>
        </w:rPr>
        <w:t xml:space="preserve">s</w:t>
      </w:r>
      <w:r w:rsidDel="00000000" w:rsidR="00000000" w:rsidRPr="00000000">
        <w:rPr>
          <w:rFonts w:ascii="Times New Roman" w:cs="Times New Roman" w:eastAsia="Times New Roman" w:hAnsi="Times New Roman"/>
          <w:sz w:val="24"/>
          <w:szCs w:val="24"/>
          <w:rtl w:val="0"/>
        </w:rPr>
        <w:t xml:space="preserve">, Brasília, 2002. Disponível em: </w:t>
      </w:r>
      <w:hyperlink r:id="rId29">
        <w:r w:rsidDel="00000000" w:rsidR="00000000" w:rsidRPr="00000000">
          <w:rPr>
            <w:rFonts w:ascii="Times New Roman" w:cs="Times New Roman" w:eastAsia="Times New Roman" w:hAnsi="Times New Roman"/>
            <w:color w:val="000000"/>
            <w:sz w:val="24"/>
            <w:szCs w:val="24"/>
            <w:u w:val="single"/>
            <w:rtl w:val="0"/>
          </w:rPr>
          <w:t xml:space="preserve">http://bvsms.saude.gov.br/bvs/ publicacoes/acidentes.pdf</w:t>
        </w:r>
      </w:hyperlink>
      <w:r w:rsidDel="00000000" w:rsidR="00000000" w:rsidRPr="00000000">
        <w:rPr>
          <w:rFonts w:ascii="Times New Roman" w:cs="Times New Roman" w:eastAsia="Times New Roman" w:hAnsi="Times New Roman"/>
          <w:sz w:val="24"/>
          <w:szCs w:val="24"/>
          <w:rtl w:val="0"/>
        </w:rPr>
        <w:t xml:space="preserve">. Acessado em 04/10/2023. </w:t>
      </w:r>
    </w:p>
    <w:p w:rsidR="00000000" w:rsidDel="00000000" w:rsidP="00000000" w:rsidRDefault="00000000" w:rsidRPr="00000000" w14:paraId="0000014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 Supremo Tribunal Federal.</w:t>
      </w:r>
      <w:r w:rsidDel="00000000" w:rsidR="00000000" w:rsidRPr="00000000">
        <w:rPr>
          <w:rFonts w:ascii="Times New Roman" w:cs="Times New Roman" w:eastAsia="Times New Roman" w:hAnsi="Times New Roman"/>
          <w:b w:val="1"/>
          <w:sz w:val="24"/>
          <w:szCs w:val="24"/>
          <w:rtl w:val="0"/>
        </w:rPr>
        <w:t xml:space="preserve"> STF realiza audiência pública sobre descriminalização do aborto nos dias 3 e 6 de agosto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Brasília, 2018. Disponível em:  </w:t>
      </w:r>
      <w:hyperlink r:id="rId30">
        <w:r w:rsidDel="00000000" w:rsidR="00000000" w:rsidRPr="00000000">
          <w:rPr>
            <w:rFonts w:ascii="Times New Roman" w:cs="Times New Roman" w:eastAsia="Times New Roman" w:hAnsi="Times New Roman"/>
            <w:color w:val="000000"/>
            <w:sz w:val="24"/>
            <w:szCs w:val="24"/>
            <w:u w:val="single"/>
            <w:rtl w:val="0"/>
          </w:rPr>
          <w:t xml:space="preserve">https://portal.stf.jus.br/ noticias/verNoticiaDetalhe.asp?idConteudo=385093</w:t>
        </w:r>
      </w:hyperlink>
      <w:r w:rsidDel="00000000" w:rsidR="00000000" w:rsidRPr="00000000">
        <w:rPr>
          <w:rFonts w:ascii="Times New Roman" w:cs="Times New Roman" w:eastAsia="Times New Roman" w:hAnsi="Times New Roman"/>
          <w:sz w:val="24"/>
          <w:szCs w:val="24"/>
          <w:rtl w:val="0"/>
        </w:rPr>
        <w:t xml:space="preserve">. Acessado em: 08/10/2023.</w:t>
      </w:r>
    </w:p>
    <w:p w:rsidR="00000000" w:rsidDel="00000000" w:rsidP="00000000" w:rsidRDefault="00000000" w:rsidRPr="00000000" w14:paraId="0000014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 Supremo Tribunal Federal. </w:t>
      </w:r>
      <w:r w:rsidDel="00000000" w:rsidR="00000000" w:rsidRPr="00000000">
        <w:rPr>
          <w:rFonts w:ascii="Times New Roman" w:cs="Times New Roman" w:eastAsia="Times New Roman" w:hAnsi="Times New Roman"/>
          <w:b w:val="1"/>
          <w:sz w:val="24"/>
          <w:szCs w:val="24"/>
          <w:rtl w:val="0"/>
        </w:rPr>
        <w:t xml:space="preserve">Relatora encerra audiência pública sobre descriminalização do aborto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Brasília, 2018. Disponível em: </w:t>
      </w:r>
      <w:hyperlink r:id="rId31">
        <w:r w:rsidDel="00000000" w:rsidR="00000000" w:rsidRPr="00000000">
          <w:rPr>
            <w:rFonts w:ascii="Times New Roman" w:cs="Times New Roman" w:eastAsia="Times New Roman" w:hAnsi="Times New Roman"/>
            <w:color w:val="000000"/>
            <w:sz w:val="24"/>
            <w:szCs w:val="24"/>
            <w:u w:val="single"/>
            <w:rtl w:val="0"/>
          </w:rPr>
          <w:t xml:space="preserve">https://portal.stf.jus.br/noticias/ verNoticiaDetalhe.asp?idConteudo=386005</w:t>
        </w:r>
      </w:hyperlink>
      <w:r w:rsidDel="00000000" w:rsidR="00000000" w:rsidRPr="00000000">
        <w:rPr>
          <w:rFonts w:ascii="Times New Roman" w:cs="Times New Roman" w:eastAsia="Times New Roman" w:hAnsi="Times New Roman"/>
          <w:sz w:val="24"/>
          <w:szCs w:val="24"/>
          <w:rtl w:val="0"/>
        </w:rPr>
        <w:t xml:space="preserve">. Acessado em: 08/10/2023.</w:t>
      </w:r>
    </w:p>
    <w:p w:rsidR="00000000" w:rsidDel="00000000" w:rsidP="00000000" w:rsidRDefault="00000000" w:rsidRPr="00000000" w14:paraId="0000014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 Supremo Tribunal Federal. </w:t>
      </w:r>
      <w:r w:rsidDel="00000000" w:rsidR="00000000" w:rsidRPr="00000000">
        <w:rPr>
          <w:rFonts w:ascii="Times New Roman" w:cs="Times New Roman" w:eastAsia="Times New Roman" w:hAnsi="Times New Roman"/>
          <w:b w:val="1"/>
          <w:sz w:val="24"/>
          <w:szCs w:val="24"/>
          <w:rtl w:val="0"/>
        </w:rPr>
        <w:t xml:space="preserve">Relatora vota pela descriminalização do aborto até 12 semanas de gestação; julgamento é suspenso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Brasília, 2023. Disponível em: </w:t>
      </w:r>
      <w:hyperlink r:id="rId32">
        <w:r w:rsidDel="00000000" w:rsidR="00000000" w:rsidRPr="00000000">
          <w:rPr>
            <w:rFonts w:ascii="Times New Roman" w:cs="Times New Roman" w:eastAsia="Times New Roman" w:hAnsi="Times New Roman"/>
            <w:color w:val="000000"/>
            <w:sz w:val="24"/>
            <w:szCs w:val="24"/>
            <w:u w:val="single"/>
            <w:rtl w:val="0"/>
          </w:rPr>
          <w:t xml:space="preserve">https://portal.stf.jus.br/noticias/verNoticiaDetalhe.asp?idConteudo=514619&amp;ori=1</w:t>
        </w:r>
      </w:hyperlink>
      <w:r w:rsidDel="00000000" w:rsidR="00000000" w:rsidRPr="00000000">
        <w:rPr>
          <w:rFonts w:ascii="Times New Roman" w:cs="Times New Roman" w:eastAsia="Times New Roman" w:hAnsi="Times New Roman"/>
          <w:sz w:val="24"/>
          <w:szCs w:val="24"/>
          <w:rtl w:val="0"/>
        </w:rPr>
        <w:t xml:space="preserve">. Acessado em: 08/10/2023. </w:t>
      </w:r>
    </w:p>
    <w:p w:rsidR="00000000" w:rsidDel="00000000" w:rsidP="00000000" w:rsidRDefault="00000000" w:rsidRPr="00000000" w14:paraId="0000014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CEPAL DE LAS MUJERES. </w:t>
      </w:r>
      <w:r w:rsidDel="00000000" w:rsidR="00000000" w:rsidRPr="00000000">
        <w:rPr>
          <w:rFonts w:ascii="Times New Roman" w:cs="Times New Roman" w:eastAsia="Times New Roman" w:hAnsi="Times New Roman"/>
          <w:b w:val="1"/>
          <w:sz w:val="24"/>
          <w:szCs w:val="24"/>
          <w:rtl w:val="0"/>
        </w:rPr>
        <w:t xml:space="preserve">Consenso de Brasilia</w:t>
      </w:r>
      <w:r w:rsidDel="00000000" w:rsidR="00000000" w:rsidRPr="00000000">
        <w:rPr>
          <w:rFonts w:ascii="Times New Roman" w:cs="Times New Roman" w:eastAsia="Times New Roman" w:hAnsi="Times New Roman"/>
          <w:sz w:val="24"/>
          <w:szCs w:val="24"/>
          <w:rtl w:val="0"/>
        </w:rPr>
        <w:t xml:space="preserve">. XI Conferencia Regional Sobre la Mujer de América Latina y el Caribe. Brasília, 2010. Disponível em: </w:t>
      </w:r>
      <w:hyperlink r:id="rId33">
        <w:r w:rsidDel="00000000" w:rsidR="00000000" w:rsidRPr="00000000">
          <w:rPr>
            <w:rFonts w:ascii="Times New Roman" w:cs="Times New Roman" w:eastAsia="Times New Roman" w:hAnsi="Times New Roman"/>
            <w:color w:val="000000"/>
            <w:sz w:val="24"/>
            <w:szCs w:val="24"/>
            <w:u w:val="single"/>
            <w:rtl w:val="0"/>
          </w:rPr>
          <w:t xml:space="preserve">https://www.cepal.org/notas/66/ documentos/ConsensoBrasilia_ESP.pdf</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4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CFEMEA</w:t>
      </w:r>
      <w:r w:rsidDel="00000000" w:rsidR="00000000" w:rsidRPr="00000000">
        <w:rPr>
          <w:rFonts w:ascii="Times New Roman" w:cs="Times New Roman" w:eastAsia="Times New Roman" w:hAnsi="Times New Roman"/>
          <w:b w:val="1"/>
          <w:sz w:val="24"/>
          <w:szCs w:val="24"/>
          <w:rtl w:val="0"/>
        </w:rPr>
        <w:t xml:space="preserve">. PL 1135 - Rejeitado em duas comissões da Câmara dos Deputados</w:t>
      </w:r>
      <w:r w:rsidDel="00000000" w:rsidR="00000000" w:rsidRPr="00000000">
        <w:rPr>
          <w:rFonts w:ascii="Times New Roman" w:cs="Times New Roman" w:eastAsia="Times New Roman" w:hAnsi="Times New Roman"/>
          <w:sz w:val="24"/>
          <w:szCs w:val="24"/>
          <w:rtl w:val="0"/>
        </w:rPr>
        <w:t xml:space="preserve">, 2008. Disponível em: </w:t>
      </w:r>
      <w:hyperlink r:id="rId34">
        <w:r w:rsidDel="00000000" w:rsidR="00000000" w:rsidRPr="00000000">
          <w:rPr>
            <w:rFonts w:ascii="Times New Roman" w:cs="Times New Roman" w:eastAsia="Times New Roman" w:hAnsi="Times New Roman"/>
            <w:color w:val="000000"/>
            <w:sz w:val="24"/>
            <w:szCs w:val="24"/>
            <w:u w:val="single"/>
            <w:rtl w:val="0"/>
          </w:rPr>
          <w:t xml:space="preserve">https://www.cfemea.org.br/plataforma25anos/_anos/2008.php?iframe=aborto_ negado_2008</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4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COMISSÃO INTERAMERICANA DE DIREITOS HUMANOS (CIDH). </w:t>
      </w:r>
      <w:r w:rsidDel="00000000" w:rsidR="00000000" w:rsidRPr="00000000">
        <w:rPr>
          <w:rFonts w:ascii="Times New Roman" w:cs="Times New Roman" w:eastAsia="Times New Roman" w:hAnsi="Times New Roman"/>
          <w:b w:val="1"/>
          <w:sz w:val="24"/>
          <w:szCs w:val="24"/>
          <w:rtl w:val="0"/>
        </w:rPr>
        <w:t xml:space="preserve">Convenção De Belém Do Pará</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Convenção Interamericana para Prevenir, Punir e Erradicar a Violência Contra a Mulher. Organização dos Estados Americanos (OEA), Pará, 1994. Disponível em: </w:t>
      </w:r>
      <w:hyperlink r:id="rId35">
        <w:r w:rsidDel="00000000" w:rsidR="00000000" w:rsidRPr="00000000">
          <w:rPr>
            <w:rFonts w:ascii="Times New Roman" w:cs="Times New Roman" w:eastAsia="Times New Roman" w:hAnsi="Times New Roman"/>
            <w:color w:val="000000"/>
            <w:sz w:val="24"/>
            <w:szCs w:val="24"/>
            <w:u w:val="single"/>
            <w:rtl w:val="0"/>
          </w:rPr>
          <w:t xml:space="preserve">http://www.cidh.org/basicos/portugues/m.belem.do.para.htm</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FEGHALI, Jandira. </w:t>
      </w:r>
      <w:r w:rsidDel="00000000" w:rsidR="00000000" w:rsidRPr="00000000">
        <w:rPr>
          <w:rFonts w:ascii="Times New Roman" w:cs="Times New Roman" w:eastAsia="Times New Roman" w:hAnsi="Times New Roman"/>
          <w:b w:val="1"/>
          <w:sz w:val="24"/>
          <w:szCs w:val="24"/>
          <w:rtl w:val="0"/>
        </w:rPr>
        <w:t xml:space="preserve">Aborto no Brasil: obstáculos para o avanço da legislação</w:t>
      </w:r>
      <w:r w:rsidDel="00000000" w:rsidR="00000000" w:rsidRPr="00000000">
        <w:rPr>
          <w:rFonts w:ascii="Times New Roman" w:cs="Times New Roman" w:eastAsia="Times New Roman" w:hAnsi="Times New Roman"/>
          <w:sz w:val="24"/>
          <w:szCs w:val="24"/>
          <w:rtl w:val="0"/>
        </w:rPr>
        <w:t xml:space="preserve">. Em: CAVALCANTE, Alcilene; XAVIER, Dulce (Orgs). Em defesa da vida: aborto e direitos humanos. São Paulo: Católicas pelo Direitos de Decidir, 2006. Disponível em: </w:t>
      </w:r>
      <w:r w:rsidDel="00000000" w:rsidR="00000000" w:rsidRPr="00000000">
        <w:rPr>
          <w:rFonts w:ascii="Times New Roman" w:cs="Times New Roman" w:eastAsia="Times New Roman" w:hAnsi="Times New Roman"/>
          <w:color w:val="000000"/>
          <w:sz w:val="24"/>
          <w:szCs w:val="24"/>
          <w:u w:val="single"/>
          <w:rtl w:val="0"/>
        </w:rPr>
        <w:t xml:space="preserve">https:// catolicas.org.br/wp-content/uploads/2021/01/publicacao-EmDefesadaVida.pdf</w:t>
      </w:r>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FUNDAÇÃO OSWALDO CRUZ (FIOCRUZ). </w:t>
      </w:r>
      <w:r w:rsidDel="00000000" w:rsidR="00000000" w:rsidRPr="00000000">
        <w:rPr>
          <w:rFonts w:ascii="Times New Roman" w:cs="Times New Roman" w:eastAsia="Times New Roman" w:hAnsi="Times New Roman"/>
          <w:b w:val="1"/>
          <w:sz w:val="24"/>
          <w:szCs w:val="24"/>
          <w:rtl w:val="0"/>
        </w:rPr>
        <w:t xml:space="preserve">Nota sobre os 20 anos da Política Nacional de Redução de Morbimortalidade por Acidentes e Violências</w:t>
      </w:r>
      <w:r w:rsidDel="00000000" w:rsidR="00000000" w:rsidRPr="00000000">
        <w:rPr>
          <w:rFonts w:ascii="Times New Roman" w:cs="Times New Roman" w:eastAsia="Times New Roman" w:hAnsi="Times New Roman"/>
          <w:sz w:val="24"/>
          <w:szCs w:val="24"/>
          <w:rtl w:val="0"/>
        </w:rPr>
        <w:t xml:space="preserve">. ENSP, 2021. Disponível em: </w:t>
      </w:r>
      <w:hyperlink r:id="rId36">
        <w:r w:rsidDel="00000000" w:rsidR="00000000" w:rsidRPr="00000000">
          <w:rPr>
            <w:rFonts w:ascii="Times New Roman" w:cs="Times New Roman" w:eastAsia="Times New Roman" w:hAnsi="Times New Roman"/>
            <w:color w:val="000000"/>
            <w:sz w:val="24"/>
            <w:szCs w:val="24"/>
            <w:u w:val="single"/>
            <w:rtl w:val="0"/>
          </w:rPr>
          <w:t xml:space="preserve">https://portal.fiocruz.br/noticia/nota-sobre-os-20-anos-da-politica-nacional-de-reducao-de-morbimortalidade-por-acidentes-e</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HTUN, Mala. </w:t>
      </w:r>
      <w:r w:rsidDel="00000000" w:rsidR="00000000" w:rsidRPr="00000000">
        <w:rPr>
          <w:rFonts w:ascii="Times New Roman" w:cs="Times New Roman" w:eastAsia="Times New Roman" w:hAnsi="Times New Roman"/>
          <w:b w:val="1"/>
          <w:sz w:val="24"/>
          <w:szCs w:val="24"/>
          <w:rtl w:val="0"/>
        </w:rPr>
        <w:t xml:space="preserve">Sex and the state: abortion, divorce, and the family under Latin American dictatorships and democracies</w:t>
      </w:r>
      <w:r w:rsidDel="00000000" w:rsidR="00000000" w:rsidRPr="00000000">
        <w:rPr>
          <w:rFonts w:ascii="Times New Roman" w:cs="Times New Roman" w:eastAsia="Times New Roman" w:hAnsi="Times New Roman"/>
          <w:sz w:val="24"/>
          <w:szCs w:val="24"/>
          <w:rtl w:val="0"/>
        </w:rPr>
        <w:t xml:space="preserve">. Cambridge University Press, 2003.</w:t>
      </w:r>
    </w:p>
    <w:p w:rsidR="00000000" w:rsidDel="00000000" w:rsidP="00000000" w:rsidRDefault="00000000" w:rsidRPr="00000000" w14:paraId="000001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LAGARDE, Marcela. </w:t>
      </w:r>
      <w:r w:rsidDel="00000000" w:rsidR="00000000" w:rsidRPr="00000000">
        <w:rPr>
          <w:rFonts w:ascii="Times New Roman" w:cs="Times New Roman" w:eastAsia="Times New Roman" w:hAnsi="Times New Roman"/>
          <w:b w:val="1"/>
          <w:sz w:val="24"/>
          <w:szCs w:val="24"/>
          <w:rtl w:val="0"/>
        </w:rPr>
        <w:t xml:space="preserve">Antropología, feminismo y política: violencia feminicida y derechos humanos de las mujeres</w:t>
      </w:r>
      <w:r w:rsidDel="00000000" w:rsidR="00000000" w:rsidRPr="00000000">
        <w:rPr>
          <w:rFonts w:ascii="Times New Roman" w:cs="Times New Roman" w:eastAsia="Times New Roman" w:hAnsi="Times New Roman"/>
          <w:sz w:val="24"/>
          <w:szCs w:val="24"/>
          <w:rtl w:val="0"/>
        </w:rPr>
        <w:t xml:space="preserve">. Em: BULLEN, Margaret; DÍEZ, Carmen (Coords.) Retos Teóricos Y Nuevas Prácticas. XI Congreso de Antropología de la FAAEE, Donostia, Ankulegi Antropologia Elkartea, 2008. Disponível em: </w:t>
      </w:r>
      <w:hyperlink r:id="rId37">
        <w:r w:rsidDel="00000000" w:rsidR="00000000" w:rsidRPr="00000000">
          <w:rPr>
            <w:rFonts w:ascii="Times New Roman" w:cs="Times New Roman" w:eastAsia="Times New Roman" w:hAnsi="Times New Roman"/>
            <w:color w:val="000000"/>
            <w:sz w:val="24"/>
            <w:szCs w:val="24"/>
            <w:u w:val="single"/>
            <w:rtl w:val="0"/>
          </w:rPr>
          <w:t xml:space="preserve">https://www.ankulegi.org/wp-content/uploads/ 2012/03/0008Lagarde.pdf</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NAÇÕES UNIDAS. </w:t>
      </w:r>
      <w:r w:rsidDel="00000000" w:rsidR="00000000" w:rsidRPr="00000000">
        <w:rPr>
          <w:rFonts w:ascii="Times New Roman" w:cs="Times New Roman" w:eastAsia="Times New Roman" w:hAnsi="Times New Roman"/>
          <w:b w:val="1"/>
          <w:sz w:val="24"/>
          <w:szCs w:val="24"/>
          <w:rtl w:val="0"/>
        </w:rPr>
        <w:t xml:space="preserve">Agências da ONU fazem apelo diante de novos dados de violência de gênero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ONU, 2021. Disponível em: </w:t>
      </w:r>
      <w:hyperlink r:id="rId38">
        <w:r w:rsidDel="00000000" w:rsidR="00000000" w:rsidRPr="00000000">
          <w:rPr>
            <w:rFonts w:ascii="Times New Roman" w:cs="Times New Roman" w:eastAsia="Times New Roman" w:hAnsi="Times New Roman"/>
            <w:color w:val="000000"/>
            <w:sz w:val="24"/>
            <w:szCs w:val="24"/>
            <w:u w:val="single"/>
            <w:rtl w:val="0"/>
          </w:rPr>
          <w:t xml:space="preserve">https://brasil.un.org/pt-br/208824-ag%C3%AAncias-da-onu-fazem-apelo-diante-de-novos-dados-de-viol%C3%AAncia-de-g%C3%AAnero#:~:text=E m%202021%20%2C%20dos%2018%20pa%C3%ADses,feminic%C3%ADdio%20por%20100%20mil%20mulheres</w:t>
        </w:r>
      </w:hyperlink>
      <w:r w:rsidDel="00000000" w:rsidR="00000000" w:rsidRPr="00000000">
        <w:rPr>
          <w:rFonts w:ascii="Times New Roman" w:cs="Times New Roman" w:eastAsia="Times New Roman" w:hAnsi="Times New Roman"/>
          <w:sz w:val="24"/>
          <w:szCs w:val="24"/>
          <w:rtl w:val="0"/>
        </w:rPr>
        <w:t xml:space="preserve">. Acessado em: 04/10/2023.</w:t>
      </w:r>
    </w:p>
    <w:p w:rsidR="00000000" w:rsidDel="00000000" w:rsidP="00000000" w:rsidRDefault="00000000" w:rsidRPr="00000000" w14:paraId="000001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NAÇÕES UNIDAS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Relatório da Conferência Internacional sobre População e Desenvolvimento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Plataforma do Cairo. ONU, 2007. Disponível em: </w:t>
      </w:r>
      <w:hyperlink r:id="rId39">
        <w:r w:rsidDel="00000000" w:rsidR="00000000" w:rsidRPr="00000000">
          <w:rPr>
            <w:rFonts w:ascii="Times New Roman" w:cs="Times New Roman" w:eastAsia="Times New Roman" w:hAnsi="Times New Roman"/>
            <w:color w:val="000000"/>
            <w:sz w:val="24"/>
            <w:szCs w:val="24"/>
            <w:u w:val="single"/>
            <w:rtl w:val="0"/>
          </w:rPr>
          <w:t xml:space="preserve">https://brazil.unfpa.org/ sites/default/files/pub-pdf/relatorio-cairo.pdf</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MUNDIAL DA SAÚDE (OMS).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Relatório Mundial sobre Violência e Saúde</w:t>
      </w:r>
      <w:r w:rsidDel="00000000" w:rsidR="00000000" w:rsidRPr="00000000">
        <w:rPr>
          <w:rFonts w:ascii="Times New Roman" w:cs="Times New Roman" w:eastAsia="Times New Roman" w:hAnsi="Times New Roman"/>
          <w:sz w:val="24"/>
          <w:szCs w:val="24"/>
          <w:rtl w:val="0"/>
        </w:rPr>
        <w:t xml:space="preserve">. Genebra, 2002. Disponível em: </w:t>
      </w:r>
      <w:hyperlink r:id="rId40">
        <w:r w:rsidDel="00000000" w:rsidR="00000000" w:rsidRPr="00000000">
          <w:rPr>
            <w:rFonts w:ascii="Times New Roman" w:cs="Times New Roman" w:eastAsia="Times New Roman" w:hAnsi="Times New Roman"/>
            <w:color w:val="000000"/>
            <w:sz w:val="24"/>
            <w:szCs w:val="24"/>
            <w:u w:val="single"/>
            <w:rtl w:val="0"/>
          </w:rPr>
          <w:t xml:space="preserve">https://opas.org.br/wp-content/uploads/2015/09/ relatorio-mundial-violencia-saude-1.pdf</w:t>
        </w:r>
      </w:hyperlink>
      <w:r w:rsidDel="00000000" w:rsidR="00000000" w:rsidRPr="00000000">
        <w:rPr>
          <w:rFonts w:ascii="Times New Roman" w:cs="Times New Roman" w:eastAsia="Times New Roman" w:hAnsi="Times New Roman"/>
          <w:sz w:val="24"/>
          <w:szCs w:val="24"/>
          <w:rtl w:val="0"/>
        </w:rPr>
        <w:t xml:space="preserve">. Acessado em: 04/10/2023.</w:t>
      </w:r>
    </w:p>
    <w:p w:rsidR="00000000" w:rsidDel="00000000" w:rsidP="00000000" w:rsidRDefault="00000000" w:rsidRPr="00000000" w14:paraId="000001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PORTAL CATARINAS. </w:t>
      </w:r>
      <w:r w:rsidDel="00000000" w:rsidR="00000000" w:rsidRPr="00000000">
        <w:rPr>
          <w:rFonts w:ascii="Times New Roman" w:cs="Times New Roman" w:eastAsia="Times New Roman" w:hAnsi="Times New Roman"/>
          <w:b w:val="1"/>
          <w:sz w:val="24"/>
          <w:szCs w:val="24"/>
          <w:rtl w:val="0"/>
        </w:rPr>
        <w:t xml:space="preserve">Manifestações marcam a primavera feminista pela legalização do aborto e contra o fascismo</w:t>
      </w:r>
      <w:r w:rsidDel="00000000" w:rsidR="00000000" w:rsidRPr="00000000">
        <w:rPr>
          <w:rFonts w:ascii="Times New Roman" w:cs="Times New Roman" w:eastAsia="Times New Roman" w:hAnsi="Times New Roman"/>
          <w:sz w:val="24"/>
          <w:szCs w:val="24"/>
          <w:rtl w:val="0"/>
        </w:rPr>
        <w:t xml:space="preserve">. 2018. Disponível em: </w:t>
      </w:r>
      <w:hyperlink r:id="rId41">
        <w:r w:rsidDel="00000000" w:rsidR="00000000" w:rsidRPr="00000000">
          <w:rPr>
            <w:rFonts w:ascii="Times New Roman" w:cs="Times New Roman" w:eastAsia="Times New Roman" w:hAnsi="Times New Roman"/>
            <w:color w:val="000000"/>
            <w:sz w:val="24"/>
            <w:szCs w:val="24"/>
            <w:u w:val="single"/>
            <w:rtl w:val="0"/>
          </w:rPr>
          <w:t xml:space="preserve">https://catarinas.info/manifestacoes-marcam-a-primavera-feminista-pela-legalizacao-do-aborto-e-contra-o-fascismo/</w:t>
        </w:r>
      </w:hyperlink>
      <w:r w:rsidDel="00000000" w:rsidR="00000000" w:rsidRPr="00000000">
        <w:rPr>
          <w:rFonts w:ascii="Times New Roman" w:cs="Times New Roman" w:eastAsia="Times New Roman" w:hAnsi="Times New Roman"/>
          <w:sz w:val="24"/>
          <w:szCs w:val="24"/>
          <w:rtl w:val="0"/>
        </w:rPr>
        <w:t xml:space="preserve">. Acessado em: 07/10/2023.</w:t>
      </w:r>
    </w:p>
    <w:p w:rsidR="00000000" w:rsidDel="00000000" w:rsidP="00000000" w:rsidRDefault="00000000" w:rsidRPr="00000000" w14:paraId="0000015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RADFORD, Jill and RUSSELL, Diana. </w:t>
      </w:r>
      <w:r w:rsidDel="00000000" w:rsidR="00000000" w:rsidRPr="00000000">
        <w:rPr>
          <w:rFonts w:ascii="Times New Roman" w:cs="Times New Roman" w:eastAsia="Times New Roman" w:hAnsi="Times New Roman"/>
          <w:b w:val="1"/>
          <w:sz w:val="24"/>
          <w:szCs w:val="24"/>
          <w:rtl w:val="0"/>
        </w:rPr>
        <w:t xml:space="preserve">Femicide: The Politics of Woman Killing</w:t>
      </w:r>
      <w:r w:rsidDel="00000000" w:rsidR="00000000" w:rsidRPr="00000000">
        <w:rPr>
          <w:rFonts w:ascii="Times New Roman" w:cs="Times New Roman" w:eastAsia="Times New Roman" w:hAnsi="Times New Roman"/>
          <w:sz w:val="24"/>
          <w:szCs w:val="24"/>
          <w:rtl w:val="0"/>
        </w:rPr>
        <w:t xml:space="preserve">. Twayne Publishers, New York, 1992. Disponível em: </w:t>
      </w:r>
      <w:hyperlink r:id="rId42">
        <w:r w:rsidDel="00000000" w:rsidR="00000000" w:rsidRPr="00000000">
          <w:rPr>
            <w:rFonts w:ascii="Times New Roman" w:cs="Times New Roman" w:eastAsia="Times New Roman" w:hAnsi="Times New Roman"/>
            <w:color w:val="000000"/>
            <w:sz w:val="24"/>
            <w:szCs w:val="24"/>
            <w:u w:val="single"/>
            <w:rtl w:val="0"/>
          </w:rPr>
          <w:t xml:space="preserve">http://www.dianarussell.com/f/femicde%28small %29.pdf</w:t>
        </w:r>
      </w:hyperlink>
      <w:r w:rsidDel="00000000" w:rsidR="00000000" w:rsidRPr="00000000">
        <w:rPr>
          <w:rFonts w:ascii="Times New Roman" w:cs="Times New Roman" w:eastAsia="Times New Roman" w:hAnsi="Times New Roman"/>
          <w:sz w:val="24"/>
          <w:szCs w:val="24"/>
          <w:rtl w:val="0"/>
        </w:rPr>
        <w:t xml:space="preserve">. Acessado em: 08/10/2023.</w:t>
      </w:r>
    </w:p>
    <w:p w:rsidR="00000000" w:rsidDel="00000000" w:rsidP="00000000" w:rsidRDefault="00000000" w:rsidRPr="00000000" w14:paraId="0000015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ROMIO. Jackeline A. F. </w:t>
      </w:r>
      <w:r w:rsidDel="00000000" w:rsidR="00000000" w:rsidRPr="00000000">
        <w:rPr>
          <w:rFonts w:ascii="Times New Roman" w:cs="Times New Roman" w:eastAsia="Times New Roman" w:hAnsi="Times New Roman"/>
          <w:b w:val="1"/>
          <w:sz w:val="24"/>
          <w:szCs w:val="24"/>
          <w:rtl w:val="0"/>
        </w:rPr>
        <w:t xml:space="preserve">Feminicídios no Brasil, uma proposta de análise com dados do setor de saúde</w:t>
      </w:r>
      <w:r w:rsidDel="00000000" w:rsidR="00000000" w:rsidRPr="00000000">
        <w:rPr>
          <w:rFonts w:ascii="Times New Roman" w:cs="Times New Roman" w:eastAsia="Times New Roman" w:hAnsi="Times New Roman"/>
          <w:sz w:val="24"/>
          <w:szCs w:val="24"/>
          <w:rtl w:val="0"/>
        </w:rPr>
        <w:t xml:space="preserve">. Tese de doutorado. UNICAMP, Campinas, 2017.</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w:t>
      </w:r>
      <w:hyperlink r:id="rId43">
        <w:r w:rsidDel="00000000" w:rsidR="00000000" w:rsidRPr="00000000">
          <w:rPr>
            <w:rFonts w:ascii="Times New Roman" w:cs="Times New Roman" w:eastAsia="Times New Roman" w:hAnsi="Times New Roman"/>
            <w:color w:val="000000"/>
            <w:sz w:val="24"/>
            <w:szCs w:val="24"/>
            <w:u w:val="single"/>
            <w:rtl w:val="0"/>
          </w:rPr>
          <w:t xml:space="preserve">https://repositorio.unicamp.br/acervo/detalhe/988584</w:t>
        </w:r>
      </w:hyperlink>
      <w:r w:rsidDel="00000000" w:rsidR="00000000" w:rsidRPr="00000000">
        <w:rPr>
          <w:rFonts w:ascii="Times New Roman" w:cs="Times New Roman" w:eastAsia="Times New Roman" w:hAnsi="Times New Roman"/>
          <w:sz w:val="24"/>
          <w:szCs w:val="24"/>
          <w:rtl w:val="0"/>
        </w:rPr>
        <w:t xml:space="preserve">. Acessado em: 07/10/2023.</w:t>
      </w:r>
      <w:r w:rsidDel="00000000" w:rsidR="00000000" w:rsidRPr="00000000">
        <w:rPr>
          <w:rtl w:val="0"/>
        </w:rPr>
      </w:r>
    </w:p>
    <w:p w:rsidR="00000000" w:rsidDel="00000000" w:rsidP="00000000" w:rsidRDefault="00000000" w:rsidRPr="00000000" w14:paraId="0000016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RUSSELL, Diana. </w:t>
      </w:r>
      <w:r w:rsidDel="00000000" w:rsidR="00000000" w:rsidRPr="00000000">
        <w:rPr>
          <w:rFonts w:ascii="Times New Roman" w:cs="Times New Roman" w:eastAsia="Times New Roman" w:hAnsi="Times New Roman"/>
          <w:b w:val="1"/>
          <w:sz w:val="24"/>
          <w:szCs w:val="24"/>
          <w:rtl w:val="0"/>
        </w:rPr>
        <w:t xml:space="preserve">The Origin and Importance of the Term Femicide</w:t>
      </w:r>
      <w:r w:rsidDel="00000000" w:rsidR="00000000" w:rsidRPr="00000000">
        <w:rPr>
          <w:rFonts w:ascii="Times New Roman" w:cs="Times New Roman" w:eastAsia="Times New Roman" w:hAnsi="Times New Roman"/>
          <w:sz w:val="24"/>
          <w:szCs w:val="24"/>
          <w:rtl w:val="0"/>
        </w:rPr>
        <w:t xml:space="preserve">. Site oficial, 2011. Disponível em: </w:t>
      </w:r>
      <w:hyperlink r:id="rId44">
        <w:r w:rsidDel="00000000" w:rsidR="00000000" w:rsidRPr="00000000">
          <w:rPr>
            <w:rFonts w:ascii="Times New Roman" w:cs="Times New Roman" w:eastAsia="Times New Roman" w:hAnsi="Times New Roman"/>
            <w:color w:val="000000"/>
            <w:sz w:val="24"/>
            <w:szCs w:val="24"/>
            <w:u w:val="single"/>
            <w:rtl w:val="0"/>
          </w:rPr>
          <w:t xml:space="preserve">http://www.dianarussell.com/origin_of_femicide.html</w:t>
        </w:r>
      </w:hyperlink>
      <w:r w:rsidDel="00000000" w:rsidR="00000000" w:rsidRPr="00000000">
        <w:rPr>
          <w:rFonts w:ascii="Times New Roman" w:cs="Times New Roman" w:eastAsia="Times New Roman" w:hAnsi="Times New Roman"/>
          <w:sz w:val="24"/>
          <w:szCs w:val="24"/>
          <w:rtl w:val="0"/>
        </w:rPr>
        <w:t xml:space="preserve">. Acessado em: 04/10/2023.</w:t>
      </w:r>
    </w:p>
    <w:p w:rsidR="00000000" w:rsidDel="00000000" w:rsidP="00000000" w:rsidRDefault="00000000" w:rsidRPr="00000000" w14:paraId="0000016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SAFFIOTI, Heleieth I. B. </w:t>
      </w:r>
      <w:r w:rsidDel="00000000" w:rsidR="00000000" w:rsidRPr="00000000">
        <w:rPr>
          <w:rFonts w:ascii="Times New Roman" w:cs="Times New Roman" w:eastAsia="Times New Roman" w:hAnsi="Times New Roman"/>
          <w:b w:val="1"/>
          <w:sz w:val="24"/>
          <w:szCs w:val="24"/>
          <w:rtl w:val="0"/>
        </w:rPr>
        <w:t xml:space="preserve">Já se mete a colher em briga de marido e mulher</w:t>
      </w:r>
      <w:r w:rsidDel="00000000" w:rsidR="00000000" w:rsidRPr="00000000">
        <w:rPr>
          <w:rFonts w:ascii="Times New Roman" w:cs="Times New Roman" w:eastAsia="Times New Roman" w:hAnsi="Times New Roman"/>
          <w:sz w:val="24"/>
          <w:szCs w:val="24"/>
          <w:rtl w:val="0"/>
        </w:rPr>
        <w:t xml:space="preserve">. Perspectiva, v. 13, n. 4. São Paulo, 1999. Disponível em: </w:t>
      </w:r>
      <w:hyperlink r:id="rId45">
        <w:r w:rsidDel="00000000" w:rsidR="00000000" w:rsidRPr="00000000">
          <w:rPr>
            <w:rFonts w:ascii="Times New Roman" w:cs="Times New Roman" w:eastAsia="Times New Roman" w:hAnsi="Times New Roman"/>
            <w:color w:val="000000"/>
            <w:sz w:val="24"/>
            <w:szCs w:val="24"/>
            <w:u w:val="single"/>
            <w:rtl w:val="0"/>
          </w:rPr>
          <w:t xml:space="preserve">https://www.scielo.br/j/spp/a/qKKQXTJ3kQm3D5 QMTY5PQqw/?format=pdf&amp;lang=pt</w:t>
        </w:r>
      </w:hyperlink>
      <w:r w:rsidDel="00000000" w:rsidR="00000000" w:rsidRPr="00000000">
        <w:rPr>
          <w:rFonts w:ascii="Times New Roman" w:cs="Times New Roman" w:eastAsia="Times New Roman" w:hAnsi="Times New Roman"/>
          <w:sz w:val="24"/>
          <w:szCs w:val="24"/>
          <w:rtl w:val="0"/>
        </w:rPr>
        <w:t xml:space="preserve"> Acessado em: 08/10/2023.</w:t>
      </w:r>
    </w:p>
    <w:p w:rsidR="00000000" w:rsidDel="00000000" w:rsidP="00000000" w:rsidRDefault="00000000" w:rsidRPr="00000000" w14:paraId="0000016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VENTURA, Miriam. </w:t>
      </w:r>
      <w:r w:rsidDel="00000000" w:rsidR="00000000" w:rsidRPr="00000000">
        <w:rPr>
          <w:rFonts w:ascii="Times New Roman" w:cs="Times New Roman" w:eastAsia="Times New Roman" w:hAnsi="Times New Roman"/>
          <w:b w:val="1"/>
          <w:sz w:val="24"/>
          <w:szCs w:val="24"/>
          <w:rtl w:val="0"/>
        </w:rPr>
        <w:t xml:space="preserve">Direitos Reprodutivos no Brasil</w:t>
      </w:r>
      <w:r w:rsidDel="00000000" w:rsidR="00000000" w:rsidRPr="00000000">
        <w:rPr>
          <w:rFonts w:ascii="Times New Roman" w:cs="Times New Roman" w:eastAsia="Times New Roman" w:hAnsi="Times New Roman"/>
          <w:sz w:val="24"/>
          <w:szCs w:val="24"/>
          <w:rtl w:val="0"/>
        </w:rPr>
        <w:t xml:space="preserve">. UNFPA, 3ª Edição. Brasília, 2009. Disponível em: http://www.unfpa.org.br/Arquivos/direitos_reprodutivos3.pdf. Acessado em: 07/10/2023.</w:t>
      </w:r>
    </w:p>
    <w:p w:rsidR="00000000" w:rsidDel="00000000" w:rsidP="00000000" w:rsidRDefault="00000000" w:rsidRPr="00000000" w14:paraId="0000016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VIOLÊNCIA CONTRA AS MULHERES NA PANDEMIA: O ABORTO E OS DIREITOS SEXUAIS E REPRODUTIVOS</w:t>
      </w:r>
    </w:p>
    <w:p w:rsidR="00000000" w:rsidDel="00000000" w:rsidP="00000000" w:rsidRDefault="00000000" w:rsidRPr="00000000" w14:paraId="0000016F">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Christina Almeida da Costa</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tl w:val="0"/>
        </w:rPr>
      </w:r>
    </w:p>
    <w:p w:rsidR="00000000" w:rsidDel="00000000" w:rsidP="00000000" w:rsidRDefault="00000000" w:rsidRPr="00000000" w14:paraId="00000170">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1">
      <w:pP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questão histórica em torno do aborto</w:t>
      </w:r>
    </w:p>
    <w:p w:rsidR="00000000" w:rsidDel="00000000" w:rsidP="00000000" w:rsidRDefault="00000000" w:rsidRPr="00000000" w14:paraId="00000172">
      <w:pPr>
        <w:spacing w:after="0"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aborto, no Brasil, é permitido em três circunstâncias: no caso de gravidez resultante de estupro, quando há risco de a mulher perder a vida por causa da gravidez e quando o feto for anencefálico.</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Há uma pressão do movimento feminista para que o aborto seja descriminalizado para a gestação de até doze semanas. Esse assunto tem sido debatido muito fortemente não só no Parlamento como na sociedade civil. O direito da mulher entra em confronto com o direito à vida do feto. Porém, muitos levantam hipóteses que se contrapõem, mas que não apresentam embasamento científico, simplesmente porque ainda não está ratificado se o feto de até 12 semanas é realmente um ser humano. O que é uma certeza, até o momento, é que o número de mulheres que morrem diariamente ao fazer o aborto clandestinamente é muito alto. Mesmo sendo considerado crime, o aborto provocado em situações diferentes das permitidas, as mulheres continuam executando essa prática por diversos motivos de suas vidas pessoais. </w:t>
      </w:r>
    </w:p>
    <w:p w:rsidR="00000000" w:rsidDel="00000000" w:rsidP="00000000" w:rsidRDefault="00000000" w:rsidRPr="00000000" w14:paraId="0000017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história, a Igreja Católica vem se posicionando de forma diversa diante do aborto, em decisões muitas vezes questionáveis perante seus dogmas. Emmerick (2013) discorre sobre a ocorrência de abortos e anticoncepção como prática costumeira no Império Romano (600 d.C.). Não obstante, havia divergências que envolviam a concepção, visto que muitos teólogos acreditavam não ser homicídio a sua prática nas primeiras etapas da gravidez. </w:t>
      </w:r>
    </w:p>
    <w:p w:rsidR="00000000" w:rsidDel="00000000" w:rsidP="00000000" w:rsidRDefault="00000000" w:rsidRPr="00000000" w14:paraId="00000175">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aborto foi condenado em um dos primeiros documentos da Igreja Católica, escrito por volta dos 100 anos da Era Cristina, porém tal documento diferenciava a prática do aborto segundo dois aspectos: o primeiro deles era a prática do aborto para encobrir situações irregulares da vida sexual, como o adultério e a fornicação, sendo considerado, nestes casos, um ato pecaminoso. O segundo detinha-se sobre o questionamento se o aborto praticado no início da gravidez era ou não um homicídio, uma vez que ainda não existia um consenso entre os teólogos sobre em que momento ocorre a hominização</w:t>
      </w:r>
      <w:r w:rsidDel="00000000" w:rsidR="00000000" w:rsidRPr="00000000">
        <w:rPr>
          <w:sz w:val="20"/>
          <w:szCs w:val="20"/>
          <w:vertAlign w:val="superscript"/>
        </w:rPr>
        <w:footnoteReference w:customMarkFollows="0" w:id="27"/>
      </w:r>
      <w:r w:rsidDel="00000000" w:rsidR="00000000" w:rsidRPr="00000000">
        <w:rPr>
          <w:rFonts w:ascii="Times New Roman" w:cs="Times New Roman" w:eastAsia="Times New Roman" w:hAnsi="Times New Roman"/>
          <w:sz w:val="20"/>
          <w:szCs w:val="20"/>
          <w:rtl w:val="0"/>
        </w:rPr>
        <w:t xml:space="preserve"> (Emmerick, 2013, p. 144-145).</w:t>
      </w:r>
    </w:p>
    <w:p w:rsidR="00000000" w:rsidDel="00000000" w:rsidP="00000000" w:rsidRDefault="00000000" w:rsidRPr="00000000" w14:paraId="00000177">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Teólogos importantes desse período afirmavam que o aborto não era considerado homicídio se praticado nas primeiras etapas da gravidez. Santo Agostinho apresentava a mesma posição diante da Igreja Católica, visto que para ele a vida só se iniciava algum tempo depois do desenvolvimento do feto. Outros teólogos, na mesma época, discordavam dessa posição e acreditavam no aborto como pecado contra a vida, e que as mulheres que o praticavam estariam cometendo homicídio, devendo por isso fazer penitência. Um dos motivos que levava a essas contraposições seria a descentralização da Igreja Católica, que não era conduzida por uma autoridade papal, como responsável por sistematizar os ensinamentos da Igreja à todas as dioceses do mundo. Além disso, o fato de a Igreja Católica condenar o aborto estaria relacionado ao desmembramento da conexão entre o ato sexual e a procriação (Hurst, 1998). </w:t>
      </w:r>
    </w:p>
    <w:p w:rsidR="00000000" w:rsidDel="00000000" w:rsidP="00000000" w:rsidRDefault="00000000" w:rsidRPr="00000000" w14:paraId="0000017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aborto significa literalmente desnascimento, negação do nascimento, sendo algo visto como proibido para a Igreja Católica. Na apresentação de Aguirre essa questão vai de encontro ao mandamento “Não matarás”, que é uma das premissas de todo fiel cristão, visto que “a vida é de Deus e ninguém pode suprimi-la” (Aguirre, 2006, p. 13). Em suas palavras, Aguirre afirma que “o processo da humanização, ou da origem dos indivíduos, não pode ser deduzido como tal da Bíblia. Mas encontramos nela algumas expressões que indicam que já no ventre materno há uma vida humana. Logo surgiu a pergunta: de que modo e em que momento tem origem o ser humano?” (Aguirre, 2006, p. 14).</w:t>
      </w:r>
    </w:p>
    <w:p w:rsidR="00000000" w:rsidDel="00000000" w:rsidP="00000000" w:rsidRDefault="00000000" w:rsidRPr="00000000" w14:paraId="0000017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existe univocidade a respeito do início do ser humano e da vida humana. Trata-se de uma discussão ética que envolve geneticistas, religiosos, juristas, movimentos feministas e seus representantes no Parlamento. Deve-se registrar que durante o período medieval, através de São Tomás de Aquino, a teoria da hominização tardia se manteve fundamentada na crença de que Jesus Cristo, como salvador da humanidade, seria ao mesmo tempo humano e divino, o que apontava, portanto, para a necessidade de haver uma unidade entre o corpo e a alma (Emmerick, 2013). Essa tese indica que o ser humano apresenta vida quando há a união entre o corpo e a alma, o que não pode ocorrer em um corpo ainda em formação. </w:t>
      </w:r>
    </w:p>
    <w:p w:rsidR="00000000" w:rsidDel="00000000" w:rsidP="00000000" w:rsidRDefault="00000000" w:rsidRPr="00000000" w14:paraId="0000017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era Moderna, a teoria da hominização tardia foi sendo aos poucos abandonada, dando lugar a ideia de que o feto se torna pessoa desde o momento da concepção, sendo aceita a teoria da hominização imediata. Dessa forma, o aborto passa a ser considerado um homicídio pela Igreja Católica, levando a excomunhão não só da mulher que o praticasse, mas também de médicos, enfermeiras e qualquer pessoa envolvida nessa prática. Diante de tantas teorias, alguns acreditam que a Igreja se posicionou de forma a consolidar a sua autoridade, pondo fim às divergências existentes e outros pensam que é uma reação à prática do aborto, a qual ameaça a estrutura da família (Hurst, 1998). </w:t>
      </w:r>
    </w:p>
    <w:p w:rsidR="00000000" w:rsidDel="00000000" w:rsidP="00000000" w:rsidRDefault="00000000" w:rsidRPr="00000000" w14:paraId="0000017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equânime pensar que a Igreja Católica, ao longo de sua existência, não apresentou a questão do aborto de forma uniforme. Se posicionou de maneiras diversas, mas o principal motivo seria o de proteger a vida do feto, mesmo estando entremeadas questões morais em suas crenças, que associam o sexo à procriação, a proteção da família e, o mais provável, o controle do corpo e da sexualidade da mulher (Emmerick, 2013). </w:t>
      </w:r>
    </w:p>
    <w:p w:rsidR="00000000" w:rsidDel="00000000" w:rsidP="00000000" w:rsidRDefault="00000000" w:rsidRPr="00000000" w14:paraId="0000017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questão do aborto esteve presente através de variadas interpretações apresentadas pela Igreja Católica e foi, durante o tempo, acrescida de importância diante da argumentação pautada na saúde da mulher, que adquiriu mais força com o movimento feminista. A legalização do aborto era uma bandeira importante a ser bracejada, tendo em vista as sequelas que a sua clandestinidade produzia, principalmente na população feminina pobre, diante de suas condições econômicas e sociais. Mesmo assim, esse era um tema arriscado de se debater naquela época, devido à grande influência da Igreja Católica na vida da sociedade. As questões relacionadas à sexualidade eram difíceis de polemizar, diante principalmente da conjuntura política, que impunha limites, dificultando possíveis alianças. Era necessário desvincular o tema do setor religioso, buscando ascender o Estado a uma posição laica (Barsted, 1996).</w:t>
      </w:r>
    </w:p>
    <w:p w:rsidR="00000000" w:rsidDel="00000000" w:rsidP="00000000" w:rsidRDefault="00000000" w:rsidRPr="00000000" w14:paraId="0000017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necessário ressaltar a questão dos direitos da mulher, que têm sido negligenciados diante da moral e do conservadorismo. As mulheres pobres são as maiores prejudicadas por causa da criminalização do aborto. Legalizar o aborto seria uma condição de cuidado com a saúde das mulheres, visto que estas põem em risco suas vidas diante da precariedade do aborto clandestino. Uma outra questão que está associada ao aborto, se apresenta nas condições de vida das mulheres das classes trabalhadoras, que encontram dificuldade no acesso à informação e aos métodos anticoncepcionais (Scavone, 2008). </w:t>
      </w:r>
    </w:p>
    <w:p w:rsidR="00000000" w:rsidDel="00000000" w:rsidP="00000000" w:rsidRDefault="00000000" w:rsidRPr="00000000" w14:paraId="0000017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processo de redemocratização iniciado em meados da década de 80, as feministas ao perceberem que as decisões relacionadas à descriminalização do aborto seriam tomadas pelo Congresso Nacional, decidiram dialogar com partidos políticos, de preferência com candidatas femininas à eleição. Barsted também discorre que a década de 1980 foi de grande movimento das feministas em torno dos temas voltados para a saúde, sexualidade, contracepção e aborto. Conseguiram aliados com vitórias importantes no campo do trabalho, direitos civis, assistência à saúde e, até mesmo, na questão do repúdio à violência doméstica, “mas a luta pelo aborto esbarrou no moralismo, no medo da Igreja, na batina dos padres” (Barsted, 1996, p. 124). </w:t>
      </w:r>
    </w:p>
    <w:p w:rsidR="00000000" w:rsidDel="00000000" w:rsidP="00000000" w:rsidRDefault="00000000" w:rsidRPr="00000000" w14:paraId="0000018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Igreja Católica passou a apresentar seu discurso oficial de forma mais homogênea e uníssona na esfera pública, com o intuito de manter o seu poder coercitivo sobre a população feminina e o seu poder de influência política junto ao Parlamento e à mídia. Rosado-Nunes prossegue informando que                          </w:t>
      </w:r>
    </w:p>
    <w:p w:rsidR="00000000" w:rsidDel="00000000" w:rsidP="00000000" w:rsidRDefault="00000000" w:rsidRPr="00000000" w14:paraId="00000181">
      <w:pPr>
        <w:spacing w:after="0" w:line="360" w:lineRule="auto"/>
        <w:ind w:left="708"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contra-discursos elaborados por agentes da instituição, em diversos      níveis, não recebem tratamento mediático, não tem visibilidade pública, dada a repressão da igreja a discursos “dissonantes” do oficial” (...). </w:t>
      </w:r>
    </w:p>
    <w:p w:rsidR="00000000" w:rsidDel="00000000" w:rsidP="00000000" w:rsidRDefault="00000000" w:rsidRPr="00000000" w14:paraId="00000183">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inaudibilidade pública desse discurso impossibilita as mulheres, particularmente as de extração popular, de chegarem a uma elaboração moral alternativa, que lhes permita desconstruir a culpabilidade em relação a suas práticas abortivas. Dificulta também, por outro lado, os parlamentares de elaborarem contra-argumentos aos princípios éticos religiosos tradicionais (Rosado-Nunes, 1997, p. 414-415).</w:t>
      </w:r>
    </w:p>
    <w:p w:rsidR="00000000" w:rsidDel="00000000" w:rsidP="00000000" w:rsidRDefault="00000000" w:rsidRPr="00000000" w14:paraId="00000184">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Entretanto, o que não pode ser esquecido é que há uma questão filosófica e política envolta na busca pelo direito ao aborto, que se trata do direito das mulheres à autonomia sobre seu próprio corpo. Sendo assim, o poder da Igreja Católica, no que diz respeito ao aborto, se mantém uniforme, vindo à tona em momentos específicos, quando esta apresenta maior rejeição ao tema. </w:t>
      </w:r>
    </w:p>
    <w:p w:rsidR="00000000" w:rsidDel="00000000" w:rsidP="00000000" w:rsidRDefault="00000000" w:rsidRPr="00000000" w14:paraId="0000018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Grupos católicos leigos e religiosos têm tentado dialogar sobre o aborto dentro de uma postura não dogmática, principalmente por causa das condições de vida das mulheres, se posicionando mais abertamente quanto à sua legalização. E Barsted conclui que “é inegável o poder da Igreja Católica face a um Estado que não assume a sua laicização” (Barsted, 1996, p. 127).</w:t>
      </w:r>
    </w:p>
    <w:p w:rsidR="00000000" w:rsidDel="00000000" w:rsidP="00000000" w:rsidRDefault="00000000" w:rsidRPr="00000000" w14:paraId="0000018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 movimento feminista e a religião no debate sobre o aborto e os direitos reprodutivos</w:t>
      </w:r>
    </w:p>
    <w:p w:rsidR="00000000" w:rsidDel="00000000" w:rsidP="00000000" w:rsidRDefault="00000000" w:rsidRPr="00000000" w14:paraId="00000189">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década de 90, o movimento feminista alcança dois momentos inegavelmente importantes (ROCHA, 2006). Com a Conferência Internacional sobre População e Desenvolvimento (Conferência do Cairo), realizada no Cairo, pela Organização das Nações Unidas (ONU), em 1994, os direitos reprodutivos das mulheres se tornaram referência para a elaboração de importantes políticas. A IV Conferência Mundial sobre as Mulheres: Igualdade, Desenvolvimento e Paz (Conferência de Pequim), que ocorreu em Pequim, em 1995, reconheceu os direitos das mulheres como direitos humanos, o que foi um grande avanço. Os direitos reprodutivos estão inseridos nos direitos humanos</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e essa é uma conquista significativa para as mulheres. Esses encontros foram de suma importância para o movimento feminista, tendo em vista reivindicações prementes na área de gênero. Esse termo era utilizado pelas ativistas feministas para descrever as mulheres, o que não foi bem aceito pelas lideranças católicas na última Conferência. Machado argumenta que:</w:t>
      </w:r>
    </w:p>
    <w:p w:rsidR="00000000" w:rsidDel="00000000" w:rsidP="00000000" w:rsidRDefault="00000000" w:rsidRPr="00000000" w14:paraId="0000018B">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segunda metade da década de 90, sacerdotes e teólogos começaram, então, a formular um discurso para rebater a perspectiva de gênero que vinha sendo desenvolvida pelas acadêmicas feministas de vários países do mundo. As estratégias discursivas adotadas pelas/os intelectuais da Igreja Católica relacionam os pressupostos da perspectiva de gênero com as ideologias seculares e com as formas de sexualidades alternativas ao padrão cristão. Observa-se, assim, uma inversão argumentativa dos embates que aconteceram na Europa do século XIX, quando alguns filósofos e sociólogos imbuídos do espírito iluminista interpretaram os valores e ideias religiosas como expressões ideológicas que deturpavam a realidade social (Machado, 2017, p. 3).</w:t>
      </w:r>
    </w:p>
    <w:p w:rsidR="00000000" w:rsidDel="00000000" w:rsidP="00000000" w:rsidRDefault="00000000" w:rsidRPr="00000000" w14:paraId="0000018D">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discute a inserção da Igreja Católica no debate sobre a questão do aborto, muito pouco se argumenta sobre a crença religiosa das mulheres que decidem por praticá-lo. Essa decisão pode se tornar um momento de angústia e solidão, não só por causa da criminalização, mas também pelo enfrentamento de valores morais e religiosos de sua consciência. Dessa forma, Rosado-Nunes reflete sobre um ponto que está relacionado à fé das mulheres e à prática do aborto: </w:t>
      </w:r>
    </w:p>
    <w:p w:rsidR="00000000" w:rsidDel="00000000" w:rsidP="00000000" w:rsidRDefault="00000000" w:rsidRPr="00000000" w14:paraId="0000018F">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pesquisa realizada com mulheres de extratos sociais mais baixos, estas invocavam sua fé religiosa para justificar seus comportamentos na área da reprodução. Seu Deus não está ausente de sua experiência mais radical nessa área: o aborto. “Pedi a Deus que tudo desse certo no aborto que eu ia fazer”. Assim, Deus se faz presente, pela invocação desta mulher, lá onde os hierarcas da Igreja se recusam a estar (Rosado-Nunes, 1997, p. 417).</w:t>
      </w:r>
    </w:p>
    <w:p w:rsidR="00000000" w:rsidDel="00000000" w:rsidP="00000000" w:rsidRDefault="00000000" w:rsidRPr="00000000" w14:paraId="00000191">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 grande capacidade de pressão da Igreja Católica em decisões que caberiam somente ao Estado, pelas históricas relações que esta instituição manteve com os poderes políticos, muitas leis e políticas têm sido definidas de acordo com seus dogmas e crenças, dificultando o acesso a direitos importantes, principalmente para as mulheres. Entretanto, a contraposição formada pelo movimento feminista e grupos progressistas, principalmente de organizações que emergem de suas próprias igrejas com ideais reformadores, como o grupo Católicas pelo Direito de Decidir (CDD)</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têm servido de grande pressão na tentativa de alcançar objetivos que podem ser transformadores para as mulheres. Os discursos religiosos têm se confrontado com a questão dos direitos humanos, conforme esclarece Machado:</w:t>
      </w:r>
    </w:p>
    <w:p w:rsidR="00000000" w:rsidDel="00000000" w:rsidP="00000000" w:rsidRDefault="00000000" w:rsidRPr="00000000" w14:paraId="00000193">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Há décadas as feministas denunciam o papel das instituições religiosas na perpetuação das normas, estereótipos e das atitudes sociais que legitimam a desigualdade de gênero. E mesmo que se reconheça o esforço de alguns segmentos no desenvolvimento de discursos religiosos contra-hegemônicos que dialoguem com a perspectiva dos direitos humanos, como o do grupo denominado Católicas pelo Direito de Decidir, o impacto desses discursos na regulação jurídica e política das relações de gênero parece bastante reduzido diante do ativismo religioso dos movimentos confessionais tradicionalistas (Machado, 2012 p. 29).</w:t>
      </w:r>
    </w:p>
    <w:p w:rsidR="00000000" w:rsidDel="00000000" w:rsidP="00000000" w:rsidRDefault="00000000" w:rsidRPr="00000000" w14:paraId="00000195">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qualquer maneira, outros grupos religiosos, como os evangélicos pentecostais, têm adentrado não só no sistema político como também na vida da sociedade e estabelecido oposição juntamente com a Igreja Católica às demandas do setor reprodutivo apresentadas pelas mulheres, principalmente em temas como o aborto. Muitas decisões no Parlamento dependem desse jogo de poder entre os mais variados grupos políticos e sociais, que Rocha descreve da seguinte forma: </w:t>
      </w:r>
    </w:p>
    <w:p w:rsidR="00000000" w:rsidDel="00000000" w:rsidP="00000000" w:rsidRDefault="00000000" w:rsidRPr="00000000" w14:paraId="00000197">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entanto, a tensão política mais forte na atualidade situa-se entre as seguintes posições: de um lado, as iniciativas do movimento organizado de mulheres e de parlamentares progressistas, seus aliados no sentido de descriminalizar e/ou legalizar o aborto e, de outro lado, a postura da hierarquia da Igreja Católica e das igrejas evangélicas, contrárias à permissibilidade do aborto, postura esta que representa, geralmente, uma reação aquelas iniciativas” (Rocha, 1996, p. 394).</w:t>
      </w:r>
    </w:p>
    <w:p w:rsidR="00000000" w:rsidDel="00000000" w:rsidP="00000000" w:rsidRDefault="00000000" w:rsidRPr="00000000" w14:paraId="0000019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Direitos sexuais e reprodutivos e a pandemia como retrocesso no atendimento às mulheres em situação de vulnerabilidade</w:t>
      </w:r>
    </w:p>
    <w:p w:rsidR="00000000" w:rsidDel="00000000" w:rsidP="00000000" w:rsidRDefault="00000000" w:rsidRPr="00000000" w14:paraId="0000019C">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9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direitos sexuais e reprodutivos têm sido rechaçados pelo então governo Bolsonaro. Mesmo diante de lutas históricas que contornaram o cenário neste debate, aquele governo brasileiro não tinha a intenção de se mobilizar nesta direção. Com um quadro enorme de desigualdades sociais, o contexto brasileiro não permitia a criação e nem a execução de políticas públicas necessárias para a vida da população. Nesse aspecto, as mulheres foram suplantadas por decisões que a todo momento retiram da pauta política direitos fundamentais. Diante da pandemia de Covid-19, a questão se tornou ainda mais conturbada. </w:t>
      </w:r>
    </w:p>
    <w:p w:rsidR="00000000" w:rsidDel="00000000" w:rsidP="00000000" w:rsidRDefault="00000000" w:rsidRPr="00000000" w14:paraId="0000019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governo Bolsonaro não se abstinha de transparecer o conservadorismo radical de sua postura junto a outros países em convenções de suma importância para as mulheres. Em um encontro internacional, em Genebra, em 2019, por exemplo, a ofensiva brasileira contra posições recorrentes de governantes anteriores foi implacável. Houve uma preocupação com o uso dos termos “saúde sexual” e “saúde reprodutiva”, que no texto da resolução da Organização das Nações Unidas (ONU) apresentava a necessidade na garantia desses serviços a pessoas vítimas de crises humanitárias.  O Brasil, neste contexto, se absteve na votação de trechos que estariam voltados para essas questões, numa decisão histórica.  É preciso ressaltar que essa abstenção se deu juntamente com países como os Estados Unidos (governado naquele momento pelo Presidente Donald Trump), Rússia e Paquistão, por exemplo, gerando choques com países que seriam velhos aliados e aproximando o Brasil de governos islâmicos. A maior preocupação do governo brasileiro e do governo estadunidense, diante desses temas, seria abrir espaço para políticas pró-aborto, mesmo estando grafado no novo texto da ONU que o aborto não faz parte do direito internacional, embora esta reconheça que há leis domésticas neste sentido em alguns países.</w:t>
      </w:r>
    </w:p>
    <w:p w:rsidR="00000000" w:rsidDel="00000000" w:rsidP="00000000" w:rsidRDefault="00000000" w:rsidRPr="00000000" w14:paraId="0000019F">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Desde que o governo anterior ascendeu ao poder, em 2019, muitas decisões emblemáticas vinham sendo tomadas com o intuito de mudar o que para ele estaria fora da sua pauta conservadora. A agenda feminista, neste governo, foi repelida em todos os seus aspectos. O caminho percorrido até 2020, ano de uma pandemia internacional que assolou o planeta sem clemência e vitimizou milhões de seres humanos, se mostrou uma novidade árdua e tortuosa em nosso país. Novas deliberações, novos decretos, que demonstraram um horizonte sem muitas perspectivas no que diz respeito aos direitos sociais. </w:t>
      </w:r>
      <w:r w:rsidDel="00000000" w:rsidR="00000000" w:rsidRPr="00000000">
        <w:rPr>
          <w:rFonts w:ascii="Times New Roman" w:cs="Times New Roman" w:eastAsia="Times New Roman" w:hAnsi="Times New Roman"/>
          <w:sz w:val="24"/>
          <w:szCs w:val="24"/>
          <w:highlight w:val="white"/>
          <w:rtl w:val="0"/>
        </w:rPr>
        <w:t xml:space="preserve">Nessa conjuntura de desesperança, Pougy apresenta uma análise diante dos ataques sofridos no campo das políticas públicas:</w:t>
      </w:r>
    </w:p>
    <w:p w:rsidR="00000000" w:rsidDel="00000000" w:rsidP="00000000" w:rsidRDefault="00000000" w:rsidRPr="00000000" w14:paraId="000001A0">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1">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área das políticas públicas o desmonte é desalentador no plano formal e na vida dos brasileiros e brasileiras na saúde, nos direitos sexuais e reprodutivos, na educação, no enfrentamento da violação de direitos, na violência contra as mulheres assim como na sua expressão nefasta, o feminicídio (Pougy, 2018, p. 235).</w:t>
      </w:r>
    </w:p>
    <w:p w:rsidR="00000000" w:rsidDel="00000000" w:rsidP="00000000" w:rsidRDefault="00000000" w:rsidRPr="00000000" w14:paraId="000001A2">
      <w:pPr>
        <w:spacing w:after="0" w:line="360" w:lineRule="auto"/>
        <w:ind w:left="283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bastasse todo o roteiro traçado e vislumbrado por novos pareceres de um governo que mais parecia desgovernado, o Coronavírus nos transmitiu a SARS-COVID 19, alterando todo o cronograma das sociedades do planeta.  Outros problemas além da doença e o seu grande risco de morte passaram a fazer parte do cotidiano dos brasileiros, especificamente das brasileiras. A doença apresentou muitas restrições na vida da população e com elas o aumento de alguns índices importantes. Um deles diz respeito à violência contra a mulher, precisamente a violência doméstica. Outro índice que se elevou foi o do estupro. As medidas de isolamento, de certa forma, aprisionaram mulheres e crianças em suas residências com pouca ou nenhuma segurança. Igualmente, as instituições que poderiam assistir a essas mulheres em seus desalentos, trazendo, de alguma forma, um pouco de proteção, também sofreram restrições em seus atendimentos.</w:t>
      </w:r>
    </w:p>
    <w:p w:rsidR="00000000" w:rsidDel="00000000" w:rsidP="00000000" w:rsidRDefault="00000000" w:rsidRPr="00000000" w14:paraId="000001A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isolamento social foi uma das formas eficazes de proteger as pessoas do coronavírus, mas também demonstrou ser uma das formas mais complicadas para mulheres que já viviam a violência no seu cotidiano, pois a vivência com seu agressor nesta situação se tornou constante. Outra questão nesse contexto foi a dificuldade no processo de denúncia, já que a mulher não teria qualquer motivo para sair de casa se não estivesse trabalhando. O que se percebeu na Nota Técnica de Violência Doméstica do Fórum Brasileiro de Segurança Pública (FBSP), durante a pandemia de Covid-19, é que houve uma redução nas denúncias, mas isso não significa a diminuição da violência, visto que o acesso limitado às instituições, por várias razões, é uma das consequências desse resultado. Segundo o FBSP:</w:t>
      </w:r>
    </w:p>
    <w:p w:rsidR="00000000" w:rsidDel="00000000" w:rsidP="00000000" w:rsidRDefault="00000000" w:rsidRPr="00000000" w14:paraId="000001A5">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ONU, inclusive, por meio do seu secretário geral António Guterres, tem recomendado aos países uma série de medidas para combater e prevenir a violência doméstica durante a pandemia. Entre as propostas, destacam-se maiores investimentos em serviços de atendimento online, estabelecimento de serviços de alerta de emergência em farmácias e supermercados e criação de abrigos temporários para vítimas de violência de gênero (FBSP, 2020).</w:t>
      </w:r>
    </w:p>
    <w:p w:rsidR="00000000" w:rsidDel="00000000" w:rsidP="00000000" w:rsidRDefault="00000000" w:rsidRPr="00000000" w14:paraId="000001A7">
      <w:pPr>
        <w:spacing w:after="0" w:line="360" w:lineRule="auto"/>
        <w:ind w:left="2832"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8">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 análise que aponta para o aumento da violência doméstica não está apenas baseada em boletins de ocorrência, tendo em vista a diminuição de denúncias. O levantamento também foi gerado por informações retiradas de “comentários de usuários em redes sociais, que forneceram evidências de que terceiros, principalmente vizinhos, muitas vezes notaram casos de brigas e violência” (FBSP, 2020, p. 11). Ainda de acordo com a Nota Técnica, o registro de estupro e de estupro de vulnerável, até abril de 2020, pareceram seguir a mesma tendência que se apresentou nos registros de agressão em decorrência de violência doméstica.</w:t>
      </w:r>
    </w:p>
    <w:p w:rsidR="00000000" w:rsidDel="00000000" w:rsidP="00000000" w:rsidRDefault="00000000" w:rsidRPr="00000000" w14:paraId="000001A9">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Numa 2ª edição da Norma Técnica, em maio de 2020, verificou-se uma queda nos registros de boletins de ocorrência, mesmo sendo apresentadas ferramentas virtuais para facilitar a realização das denúncias. Entretanto, a redução nos registros não significa uma redução da violência contra as mulheres, visto que houve um aumento de 22% no número de feminicídios comparado ao mesmo período em 2019. Igualmente, o Ligue 180</w:t>
      </w:r>
      <w:r w:rsidDel="00000000" w:rsidR="00000000" w:rsidRPr="00000000">
        <w:rPr>
          <w:rFonts w:ascii="Times New Roman" w:cs="Times New Roman" w:eastAsia="Times New Roman" w:hAnsi="Times New Roman"/>
          <w:sz w:val="24"/>
          <w:szCs w:val="24"/>
          <w:highlight w:val="white"/>
          <w:vertAlign w:val="superscript"/>
        </w:rPr>
        <w:footnoteReference w:customMarkFollows="0" w:id="30"/>
      </w:r>
      <w:r w:rsidDel="00000000" w:rsidR="00000000" w:rsidRPr="00000000">
        <w:rPr>
          <w:rFonts w:ascii="Times New Roman" w:cs="Times New Roman" w:eastAsia="Times New Roman" w:hAnsi="Times New Roman"/>
          <w:sz w:val="24"/>
          <w:szCs w:val="24"/>
          <w:highlight w:val="white"/>
          <w:rtl w:val="0"/>
        </w:rPr>
        <w:t xml:space="preserve"> elevou suas denúncias em 34% de 2019 para 2020. Na verdade, o que se observou foi uma diminuição das denúncias, que poderiam proteger, de alguma forma, as mulheres, e um aumento do feminicídio, que é uma consequência extrema da violência. O feminicídio está, desde 2015, determinado na Lei 13.104, de 09 de março, como crime contra a mulher por razões de condição do sexo feminino e especificado em seu inciso II, do 2º parágrafo A, que envolve menosprezo ou discriminação à condição de mulher. Esse menosprezo que desperta a misoginia é apontado por muitos estudos feministas e, para um melhor entendimento nesse plano, Rita Segato esclarece que:</w:t>
      </w:r>
    </w:p>
    <w:p w:rsidR="00000000" w:rsidDel="00000000" w:rsidP="00000000" w:rsidRDefault="00000000" w:rsidRPr="00000000" w14:paraId="000001AA">
      <w:pPr>
        <w:spacing w:after="0"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B">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relevância estratégica de a politização de todos os homicídios de mulheres nesse sentido é indiscutível, uma vez que enfatiza que resultam de um sistema em que poder e masculinidade são sinônimos e permeiam o meio social com misoginia: ódio e desprezo pelo corpo feminino e para os atributos associados à feminilidade. Em um ambiente dominado pela instituição patriarcal, menos valor é atribuído à vida das mulheres e há uma maior propensão para justificar os crimes que sofrem (Segato, 2006, p. 3 – tradução nossa).</w:t>
      </w:r>
    </w:p>
    <w:p w:rsidR="00000000" w:rsidDel="00000000" w:rsidP="00000000" w:rsidRDefault="00000000" w:rsidRPr="00000000" w14:paraId="000001AC">
      <w:pPr>
        <w:spacing w:after="0" w:line="360" w:lineRule="auto"/>
        <w:ind w:left="283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AD">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 violência sexual seguiu o mesmo fluxo nos dados coletados em boletins de ocorrência, que manifestou uma redução que, na realidade, era fictícia, tendo em vista todos os aspectos apresentados que dificultaram as denúncias. Sendo assim, o resultado dessa questão aflora no aumento na procura de serviços que estão autorizados a realizar o aborto legal. Segundo matéria do El País, muitas mulheres acharam que esse tipo de serviço em hospitais estaria suspenso por causa da pandemia e, por esse motivo, acabaram por procurar essas instituições com a gestação um pouco avançada, o que se tornava um risco para sua saúde. No Hospital Pérola Byington, em São Paulo, que é referência nesse atendimento, foram realizados 275 procedimentos no primeiro semestre de 2020, enquanto em todo o ano de 2019 foram realizados 377. No Hospital de Clínicas da Universidade Federal de Uberlândia (UFU), em Minas Gerais, estima-se um aumento de 100% na realização do aborto legal até o final de 2020, comparado ao ano de 2019.</w:t>
      </w:r>
    </w:p>
    <w:p w:rsidR="00000000" w:rsidDel="00000000" w:rsidP="00000000" w:rsidRDefault="00000000" w:rsidRPr="00000000" w14:paraId="000001AE">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Uma outra abordagem apontada pela matéria está relacionada às crianças, que sem escola, estavam ainda mais expostas à violência sexual neste período de pandemia. Um caso emblemático é o da menina de 10 anos, do Espírito Santo, que teve a gravidez descoberta por um médico, em agosto de 2020, com o tempo de gestação que estava relacionado ao tempo da quarentena. Não conhecendo seu próprio corpo e com dificuldade de entendimento de que a gravidez seria um risco, a criança teve uma percepção tardia da sua gravidez. Esse caso emblemático, que se desenrolou com o envolvimento de grupos religiosos conservadores, que se opuseram ao aborto, se refere a uma menina de 10 anos estuprada por seu tio de 33 anos desde os 6 anos de idade, na cidade de São Mateus. Esta menina precisou se deslocar até Fortaleza para ter seu direito garantido, que se concretizou no Centro Integrado de Saúde Amaury de Medeiros (CISAM), um dos locais de referência para o aborto seguro no país.</w:t>
      </w:r>
    </w:p>
    <w:p w:rsidR="00000000" w:rsidDel="00000000" w:rsidP="00000000" w:rsidRDefault="00000000" w:rsidRPr="00000000" w14:paraId="000001AF">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Uma grande dificuldade que se apresenta e está também relacionada ao isolamento social é que uma grande parte dos hospitais autorizados pelo Ministério da Saúde para realizar o aborto legal interromperam o seu atendimento. Em plena crise sanitária, as mulheres se encontraram ainda mais desamparadas em múltiplos aspectos, desencadeando obstáculos no atendimento de seus direitos sexuais e reprodutivos. Outro entrave foi apresentado através da portaria 2.282 de 27/08/20, do Ministério da Saúde, que instituiu novas diretrizes no atendimento de mulheres vítimas de violência que optaram por realizar o aborto legal pelo Sistema Único de Saúde (SUS). A partir desse documento, a equipe médica era obrigada a notificar a violência sexual de que a mulher foi vítima à uma autoridade policial e, também, poderia decidir sobre a coleta de possíveis provas do crime, como fragmentos do embrião, por exemplo. A mulher, além de ter sido violentada, estuprada, precisava também assinar um termo e responsabilidade por causa do procedimento que iria realizar. Não sendo o bastante essas requisições, a mulher deveria relatar, com detalhes, a violência sofrida para um médico e outra testemunha que fizesse parte da equipe de saúde. E, finalmente, precisaria visualizar o feto por meio de uma ultrassonografia, antes do procedimento, na tentativa de dissuadi-la do abortamento. Essa questão tão delicada para a mulher, em um momento de extrema fragilidade é apontada por Cavalcanti:</w:t>
      </w:r>
    </w:p>
    <w:p w:rsidR="00000000" w:rsidDel="00000000" w:rsidP="00000000" w:rsidRDefault="00000000" w:rsidRPr="00000000" w14:paraId="000001B0">
      <w:pPr>
        <w:spacing w:after="0"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B1">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relação à saúde sexual e reprodutiva, os efeitos da violência, capazes de produzir na mulher sequelas físicas e psicológicas, também têm se tornado visíveis com a publicização do fenômeno. As mulheres atingidas ficam mais vulneráveis a outros tipos de violência, à gravidez indesejada, à alta paridade, à gravidez de repetição rápida, às complicações obstétricas, ao sexo inseguro, ao abortamento, às doenças ginecológicas, aos distúrbios sexuais, à depressão, ao suicídio e às doenças sexualmente transmissíveis (DST) (Cavalcanti, 2016, p. 35).</w:t>
      </w:r>
    </w:p>
    <w:p w:rsidR="00000000" w:rsidDel="00000000" w:rsidP="00000000" w:rsidRDefault="00000000" w:rsidRPr="00000000" w14:paraId="000001B2">
      <w:pPr>
        <w:spacing w:after="0" w:line="360" w:lineRule="auto"/>
        <w:ind w:left="2832"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B3">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É perceptível o ataque aos direitos reprodutivos das mulheres não só pelo governo como também por grupos civis organizados que insistem em controlar decisões sobre o corpo e a vida das mulheres. Diante de dificuldades encontradas no acesso a serviços de saúde e métodos contraceptivos, as mulheres viveram muitos desafios em um momento tão complicado. Essa questão desencadeia restrições que atingem principalmente mulheres negras e pobres, que vivenciam dificuldades econômicas, diante do desemprego ou de trabalhos informais precários e até com a sobrecarga do trabalho doméstico, que se acentua pelo cuidado com crianças ou familiares. E mesmo com o auxílio emergencial</w:t>
      </w:r>
      <w:r w:rsidDel="00000000" w:rsidR="00000000" w:rsidRPr="00000000">
        <w:rPr>
          <w:rFonts w:ascii="Times New Roman" w:cs="Times New Roman" w:eastAsia="Times New Roman" w:hAnsi="Times New Roman"/>
          <w:sz w:val="24"/>
          <w:szCs w:val="24"/>
          <w:highlight w:val="white"/>
          <w:vertAlign w:val="superscript"/>
        </w:rPr>
        <w:footnoteReference w:customMarkFollows="0" w:id="31"/>
      </w:r>
      <w:r w:rsidDel="00000000" w:rsidR="00000000" w:rsidRPr="00000000">
        <w:rPr>
          <w:rFonts w:ascii="Times New Roman" w:cs="Times New Roman" w:eastAsia="Times New Roman" w:hAnsi="Times New Roman"/>
          <w:sz w:val="24"/>
          <w:szCs w:val="24"/>
          <w:highlight w:val="white"/>
          <w:rtl w:val="0"/>
        </w:rPr>
        <w:t xml:space="preserve"> sendo disponibilizado pelo governo federal para atenuar tais dificuldades financeiras, muitas mulheres não conseguiram ter acesso a esse direito provisório, seja por problemas de logística, por problemas técnicos ou até por golpes sofridos no próprio sistema.</w:t>
      </w:r>
    </w:p>
    <w:p w:rsidR="00000000" w:rsidDel="00000000" w:rsidP="00000000" w:rsidRDefault="00000000" w:rsidRPr="00000000" w14:paraId="000001B4">
      <w:pPr>
        <w:spacing w:after="0" w:line="360" w:lineRule="auto"/>
        <w:jc w:val="both"/>
        <w:rPr>
          <w:rFonts w:ascii="Times New Roman" w:cs="Times New Roman" w:eastAsia="Times New Roman" w:hAnsi="Times New Roman"/>
          <w:b w:val="1"/>
          <w:color w:val="444444"/>
          <w:sz w:val="24"/>
          <w:szCs w:val="24"/>
          <w:highlight w:val="white"/>
        </w:rPr>
      </w:pPr>
      <w:r w:rsidDel="00000000" w:rsidR="00000000" w:rsidRPr="00000000">
        <w:rPr>
          <w:rtl w:val="0"/>
        </w:rPr>
      </w:r>
    </w:p>
    <w:p w:rsidR="00000000" w:rsidDel="00000000" w:rsidP="00000000" w:rsidRDefault="00000000" w:rsidRPr="00000000" w14:paraId="000001B5">
      <w:pPr>
        <w:spacing w:after="0" w:line="360" w:lineRule="auto"/>
        <w:jc w:val="both"/>
        <w:rPr>
          <w:rFonts w:ascii="Times New Roman" w:cs="Times New Roman" w:eastAsia="Times New Roman" w:hAnsi="Times New Roman"/>
          <w:b w:val="1"/>
          <w:color w:val="444444"/>
          <w:sz w:val="24"/>
          <w:szCs w:val="24"/>
          <w:highlight w:val="white"/>
        </w:rPr>
      </w:pPr>
      <w:r w:rsidDel="00000000" w:rsidR="00000000" w:rsidRPr="00000000">
        <w:rPr>
          <w:rtl w:val="0"/>
        </w:rPr>
      </w:r>
    </w:p>
    <w:p w:rsidR="00000000" w:rsidDel="00000000" w:rsidP="00000000" w:rsidRDefault="00000000" w:rsidRPr="00000000" w14:paraId="000001B6">
      <w:pPr>
        <w:spacing w:after="0" w:line="360" w:lineRule="auto"/>
        <w:jc w:val="both"/>
        <w:rPr>
          <w:rFonts w:ascii="Times New Roman" w:cs="Times New Roman" w:eastAsia="Times New Roman" w:hAnsi="Times New Roman"/>
          <w:b w:val="1"/>
          <w:color w:val="444444"/>
          <w:sz w:val="24"/>
          <w:szCs w:val="24"/>
          <w:highlight w:val="white"/>
        </w:rPr>
      </w:pPr>
      <w:r w:rsidDel="00000000" w:rsidR="00000000" w:rsidRPr="00000000">
        <w:rPr>
          <w:rtl w:val="0"/>
        </w:rPr>
      </w:r>
    </w:p>
    <w:p w:rsidR="00000000" w:rsidDel="00000000" w:rsidP="00000000" w:rsidRDefault="00000000" w:rsidRPr="00000000" w14:paraId="000001B7">
      <w:pPr>
        <w:spacing w:after="0" w:line="360" w:lineRule="auto"/>
        <w:jc w:val="both"/>
        <w:rPr>
          <w:rFonts w:ascii="Times New Roman" w:cs="Times New Roman" w:eastAsia="Times New Roman" w:hAnsi="Times New Roman"/>
          <w:i w:val="1"/>
          <w:color w:val="444444"/>
          <w:sz w:val="24"/>
          <w:szCs w:val="24"/>
          <w:highlight w:val="white"/>
        </w:rPr>
      </w:pPr>
      <w:r w:rsidDel="00000000" w:rsidR="00000000" w:rsidRPr="00000000">
        <w:rPr>
          <w:rFonts w:ascii="Times New Roman" w:cs="Times New Roman" w:eastAsia="Times New Roman" w:hAnsi="Times New Roman"/>
          <w:i w:val="1"/>
          <w:color w:val="444444"/>
          <w:sz w:val="24"/>
          <w:szCs w:val="24"/>
          <w:highlight w:val="white"/>
          <w:rtl w:val="0"/>
        </w:rPr>
        <w:t xml:space="preserve">Novas possibilidades para o atendimento às mulheres em tempos de pandemia</w:t>
      </w:r>
    </w:p>
    <w:p w:rsidR="00000000" w:rsidDel="00000000" w:rsidP="00000000" w:rsidRDefault="00000000" w:rsidRPr="00000000" w14:paraId="000001B8">
      <w:pPr>
        <w:spacing w:after="0" w:line="360" w:lineRule="auto"/>
        <w:jc w:val="both"/>
        <w:rPr>
          <w:rFonts w:ascii="Times New Roman" w:cs="Times New Roman" w:eastAsia="Times New Roman" w:hAnsi="Times New Roman"/>
          <w:b w:val="1"/>
          <w:color w:val="444444"/>
          <w:sz w:val="24"/>
          <w:szCs w:val="24"/>
          <w:highlight w:val="white"/>
        </w:rPr>
      </w:pPr>
      <w:r w:rsidDel="00000000" w:rsidR="00000000" w:rsidRPr="00000000">
        <w:rPr>
          <w:rtl w:val="0"/>
        </w:rPr>
      </w:r>
    </w:p>
    <w:p w:rsidR="00000000" w:rsidDel="00000000" w:rsidP="00000000" w:rsidRDefault="00000000" w:rsidRPr="00000000" w14:paraId="000001B9">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color w:val="444444"/>
          <w:sz w:val="24"/>
          <w:szCs w:val="24"/>
          <w:highlight w:val="white"/>
          <w:rtl w:val="0"/>
        </w:rPr>
        <w:tab/>
      </w:r>
      <w:r w:rsidDel="00000000" w:rsidR="00000000" w:rsidRPr="00000000">
        <w:rPr>
          <w:rFonts w:ascii="Times New Roman" w:cs="Times New Roman" w:eastAsia="Times New Roman" w:hAnsi="Times New Roman"/>
          <w:sz w:val="24"/>
          <w:szCs w:val="24"/>
          <w:highlight w:val="white"/>
          <w:rtl w:val="0"/>
        </w:rPr>
        <w:t xml:space="preserve">Uma ocorrência que se tornou frequente e em curva ascendente no período da pandemia foi a comunicação e o acesso a serviços de forma online. Um ponto importante é que muitas mulheres não estavam conseguindo acessar fisicamente serviços que poderiam auxiliar em momentos difíceis que estivessem vivendo, seja por conta da presença constante de seu companheiro na residência, seja pelos atendimentos estarem restritos ou até por desconhecerem seus direitos. Neste sentido, a Coletiva Basuras</w:t>
      </w:r>
      <w:r w:rsidDel="00000000" w:rsidR="00000000" w:rsidRPr="00000000">
        <w:rPr>
          <w:rFonts w:ascii="Times New Roman" w:cs="Times New Roman" w:eastAsia="Times New Roman" w:hAnsi="Times New Roman"/>
          <w:sz w:val="24"/>
          <w:szCs w:val="24"/>
          <w:highlight w:val="white"/>
          <w:vertAlign w:val="superscript"/>
        </w:rPr>
        <w:footnoteReference w:customMarkFollows="0" w:id="32"/>
      </w:r>
      <w:r w:rsidDel="00000000" w:rsidR="00000000" w:rsidRPr="00000000">
        <w:rPr>
          <w:rFonts w:ascii="Times New Roman" w:cs="Times New Roman" w:eastAsia="Times New Roman" w:hAnsi="Times New Roman"/>
          <w:sz w:val="24"/>
          <w:szCs w:val="24"/>
          <w:highlight w:val="white"/>
          <w:rtl w:val="0"/>
        </w:rPr>
        <w:t xml:space="preserve"> desenvolveu um projeto de informação sobre ataques aos direitos reprodutivos que mulheres podem sofrer, principalmente no período de pandemia. Em um informe com o título “Ataque aos direitos reprodutivos das mulheres durante a pandemia” a coletiva concentrou alguns canais disponíveis para denúncia além de redes de acolhimento de vítimas de violência doméstica e sexual. </w:t>
      </w:r>
    </w:p>
    <w:p w:rsidR="00000000" w:rsidDel="00000000" w:rsidP="00000000" w:rsidRDefault="00000000" w:rsidRPr="00000000" w14:paraId="000001BA">
      <w:pPr>
        <w:spacing w:after="0" w:line="360" w:lineRule="auto"/>
        <w:jc w:val="both"/>
        <w:rPr>
          <w:rFonts w:ascii="Times New Roman" w:cs="Times New Roman" w:eastAsia="Times New Roman" w:hAnsi="Times New Roman"/>
          <w:sz w:val="24"/>
          <w:szCs w:val="24"/>
          <w:shd w:fill="fefefe" w:val="clear"/>
        </w:rPr>
      </w:pPr>
      <w:r w:rsidDel="00000000" w:rsidR="00000000" w:rsidRPr="00000000">
        <w:rPr>
          <w:rFonts w:ascii="Times New Roman" w:cs="Times New Roman" w:eastAsia="Times New Roman" w:hAnsi="Times New Roman"/>
          <w:sz w:val="24"/>
          <w:szCs w:val="24"/>
          <w:highlight w:val="white"/>
          <w:rtl w:val="0"/>
        </w:rPr>
        <w:tab/>
        <w:t xml:space="preserve">O Portal Catarinas, em matéria de 27 de maio de 2020, noticiou que a Organização Não Governamental (ONG) Marie Stopes International (MSI), “q</w:t>
      </w:r>
      <w:r w:rsidDel="00000000" w:rsidR="00000000" w:rsidRPr="00000000">
        <w:rPr>
          <w:rFonts w:ascii="Times New Roman" w:cs="Times New Roman" w:eastAsia="Times New Roman" w:hAnsi="Times New Roman"/>
          <w:sz w:val="24"/>
          <w:szCs w:val="24"/>
          <w:shd w:fill="fefefe" w:val="clear"/>
          <w:rtl w:val="0"/>
        </w:rPr>
        <w:t xml:space="preserve">ue fornece serviços de contracepção e aborto em 37 países ao redor do mundo, alertou que a pandemia poderia ter um impacto devastador na saúde materna” (Portal Catarinas, 2020). Esta entidade afirmou que as interrupções de serviços por causa da pandemia poderiam levar a mais de 3 milhões de gravidezes indesejadas nos 37 países em que trabalha. Igualmente poderiam ocorrer mais de 2,7 milhões de abortos inseguros e por volta de 11 mil mortes relacionadas à gravidez. Os números são estarrecedores mesmo com o grande número de seres humanos no planeta. Diante desse contexto, se percebe o alto desvio de recursos dos programas de saúde reprodutiva, levando-se à dedução de que “o desmonte dos direitos humanos em geral e da área de políticas para as mulheres, além da agenda restritiva aos gastos sociais, estão contribuindo para a violação da cidadania feminina” (Pougy, 2018, p. 248). Ao observar a necessidade de ações mais contundentes em diversos países diante da questão reprodutiva das mulheres neste período, a OMS entendeu que o aborto é um procedimento essencial durante a pandemia, o que afirmou em nota de 04 de abril:</w:t>
      </w:r>
    </w:p>
    <w:p w:rsidR="00000000" w:rsidDel="00000000" w:rsidP="00000000" w:rsidRDefault="00000000" w:rsidRPr="00000000" w14:paraId="000001BB">
      <w:pPr>
        <w:spacing w:after="0" w:line="360" w:lineRule="auto"/>
        <w:jc w:val="both"/>
        <w:rPr>
          <w:rFonts w:ascii="Times New Roman" w:cs="Times New Roman" w:eastAsia="Times New Roman" w:hAnsi="Times New Roman"/>
          <w:sz w:val="24"/>
          <w:szCs w:val="24"/>
          <w:shd w:fill="fefefe" w:val="clear"/>
        </w:rPr>
      </w:pPr>
      <w:r w:rsidDel="00000000" w:rsidR="00000000" w:rsidRPr="00000000">
        <w:rPr>
          <w:rtl w:val="0"/>
        </w:rPr>
      </w:r>
    </w:p>
    <w:p w:rsidR="00000000" w:rsidDel="00000000" w:rsidP="00000000" w:rsidRDefault="00000000" w:rsidRPr="00000000" w14:paraId="000001BC">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serviços relacionados à saúde reprodutiva são considerados parte dos serviços essenciais durante o surto de Covid-19. Isso inclui métodos contraceptivos, cuidados de saúde de qualidade durante e após a gravidez e o parto e aborto seguros em toda a extensão da lei (O GLOBO, 2020).</w:t>
      </w:r>
    </w:p>
    <w:p w:rsidR="00000000" w:rsidDel="00000000" w:rsidP="00000000" w:rsidRDefault="00000000" w:rsidRPr="00000000" w14:paraId="000001BD">
      <w:pPr>
        <w:spacing w:after="0" w:line="360" w:lineRule="auto"/>
        <w:ind w:left="2832" w:firstLine="0"/>
        <w:jc w:val="both"/>
        <w:rPr>
          <w:rFonts w:ascii="Times New Roman" w:cs="Times New Roman" w:eastAsia="Times New Roman" w:hAnsi="Times New Roman"/>
          <w:sz w:val="24"/>
          <w:szCs w:val="24"/>
          <w:shd w:fill="fefefe" w:val="clear"/>
        </w:rPr>
      </w:pPr>
      <w:r w:rsidDel="00000000" w:rsidR="00000000" w:rsidRPr="00000000">
        <w:rPr>
          <w:rtl w:val="0"/>
        </w:rPr>
      </w:r>
    </w:p>
    <w:p w:rsidR="00000000" w:rsidDel="00000000" w:rsidP="00000000" w:rsidRDefault="00000000" w:rsidRPr="00000000" w14:paraId="000001BE">
      <w:pPr>
        <w:spacing w:after="0" w:line="360" w:lineRule="auto"/>
        <w:jc w:val="both"/>
        <w:rPr>
          <w:rFonts w:ascii="Times New Roman" w:cs="Times New Roman" w:eastAsia="Times New Roman" w:hAnsi="Times New Roman"/>
          <w:sz w:val="24"/>
          <w:szCs w:val="24"/>
          <w:shd w:fill="fefefe" w:val="clear"/>
        </w:rPr>
      </w:pPr>
      <w:r w:rsidDel="00000000" w:rsidR="00000000" w:rsidRPr="00000000">
        <w:rPr>
          <w:rFonts w:ascii="Times New Roman" w:cs="Times New Roman" w:eastAsia="Times New Roman" w:hAnsi="Times New Roman"/>
          <w:sz w:val="24"/>
          <w:szCs w:val="24"/>
          <w:shd w:fill="fefefe" w:val="clear"/>
          <w:rtl w:val="0"/>
        </w:rPr>
        <w:tab/>
        <w:t xml:space="preserve">Um grande problema se apresenta na dificuldade de acesso ao aborto seguro pelas mulheres, principalmente durante a pandemia. Diante dessa dificuldade e por outras condições que já eram apresentadas nesse tema antes da proliferação da SARS-COVID 19, as mulheres tendem a não buscarem ajuda nos serviços de saúde ou em instituições que poderiam auxiliar no direcionamento de seus direitos. E, ainda, estando as mulheres mais vulneráveis em seus lares diante da violência que vivem, uma gravidez indesejada é uma possibilidade gigantesca, que nem sempre é resolvida da melhor forma, o que pode ocasionar mais mortes por abortos inseguros, com mais riscos para as grávidas.</w:t>
      </w:r>
    </w:p>
    <w:p w:rsidR="00000000" w:rsidDel="00000000" w:rsidP="00000000" w:rsidRDefault="00000000" w:rsidRPr="00000000" w14:paraId="000001BF">
      <w:pPr>
        <w:spacing w:after="0" w:line="360" w:lineRule="auto"/>
        <w:ind w:firstLine="708"/>
        <w:jc w:val="both"/>
        <w:rPr>
          <w:rFonts w:ascii="Times New Roman" w:cs="Times New Roman" w:eastAsia="Times New Roman" w:hAnsi="Times New Roman"/>
          <w:sz w:val="24"/>
          <w:szCs w:val="24"/>
          <w:shd w:fill="fefefe" w:val="clear"/>
        </w:rPr>
      </w:pPr>
      <w:r w:rsidDel="00000000" w:rsidR="00000000" w:rsidRPr="00000000">
        <w:rPr>
          <w:rFonts w:ascii="Times New Roman" w:cs="Times New Roman" w:eastAsia="Times New Roman" w:hAnsi="Times New Roman"/>
          <w:sz w:val="24"/>
          <w:szCs w:val="24"/>
          <w:rtl w:val="0"/>
        </w:rPr>
        <w:t xml:space="preserve">O aborto é um tema que tem sido tratado muito mais na esfera religiosa e da moral do que como uma questão de saúde pública. A análise da Pesquisa Nacional de Aborto (PNA) (Diniz, 2016) apresenta índices relevantes e que devem ser considerados para entender que a criminalização existente atualmente não impede a prática do aborto de forma clandestina e expõe as mulheres negras e pobres a sérios riscos de saúde. Não há como constatar na realidade os números concretos dessa ação, tendo em vista as dificuldades de as mulheres assumirem publicamente a interrupção da gravidez, seja por medo ou por culpa, mas é possível observar estimativas que apresentam números importantes. O número de mulheres que praticam o aborto de forma clandestina é bastante alto e, mesmo assim, com muitas delas tendo suas vidas ceifadas, o Estado ainda não encontrou meios de protegê-las, seja garantindo o cuidado que exige esse momento, seja dando orientações mais contundentes na área reprodutiva. </w:t>
      </w:r>
      <w:r w:rsidDel="00000000" w:rsidR="00000000" w:rsidRPr="00000000">
        <w:rPr>
          <w:rFonts w:ascii="Times New Roman" w:cs="Times New Roman" w:eastAsia="Times New Roman" w:hAnsi="Times New Roman"/>
          <w:sz w:val="24"/>
          <w:szCs w:val="24"/>
          <w:shd w:fill="fefefe" w:val="clear"/>
          <w:rtl w:val="0"/>
        </w:rPr>
        <w:t xml:space="preserve">Mesmo com leis restritivas, as mulheres não deixam de abortar, mas nem todas nas mesmas condições. Mulheres negras e pobres vão realizar esse procedimento de forma insegura e precária, o que acaba por convergir em um grande número de morte materna.</w:t>
      </w:r>
    </w:p>
    <w:p w:rsidR="00000000" w:rsidDel="00000000" w:rsidP="00000000" w:rsidRDefault="00000000" w:rsidRPr="00000000" w14:paraId="000001C0">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shd w:fill="fefefe" w:val="clear"/>
          <w:rtl w:val="0"/>
        </w:rPr>
        <w:tab/>
        <w:t xml:space="preserve">Outra iniciativa voltada para o apoio de mulheres que precisam de orientação e ajuda para abortar foi o “Milhas Pela Vida das Mulheres”. É uma rede de mulheres criada durante as comemorações do Dia Latino-Americano de Luta pela Descriminalização do Aborto, em 28 de setembro de 2019, que em solidariedade mútua e conjunta busca ajudar mulheres que desejam interromper uma gravidez de forma legal e segura. Esta rede advoga pela descriminalização do aborto no Brasil e, também solicita que pessoas compartilhem recursos com quem necessita. De acordo com o site Benfeitoria, essa organização que estava em fase de formalização durante a pandemia, é </w:t>
      </w:r>
      <w:r w:rsidDel="00000000" w:rsidR="00000000" w:rsidRPr="00000000">
        <w:rPr>
          <w:rFonts w:ascii="Times New Roman" w:cs="Times New Roman" w:eastAsia="Times New Roman" w:hAnsi="Times New Roman"/>
          <w:sz w:val="24"/>
          <w:szCs w:val="24"/>
          <w:highlight w:val="white"/>
          <w:rtl w:val="0"/>
        </w:rPr>
        <w:t xml:space="preserve">uma entidade sem fins lucrativos, que praticamente se autossustenta e, também, conta com a contribuição voluntária de pessoas para sua manutenção. Desde quando iniciou o seu funcionamento, em 2019, há uma preocupação em assegurar a todas as pessoas envolvidas nessa rede, a segurança de pareceres jurídicos visando garantir a colaboração no exercício do direito fundamental de escolha das mulheres que auxiliam, sem que haja riscos ou ações passíveis de punição. O interessante é que com a maioria não há encontro fora do ambiente virtual e a ajuda vem das mais diferentes formas, desde vacinas de imunoglobulina para mulheres com fator RH negativo até passagens aéreas e terrestres, internacionais ou nacionais, incluindo pacotes negociados de estadia, caso as mulheres precisem se deslocar para realizar o procedimento de interrupção da gravidez (MILHAS, 2020). O site Milhas ainda informa que desde que foi criado, mais de mil e trezentas mulheres de todas as regiões brasileiras foram auxiliadas pela rede. O apoio às mulheres é dado por mulheres, e a rede, diante dessa ação, visa combater o crime e a ilegalidade enquanto promove saúde e liberdade para centenas de milhares de mulheres. </w:t>
      </w:r>
    </w:p>
    <w:p w:rsidR="00000000" w:rsidDel="00000000" w:rsidP="00000000" w:rsidRDefault="00000000" w:rsidRPr="00000000" w14:paraId="000001C1">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Um outro atendimento que já existia anteriormente à pandemia, mas que vem crescendo e se consolidando neste período é o teleaborto, que foi apresentado em matéria da BBC News, de 27 de maio de 2020. É uma modalidade de telemedicina que se tornou uma opção bastante solicitada por mulheres grávidas que decidem por abortar e podem fazê-lo em sua casa, sem necessitar de deslocamento para o procedimento. O principal país de ocorrência são os Estados Unidos e ele é proibido em dezoito estados estadunidenses. As mulheres vêm solicitando cada vez mais esse atendimento, principalmente por causa do risco de infecção pelo novo coronavírus. Um dos programas americanos que envia os medicamentos para realização do aborto pelo correio é o TelAbortion, que faz o acompanhamento por videoconferências. A entidade informa que o número de abortos em março e abril de 2020 dobraram e que o tipo de aborto oferecido é o medicamentoso. Fazem parte do kit, que é enviado pelo correio, os dois principais medicamentos para o aborto, o mifepristone e o misoprostol. </w:t>
      </w:r>
    </w:p>
    <w:p w:rsidR="00000000" w:rsidDel="00000000" w:rsidP="00000000" w:rsidRDefault="00000000" w:rsidRPr="00000000" w14:paraId="000001C2">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a prescrição de medicamentos, a gravidez precisa estar dentro das dez semanas de gestação e, para tanto, é solicitado um ultrassom confirmando esse tempo. Mesmo o atendimento ocorrendo por videoconferência, no momento da teleconsulta, a paciente precisa estar fisicamente presente em um estado que seja permitido esse serviço, assim como o médico precisará ter licença no mesmo Estado, mesmo estando fisicamente em outro lugar do país. É importante ressaltar que, a utilização desses medicamentos, na tentativa do abortamento, apresenta sintomas muito incômodos como cólicas fortes e sangramento. Podem se apresentar outros efeitos colaterais como náusea e vômito. O procedimento é, de certa forma, doloroso, não só fisicamente, mas também emocionalmente, visto que a mulher precisa verificar se o abortamento foi concluído pela observação do saco embrionário que deverá ser expelido juntamente com as substâncias que estão misturadas ao sangue. Nos períodos iniciais da gravidez, esse material é praticamente imperceptível quando misturado ao material que se perde durante o sangramento. </w:t>
      </w:r>
    </w:p>
    <w:p w:rsidR="00000000" w:rsidDel="00000000" w:rsidP="00000000" w:rsidRDefault="00000000" w:rsidRPr="00000000" w14:paraId="000001C3">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confirmação de que o aborto foi concluído ocorre por meio de alguns testes, como o de urina, por exemplo, mas cerca de 13% a 15% das pacientes não retornam o contato após receber as pílulas, informa a instituição. Na consulta virtual, os médicos explicam às pacientes o que estas irão sentir e o que devem fazer se houver sangramento excessivo ou até se ocorrerem outras complicações que estejam além do normal. Ainda na BBC, o que se discorre é que mesmo se tratando de um procedimento que apresenta sangramento, a OMS e o Colégio Americano de Ginecologistas e Obstetras dos EUA afirmam que o aborto medicamentoso é seguro e eficaz, mesmo sendo realizado através da telemedicina. E, parece ainda, que esse modelo possibilita o aborto precoce em áreas que carecem de um profissional de saúde. Muitas organizações solicitam a expansão dessa prática por videoconferência, visto que há uma escassez de clínicas que fornecem medicamentos abortivos, principalmente em áreas rurais dos Estados Unidos.</w:t>
      </w:r>
    </w:p>
    <w:p w:rsidR="00000000" w:rsidDel="00000000" w:rsidP="00000000" w:rsidRDefault="00000000" w:rsidRPr="00000000" w14:paraId="000001C4">
      <w:pPr>
        <w:spacing w:after="0"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C5">
      <w:pPr>
        <w:spacing w:after="0" w:line="36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Considerações finais</w:t>
      </w:r>
    </w:p>
    <w:p w:rsidR="00000000" w:rsidDel="00000000" w:rsidP="00000000" w:rsidRDefault="00000000" w:rsidRPr="00000000" w14:paraId="000001C6">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C7">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Há muitos temas que despertam o debate mais acirrado tanto no Parlamento quanto na sociedade civil, mas o aborto tem sido um dos que elevam o tom das discussões. Sem dúvidas, é uma questão que envolve a vida, de um lado a do feto e do outro a da mulher. Como é possível afirmar que uma é mais importante que a outra, sem que se transforme esse assunto numa grande inquirição. Diante disso, percebe-se como principal ponto nos diversos debates relacionados a essa matéria, a religião. É indiscutível que as diversas religiões apresentam diferentes posicionamentos diante do tema, mas o que desponta em seus discursos é a afirmativa sobre a vida ser inviolável. Nesse aspecto, atores políticos, muitas vezes inseridos em um campo mais conservador, estão engajados nesse debate, amplamente defendido por movimentos feministas e grupos mais progressistas.</w:t>
      </w:r>
    </w:p>
    <w:p w:rsidR="00000000" w:rsidDel="00000000" w:rsidP="00000000" w:rsidRDefault="00000000" w:rsidRPr="00000000" w14:paraId="000001C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mulheres cristãs que defendem a descriminalização do aborto apontam que a Igreja Católica é patriarcal, visto que não há representação feminina nos altos escalões, apesar das mulheres serem maioria nas igrejas. Da mesma forma, as evangélicas também carecem de uma representação feminina mais maciça em suas igrejas. O fundamentalismo religioso tem difundido discursos de ódio, que se assemelham ao fascismo, voltados para pessoas que defendem a vida das mulheres, diante do tema aborto. </w:t>
      </w:r>
    </w:p>
    <w:p w:rsidR="00000000" w:rsidDel="00000000" w:rsidP="00000000" w:rsidRDefault="00000000" w:rsidRPr="00000000" w14:paraId="000001C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campo feminista tem defendido em várias posições os direitos sexuais e reprodutivos por muito tempo. Essa luta, de acordo com Lélia Gonzalez tem mostrado que é “inegável que o feminismo como teoria e prática vem desempenhando um papel fundamental em nossas lutas e conquistas, e à medida que, ao apresentar novas perguntas, não somente estimulou a formação de grupos e redes, também desenvolveu a busca de uma nova forma de ser mulher” (Gonzalez, 2011, p. 12). Todo o movimento realizado por esse segmento tem sido para ampliar e reconhecer direitos em busca de igualdade. </w:t>
      </w:r>
    </w:p>
    <w:p w:rsidR="00000000" w:rsidDel="00000000" w:rsidP="00000000" w:rsidRDefault="00000000" w:rsidRPr="00000000" w14:paraId="000001C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cidadania feminina se apresenta diante da conquista formal de direitos, segundo Pougy (2018), mas que acaba, muitas vezes, por não contemplar todas as mulheres, excluindo de certa forma as negras e pobres. Isso diz muito sobre o que essas mulheres, geralmente posicionadas em situações desfavoráveis, precisam enfrentar nas decisões que dizem respeito ao seu próprio corpo, como o aborto, por exemplo. Esse tema precisa estar associado à uma questão de saúde pública, tendo em vista as dificuldades enfrentadas por mulheres marginalizadas que decidem por uma interrupção de gravidez. A elas é negado o acesso a políticas públicas voltadas para o campo sexual e reprodutivo. No caso do aborto, o que mata é a clandestinidade que o aborto inseguro proporciona para mulheres negras e moradoras da periferia. Estas mulheres fazem parte do grupo vulnerável e estão desassistidas, sujeitas a complicações no procedimento abortivo ilegal e precário e, são elas, as maiores vítimas deste procedimento no país.</w:t>
      </w:r>
    </w:p>
    <w:p w:rsidR="00000000" w:rsidDel="00000000" w:rsidP="00000000" w:rsidRDefault="00000000" w:rsidRPr="00000000" w14:paraId="000001C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Angela Davis em seu debate sobre o racismo através de elementos históricos que ela apresenta para demonstrar o caminho percorrido por mulheres que hoje vivem em condições pouco favoráveis, é muito assertiva quando aborda que através do ponto de vista histórico é possível acabar com “os mal entendidos sobre as experiências das mulheres negras escravizadas” e assim entender que “as lições que ele pode reunir sobre a era escravista trarão esclarecimentos sobre a luta atual das mulheres negras e de todas as mulheres em busca de emancipação” (Davis, 2016, p. 17). E é nesse ponto que as análises precisam se apoiar, visando entender o processo que é destinado a essas mulheres e as deixam em posição de desvantagem.</w:t>
      </w:r>
    </w:p>
    <w:p w:rsidR="00000000" w:rsidDel="00000000" w:rsidP="00000000" w:rsidRDefault="00000000" w:rsidRPr="00000000" w14:paraId="000001C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inegável que a pandemia que assolou a população mundial foi extremamente difícil para todos, mas trouxe ainda mais condições de precariedade para as mulheres que vivem a violência de forma recorrente. O que se percebe é que o efeito do coronavírus nos direitos das mulheres pode se tornar muito grave a longo prazo. Além disso, é possível afirmar que com o aumento do número de ocorrências neste âmbito, muitas mulheres passaram a viver uma pandemia dentro da pandemia. O jogo de palavras parece muito simples, mas denuncia a gravidade da situação que essas mulheres experimentaram nesse período. Não apenas na violência física e sexual, especificamente, mas nas violências que são perpetradas por instituições que deveriam garantir direitos fundamentais. Dentro desses direitos, estão incluídos, principalmente, o direito à vida, à dignidade, à autonomia e à proteção. O Estado tem se eximido não só da oferta de políticas públicas, mas principalmente na garantia de sua manutenção. Do mesmo modo, com o funcionamento parcial ou até restrito de muitas instituições, como escolas, empresas e até de saúde, as vítimas se encontram sem espaços de refúgio, se tornando mais expostas à violência. E quando isso se soma a outros fatores como o impacto econômico causado pelo vírus na vida de muitas famílias, o problema é ainda maior.</w:t>
      </w:r>
    </w:p>
    <w:p w:rsidR="00000000" w:rsidDel="00000000" w:rsidP="00000000" w:rsidRDefault="00000000" w:rsidRPr="00000000" w14:paraId="000001C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tem sido uma tarefa fácil encontrar espaço de debate e de entendimento diante do tema aborto, visto que uma onda reacionária tem atingido não só a sociedade em geral, como também o Congresso Nacional. Do mesmo modo, um fundamentalismo religioso tem sem apresentado bastante hostil a esse assunto, se contrapondo de todas as maneiras à descriminalização do aborto, inclusive nos casos já permitidos. Esse tema é extremamente relevante na área de pesquisa para que se possa, além de conhecer uma realidade difícil e tortuosa para as mulheres, também entender os motivos que levam à supressão de direitos como a autonomia e controle do seu próprio corpo pelo Estado. É evidente que uma sociedade patriarcal, machista e sexista se direciona para decisões voltadas para a moral e os bons costumes, determinados por ela própria, limitando assim a liberdade de escolha das mulheres.</w:t>
      </w:r>
    </w:p>
    <w:p w:rsidR="00000000" w:rsidDel="00000000" w:rsidP="00000000" w:rsidRDefault="00000000" w:rsidRPr="00000000" w14:paraId="000001CE">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F">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1D0">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AGUIRRE, L. Pérez. </w:t>
      </w:r>
      <w:r w:rsidDel="00000000" w:rsidR="00000000" w:rsidRPr="00000000">
        <w:rPr>
          <w:rFonts w:ascii="Times New Roman" w:cs="Times New Roman" w:eastAsia="Times New Roman" w:hAnsi="Times New Roman"/>
          <w:b w:val="1"/>
          <w:sz w:val="24"/>
          <w:szCs w:val="24"/>
          <w:rtl w:val="0"/>
        </w:rPr>
        <w:t xml:space="preserve">Aspectos religiosos do aborto induzido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Católicas pelo Direito de Decidir – CDD, caderno nº 5, 2006.</w:t>
      </w:r>
    </w:p>
    <w:p w:rsidR="00000000" w:rsidDel="00000000" w:rsidP="00000000" w:rsidRDefault="00000000" w:rsidRPr="00000000" w14:paraId="000001D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BARSTED, L. de A. Linhares. </w:t>
      </w:r>
      <w:r w:rsidDel="00000000" w:rsidR="00000000" w:rsidRPr="00000000">
        <w:rPr>
          <w:rFonts w:ascii="Times New Roman" w:cs="Times New Roman" w:eastAsia="Times New Roman" w:hAnsi="Times New Roman"/>
          <w:b w:val="1"/>
          <w:sz w:val="24"/>
          <w:szCs w:val="24"/>
          <w:rtl w:val="0"/>
        </w:rPr>
        <w:t xml:space="preserve">Legalização e descriminalização do aborto no Brasil: 10 anos de luta feminista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Revista Estudos Feministas. Florianópolis, 1996.</w:t>
      </w:r>
    </w:p>
    <w:p w:rsidR="00000000" w:rsidDel="00000000" w:rsidP="00000000" w:rsidRDefault="00000000" w:rsidRPr="00000000" w14:paraId="000001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BASURAS. CATARINAS.INFO. </w:t>
      </w:r>
      <w:r w:rsidDel="00000000" w:rsidR="00000000" w:rsidRPr="00000000">
        <w:rPr>
          <w:rFonts w:ascii="Times New Roman" w:cs="Times New Roman" w:eastAsia="Times New Roman" w:hAnsi="Times New Roman"/>
          <w:b w:val="1"/>
          <w:sz w:val="24"/>
          <w:szCs w:val="24"/>
          <w:rtl w:val="0"/>
        </w:rPr>
        <w:t xml:space="preserve">Ataques aos Direitos Reprodutivos das Mulheres durante a Pandemia de Covid-19</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w:t>
      </w:r>
      <w:hyperlink r:id="rId46">
        <w:r w:rsidDel="00000000" w:rsidR="00000000" w:rsidRPr="00000000">
          <w:rPr>
            <w:rFonts w:ascii="Times New Roman" w:cs="Times New Roman" w:eastAsia="Times New Roman" w:hAnsi="Times New Roman"/>
            <w:color w:val="000000"/>
            <w:sz w:val="24"/>
            <w:szCs w:val="24"/>
            <w:u w:val="single"/>
            <w:rtl w:val="0"/>
          </w:rPr>
          <w:t xml:space="preserve">https://catarinas.info/wp-content/uploads/2020/05/Pandemia-e-direitos-reprodutivos_BasurasA4-1.pdf</w:t>
        </w:r>
      </w:hyperlink>
      <w:r w:rsidDel="00000000" w:rsidR="00000000" w:rsidRPr="00000000">
        <w:rPr>
          <w:rFonts w:ascii="Times New Roman" w:cs="Times New Roman" w:eastAsia="Times New Roman" w:hAnsi="Times New Roman"/>
          <w:sz w:val="24"/>
          <w:szCs w:val="24"/>
          <w:rtl w:val="0"/>
        </w:rPr>
        <w:t xml:space="preserve">  Acesso em: 03/12/2020.</w:t>
      </w:r>
    </w:p>
    <w:p w:rsidR="00000000" w:rsidDel="00000000" w:rsidP="00000000" w:rsidRDefault="00000000" w:rsidRPr="00000000" w14:paraId="000001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BBC NEWS. </w:t>
      </w:r>
      <w:r w:rsidDel="00000000" w:rsidR="00000000" w:rsidRPr="00000000">
        <w:rPr>
          <w:rFonts w:ascii="Times New Roman" w:cs="Times New Roman" w:eastAsia="Times New Roman" w:hAnsi="Times New Roman"/>
          <w:b w:val="1"/>
          <w:sz w:val="24"/>
          <w:szCs w:val="24"/>
          <w:rtl w:val="0"/>
        </w:rPr>
        <w:t xml:space="preserve">Coronavírus: o que é o teleaborto, que vem crescendo nos EUA durante a pandemia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Maio/2020. Disponível em: </w:t>
      </w:r>
      <w:hyperlink r:id="rId47">
        <w:r w:rsidDel="00000000" w:rsidR="00000000" w:rsidRPr="00000000">
          <w:rPr>
            <w:rFonts w:ascii="Times New Roman" w:cs="Times New Roman" w:eastAsia="Times New Roman" w:hAnsi="Times New Roman"/>
            <w:color w:val="000000"/>
            <w:sz w:val="24"/>
            <w:szCs w:val="24"/>
            <w:u w:val="single"/>
            <w:rtl w:val="0"/>
          </w:rPr>
          <w:t xml:space="preserve">https://www.bbc.com/portuguese/geral-52777810</w:t>
        </w:r>
      </w:hyperlink>
      <w:r w:rsidDel="00000000" w:rsidR="00000000" w:rsidRPr="00000000">
        <w:rPr>
          <w:rFonts w:ascii="Times New Roman" w:cs="Times New Roman" w:eastAsia="Times New Roman" w:hAnsi="Times New Roman"/>
          <w:sz w:val="24"/>
          <w:szCs w:val="24"/>
          <w:rtl w:val="0"/>
        </w:rPr>
        <w:t xml:space="preserve">  Acesso em: 08/11/2020.</w:t>
      </w:r>
    </w:p>
    <w:p w:rsidR="00000000" w:rsidDel="00000000" w:rsidP="00000000" w:rsidRDefault="00000000" w:rsidRPr="00000000" w14:paraId="000001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BENFEITORIA, 2019</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Operação Milhas pela vida das Mulheres</w:t>
      </w:r>
      <w:r w:rsidDel="00000000" w:rsidR="00000000" w:rsidRPr="00000000">
        <w:rPr>
          <w:rFonts w:ascii="Times New Roman" w:cs="Times New Roman" w:eastAsia="Times New Roman" w:hAnsi="Times New Roman"/>
          <w:sz w:val="24"/>
          <w:szCs w:val="24"/>
          <w:rtl w:val="0"/>
        </w:rPr>
        <w:t xml:space="preserve">. Disponível em: </w:t>
      </w:r>
      <w:hyperlink r:id="rId48">
        <w:r w:rsidDel="00000000" w:rsidR="00000000" w:rsidRPr="00000000">
          <w:rPr>
            <w:rFonts w:ascii="Times New Roman" w:cs="Times New Roman" w:eastAsia="Times New Roman" w:hAnsi="Times New Roman"/>
            <w:color w:val="000000"/>
            <w:sz w:val="24"/>
            <w:szCs w:val="24"/>
            <w:u w:val="single"/>
            <w:rtl w:val="0"/>
          </w:rPr>
          <w:t xml:space="preserve">https://benfeitoria.com/MVM#:~:text=Uma%20iniciativa%20de%20solidariedade%20m%C3%BAtua,de%20forma%20segura%20e%20legal.&amp;text=A%20Opera%C3%A7%C3%A3o%20MILHAS%20PELA%20VIDA,Luta%20pela%20Descriminaliza%C3%A7%C3%A3o%20do%20Aborto</w:t>
        </w:r>
      </w:hyperlink>
      <w:r w:rsidDel="00000000" w:rsidR="00000000" w:rsidRPr="00000000">
        <w:rPr>
          <w:rFonts w:ascii="Times New Roman" w:cs="Times New Roman" w:eastAsia="Times New Roman" w:hAnsi="Times New Roman"/>
          <w:sz w:val="24"/>
          <w:szCs w:val="24"/>
          <w:rtl w:val="0"/>
        </w:rPr>
        <w:t xml:space="preserve">. Acesso em: 03/08/2023.</w:t>
      </w:r>
    </w:p>
    <w:p w:rsidR="00000000" w:rsidDel="00000000" w:rsidP="00000000" w:rsidRDefault="00000000" w:rsidRPr="00000000" w14:paraId="000001D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w:t>
      </w:r>
      <w:r w:rsidDel="00000000" w:rsidR="00000000" w:rsidRPr="00000000">
        <w:rPr>
          <w:rFonts w:ascii="Times New Roman" w:cs="Times New Roman" w:eastAsia="Times New Roman" w:hAnsi="Times New Roman"/>
          <w:b w:val="1"/>
          <w:sz w:val="24"/>
          <w:szCs w:val="24"/>
          <w:rtl w:val="0"/>
        </w:rPr>
        <w:t xml:space="preserve">. Lei 13.104 </w:t>
      </w:r>
      <w:r w:rsidDel="00000000" w:rsidR="00000000" w:rsidRPr="00000000">
        <w:rPr>
          <w:rFonts w:ascii="Times New Roman" w:cs="Times New Roman" w:eastAsia="Times New Roman" w:hAnsi="Times New Roman"/>
          <w:sz w:val="24"/>
          <w:szCs w:val="24"/>
          <w:rtl w:val="0"/>
        </w:rPr>
        <w:t xml:space="preserve">de 09 de março de 2015. Altera o art. 121 do Decreto Lei nº 2.848, de 7 de dezembro de 1940 – Código Penal, para prever o feminicídio como circunstância qualificadora do crime de homicídio.</w:t>
      </w:r>
    </w:p>
    <w:p w:rsidR="00000000" w:rsidDel="00000000" w:rsidP="00000000" w:rsidRDefault="00000000" w:rsidRPr="00000000" w14:paraId="000001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Portaria nº 2.282 de 27 de agosto de 2020</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Dispõe sobre o procedimento de justificação e autorização da interrupção da gravidez nos casos previstos em lei, no âmbito do Sistema Único de Saúde – SUS. </w:t>
      </w:r>
    </w:p>
    <w:p w:rsidR="00000000" w:rsidDel="00000000" w:rsidP="00000000" w:rsidRDefault="00000000" w:rsidRPr="00000000" w14:paraId="000001D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CAVALCANTI, Ludmila F</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Violência contra a mulher: avanços, limites e desafios da abordagem do fenômeno nos serviços de saúde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VIEIRA, L.J.E.S.; MOREIRA, D.P.; LIRA, S.V.G. (orgs.). Enfrentamento às violências: sujeitos, estratégias e contextos. Fortaleza: EDUECE, 2016.</w:t>
      </w:r>
    </w:p>
    <w:p w:rsidR="00000000" w:rsidDel="00000000" w:rsidP="00000000" w:rsidRDefault="00000000" w:rsidRPr="00000000" w14:paraId="000001E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CHADE, Jamil. Brasil se abstém em voto sobre saúde sexual e reprodutiva na ONU. </w:t>
      </w:r>
      <w:r w:rsidDel="00000000" w:rsidR="00000000" w:rsidRPr="00000000">
        <w:rPr>
          <w:rFonts w:ascii="Times New Roman" w:cs="Times New Roman" w:eastAsia="Times New Roman" w:hAnsi="Times New Roman"/>
          <w:b w:val="1"/>
          <w:sz w:val="24"/>
          <w:szCs w:val="24"/>
          <w:rtl w:val="0"/>
        </w:rPr>
        <w:t xml:space="preserve">UOL Notícias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26 junho 2019.       Disponível em: </w:t>
      </w:r>
      <w:hyperlink r:id="rId49">
        <w:r w:rsidDel="00000000" w:rsidR="00000000" w:rsidRPr="00000000">
          <w:rPr>
            <w:rFonts w:ascii="Times New Roman" w:cs="Times New Roman" w:eastAsia="Times New Roman" w:hAnsi="Times New Roman"/>
            <w:color w:val="000000"/>
            <w:sz w:val="24"/>
            <w:szCs w:val="24"/>
            <w:u w:val="single"/>
            <w:rtl w:val="0"/>
          </w:rPr>
          <w:t xml:space="preserve">https://jamilchade.blogosfera.uol.com.br/2019/06/26/brasil-se-abstem-em-voto-sobre-saude-sexual-e-reprodutiva-na-onu/</w:t>
        </w:r>
      </w:hyperlink>
      <w:r w:rsidDel="00000000" w:rsidR="00000000" w:rsidRPr="00000000">
        <w:rPr>
          <w:rFonts w:ascii="Times New Roman" w:cs="Times New Roman" w:eastAsia="Times New Roman" w:hAnsi="Times New Roman"/>
          <w:sz w:val="24"/>
          <w:szCs w:val="24"/>
          <w:rtl w:val="0"/>
        </w:rPr>
        <w:t xml:space="preserve">   Acesso em: 30/07/2023.</w:t>
      </w:r>
    </w:p>
    <w:p w:rsidR="00000000" w:rsidDel="00000000" w:rsidP="00000000" w:rsidRDefault="00000000" w:rsidRPr="00000000" w14:paraId="000001E2">
      <w:pPr>
        <w:spacing w:after="0"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DAVIS, Ângela. </w:t>
      </w:r>
      <w:r w:rsidDel="00000000" w:rsidR="00000000" w:rsidRPr="00000000">
        <w:rPr>
          <w:rFonts w:ascii="Times New Roman" w:cs="Times New Roman" w:eastAsia="Times New Roman" w:hAnsi="Times New Roman"/>
          <w:b w:val="1"/>
          <w:sz w:val="24"/>
          <w:szCs w:val="24"/>
          <w:rtl w:val="0"/>
        </w:rPr>
        <w:t xml:space="preserve">Mulheres, raça e classe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1ª ed. São Paulo: Boitempo, 2016.</w:t>
      </w:r>
    </w:p>
    <w:p w:rsidR="00000000" w:rsidDel="00000000" w:rsidP="00000000" w:rsidRDefault="00000000" w:rsidRPr="00000000" w14:paraId="000001E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DINIZ D.; MEDEIROS M.; MADEIRO A. </w:t>
      </w:r>
      <w:r w:rsidDel="00000000" w:rsidR="00000000" w:rsidRPr="00000000">
        <w:rPr>
          <w:rFonts w:ascii="Times New Roman" w:cs="Times New Roman" w:eastAsia="Times New Roman" w:hAnsi="Times New Roman"/>
          <w:b w:val="1"/>
          <w:sz w:val="24"/>
          <w:szCs w:val="24"/>
          <w:rtl w:val="0"/>
        </w:rPr>
        <w:t xml:space="preserve">Pesquisa Nacional de Aborto 2016</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Ciênc. Saúde Coletiva, v.22, n.2, Rio de Janeiro, 2017.</w:t>
      </w:r>
    </w:p>
    <w:p w:rsidR="00000000" w:rsidDel="00000000" w:rsidP="00000000" w:rsidRDefault="00000000" w:rsidRPr="00000000" w14:paraId="000001E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EMMERICK, Rulian. </w:t>
      </w:r>
      <w:r w:rsidDel="00000000" w:rsidR="00000000" w:rsidRPr="00000000">
        <w:rPr>
          <w:rFonts w:ascii="Times New Roman" w:cs="Times New Roman" w:eastAsia="Times New Roman" w:hAnsi="Times New Roman"/>
          <w:b w:val="1"/>
          <w:sz w:val="24"/>
          <w:szCs w:val="24"/>
          <w:rtl w:val="0"/>
        </w:rPr>
        <w:t xml:space="preserve">Religião e direitos reprodutivos: o aborto como campo de disputa política e religiosa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Rio de Janeiro: Lumen Juris, 2013.</w:t>
      </w:r>
    </w:p>
    <w:p w:rsidR="00000000" w:rsidDel="00000000" w:rsidP="00000000" w:rsidRDefault="00000000" w:rsidRPr="00000000" w14:paraId="000001E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FÓRUM BRASILEIRO DE SEGURANÇA PÚBLICA. </w:t>
      </w:r>
      <w:r w:rsidDel="00000000" w:rsidR="00000000" w:rsidRPr="00000000">
        <w:rPr>
          <w:rFonts w:ascii="Times New Roman" w:cs="Times New Roman" w:eastAsia="Times New Roman" w:hAnsi="Times New Roman"/>
          <w:b w:val="1"/>
          <w:sz w:val="24"/>
          <w:szCs w:val="24"/>
          <w:rtl w:val="0"/>
        </w:rPr>
        <w:t xml:space="preserve">Notas Técnicas Violência Doméstica durante a Pandemia de Covid-19. </w:t>
      </w:r>
      <w:r w:rsidDel="00000000" w:rsidR="00000000" w:rsidRPr="00000000">
        <w:rPr>
          <w:rFonts w:ascii="Times New Roman" w:cs="Times New Roman" w:eastAsia="Times New Roman" w:hAnsi="Times New Roman"/>
          <w:sz w:val="24"/>
          <w:szCs w:val="24"/>
          <w:rtl w:val="0"/>
        </w:rPr>
        <w:t xml:space="preserve">FBSP: São Paulo, 2020. </w:t>
      </w:r>
    </w:p>
    <w:p w:rsidR="00000000" w:rsidDel="00000000" w:rsidP="00000000" w:rsidRDefault="00000000" w:rsidRPr="00000000" w14:paraId="000001E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FOUNDATION, Thomas Reuters. Coronavírus pode levar milhões de mulheres em todo o mundo ao aborto inseguro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 Globo, </w:t>
      </w:r>
      <w:r w:rsidDel="00000000" w:rsidR="00000000" w:rsidRPr="00000000">
        <w:rPr>
          <w:rFonts w:ascii="Times New Roman" w:cs="Times New Roman" w:eastAsia="Times New Roman" w:hAnsi="Times New Roman"/>
          <w:sz w:val="24"/>
          <w:szCs w:val="24"/>
          <w:rtl w:val="0"/>
        </w:rPr>
        <w:t xml:space="preserve">07 Abr. 2020. Disponível em:</w:t>
      </w:r>
      <w:hyperlink r:id="rId50">
        <w:r w:rsidDel="00000000" w:rsidR="00000000" w:rsidRPr="00000000">
          <w:rPr>
            <w:rFonts w:ascii="Times New Roman" w:cs="Times New Roman" w:eastAsia="Times New Roman" w:hAnsi="Times New Roman"/>
            <w:color w:val="000000"/>
            <w:sz w:val="24"/>
            <w:szCs w:val="24"/>
            <w:u w:val="single"/>
            <w:rtl w:val="0"/>
          </w:rPr>
          <w:t xml:space="preserve">https://oglobo.globo.com/celina/coronavirus-pode-levar-milhoes-de-mulheres-em-todo-mundo-ao-aborto-inseguro-24356279</w:t>
        </w:r>
      </w:hyperlink>
      <w:r w:rsidDel="00000000" w:rsidR="00000000" w:rsidRPr="00000000">
        <w:rPr>
          <w:rFonts w:ascii="Times New Roman" w:cs="Times New Roman" w:eastAsia="Times New Roman" w:hAnsi="Times New Roman"/>
          <w:sz w:val="24"/>
          <w:szCs w:val="24"/>
          <w:rtl w:val="0"/>
        </w:rPr>
        <w:t xml:space="preserve">  Acesso em: 03/08/2023.</w:t>
      </w:r>
    </w:p>
    <w:p w:rsidR="00000000" w:rsidDel="00000000" w:rsidP="00000000" w:rsidRDefault="00000000" w:rsidRPr="00000000" w14:paraId="000001E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w:t>
      </w:r>
      <w:r w:rsidDel="00000000" w:rsidR="00000000" w:rsidRPr="00000000">
        <w:rPr>
          <w:rFonts w:ascii="Times New Roman" w:cs="Times New Roman" w:eastAsia="Times New Roman" w:hAnsi="Times New Roman"/>
          <w:b w:val="1"/>
          <w:sz w:val="24"/>
          <w:szCs w:val="24"/>
          <w:rtl w:val="0"/>
        </w:rPr>
        <w:t xml:space="preserve">Por um feminismo Afro-Latino-americano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Caderno de formação política do círculo Palmarino n.1 – Batalha de Ideias. Brasil, 2011.</w:t>
      </w:r>
    </w:p>
    <w:p w:rsidR="00000000" w:rsidDel="00000000" w:rsidP="00000000" w:rsidRDefault="00000000" w:rsidRPr="00000000" w14:paraId="000001E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HURST, Jane. </w:t>
      </w:r>
      <w:r w:rsidDel="00000000" w:rsidR="00000000" w:rsidRPr="00000000">
        <w:rPr>
          <w:rFonts w:ascii="Times New Roman" w:cs="Times New Roman" w:eastAsia="Times New Roman" w:hAnsi="Times New Roman"/>
          <w:b w:val="1"/>
          <w:sz w:val="24"/>
          <w:szCs w:val="24"/>
          <w:rtl w:val="0"/>
        </w:rPr>
        <w:t xml:space="preserve">La historia de las ideas sobre el aborto em la iglesia católica: lo que no fue contado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México: Católicas por el Derecho a Decidir – CDD, 1998.</w:t>
      </w:r>
    </w:p>
    <w:p w:rsidR="00000000" w:rsidDel="00000000" w:rsidP="00000000" w:rsidRDefault="00000000" w:rsidRPr="00000000" w14:paraId="000001F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MACHADO, Maria das Dores Campos. </w:t>
      </w:r>
      <w:r w:rsidDel="00000000" w:rsidR="00000000" w:rsidRPr="00000000">
        <w:rPr>
          <w:rFonts w:ascii="Times New Roman" w:cs="Times New Roman" w:eastAsia="Times New Roman" w:hAnsi="Times New Roman"/>
          <w:b w:val="1"/>
          <w:sz w:val="24"/>
          <w:szCs w:val="24"/>
          <w:rtl w:val="0"/>
        </w:rPr>
        <w:t xml:space="preserve">O discurso cristão sobre a “ideologia de gênero”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Revista Estudos Feministas: Florianópolis, 2017.</w:t>
      </w:r>
    </w:p>
    <w:p w:rsidR="00000000" w:rsidDel="00000000" w:rsidP="00000000" w:rsidRDefault="00000000" w:rsidRPr="00000000" w14:paraId="000001F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______. </w:t>
      </w:r>
      <w:r w:rsidDel="00000000" w:rsidR="00000000" w:rsidRPr="00000000">
        <w:rPr>
          <w:rFonts w:ascii="Times New Roman" w:cs="Times New Roman" w:eastAsia="Times New Roman" w:hAnsi="Times New Roman"/>
          <w:b w:val="1"/>
          <w:sz w:val="24"/>
          <w:szCs w:val="24"/>
          <w:rtl w:val="0"/>
        </w:rPr>
        <w:t xml:space="preserve">Aborto e ativismo religioso nas eleições de 2010</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Revista Brasileira de Ciência Política (Impresso). 2012. p.25-54.</w:t>
      </w:r>
    </w:p>
    <w:p w:rsidR="00000000" w:rsidDel="00000000" w:rsidP="00000000" w:rsidRDefault="00000000" w:rsidRPr="00000000" w14:paraId="000001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MILHAS PELA VIDA DAS MULHERES, 2019. Disponível em: </w:t>
      </w:r>
      <w:hyperlink r:id="rId51">
        <w:r w:rsidDel="00000000" w:rsidR="00000000" w:rsidRPr="00000000">
          <w:rPr>
            <w:rFonts w:ascii="Times New Roman" w:cs="Times New Roman" w:eastAsia="Times New Roman" w:hAnsi="Times New Roman"/>
            <w:color w:val="000000"/>
            <w:sz w:val="24"/>
            <w:szCs w:val="24"/>
            <w:u w:val="single"/>
            <w:rtl w:val="0"/>
          </w:rPr>
          <w:t xml:space="preserve">https://milhaspelavidadasmulheres.com.br/</w:t>
        </w:r>
      </w:hyperlink>
      <w:r w:rsidDel="00000000" w:rsidR="00000000" w:rsidRPr="00000000">
        <w:rPr>
          <w:rFonts w:ascii="Times New Roman" w:cs="Times New Roman" w:eastAsia="Times New Roman" w:hAnsi="Times New Roman"/>
          <w:sz w:val="24"/>
          <w:szCs w:val="24"/>
          <w:rtl w:val="0"/>
        </w:rPr>
        <w:t xml:space="preserve">  Acesso em: 03/08/2023. </w:t>
      </w:r>
    </w:p>
    <w:p w:rsidR="00000000" w:rsidDel="00000000" w:rsidP="00000000" w:rsidRDefault="00000000" w:rsidRPr="00000000" w14:paraId="000001F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ME KAHLO, 2020. Informativo online e gratuito sobre os direitos reprodutivos das mulheres durante a pandemia.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Disponível em: </w:t>
      </w:r>
      <w:hyperlink r:id="rId52">
        <w:r w:rsidDel="00000000" w:rsidR="00000000" w:rsidRPr="00000000">
          <w:rPr>
            <w:rFonts w:ascii="Times New Roman" w:cs="Times New Roman" w:eastAsia="Times New Roman" w:hAnsi="Times New Roman"/>
            <w:color w:val="000000"/>
            <w:sz w:val="24"/>
            <w:szCs w:val="24"/>
            <w:u w:val="single"/>
            <w:rtl w:val="0"/>
          </w:rPr>
          <w:t xml:space="preserve">https://naomekahlo.com/informativo-online-e-gratuito-sobre-os-direitos-reprodutivos-das-mulheres-durante-a-pandemia/#:~:text=Sobre%20Basuras,%2C%20direitos%20humanos%2C%20entre%20outros</w:t>
        </w:r>
      </w:hyperlink>
      <w:r w:rsidDel="00000000" w:rsidR="00000000" w:rsidRPr="00000000">
        <w:rPr>
          <w:rFonts w:ascii="Times New Roman" w:cs="Times New Roman" w:eastAsia="Times New Roman" w:hAnsi="Times New Roman"/>
          <w:sz w:val="24"/>
          <w:szCs w:val="24"/>
          <w:rtl w:val="0"/>
        </w:rPr>
        <w:t xml:space="preserve">  Acesso em: 03/08/2023.</w:t>
      </w:r>
    </w:p>
    <w:p w:rsidR="00000000" w:rsidDel="00000000" w:rsidP="00000000" w:rsidRDefault="00000000" w:rsidRPr="00000000" w14:paraId="000001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JOANA. Abortos legais em hospitais referência no Brasil disparam na pandemia e expõem drama da violência sexual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El País, </w:t>
      </w:r>
      <w:r w:rsidDel="00000000" w:rsidR="00000000" w:rsidRPr="00000000">
        <w:rPr>
          <w:rFonts w:ascii="Times New Roman" w:cs="Times New Roman" w:eastAsia="Times New Roman" w:hAnsi="Times New Roman"/>
          <w:sz w:val="24"/>
          <w:szCs w:val="24"/>
          <w:rtl w:val="0"/>
        </w:rPr>
        <w:t xml:space="preserve">30 Ago. 2020. Disponível em: </w:t>
      </w:r>
      <w:hyperlink r:id="rId53">
        <w:r w:rsidDel="00000000" w:rsidR="00000000" w:rsidRPr="00000000">
          <w:rPr>
            <w:rFonts w:ascii="Times New Roman" w:cs="Times New Roman" w:eastAsia="Times New Roman" w:hAnsi="Times New Roman"/>
            <w:color w:val="000000"/>
            <w:sz w:val="24"/>
            <w:szCs w:val="24"/>
            <w:u w:val="single"/>
            <w:rtl w:val="0"/>
          </w:rPr>
          <w:t xml:space="preserve">https://brasil.elpais.com/brasil/2020-08-30/abortos-legais-em-hospitais-referencia-no-brasil-disparam-na-pandemia-e-expoem-drama-da-violencia-sexual.html</w:t>
        </w:r>
      </w:hyperlink>
      <w:r w:rsidDel="00000000" w:rsidR="00000000" w:rsidRPr="00000000">
        <w:rPr>
          <w:rFonts w:ascii="Times New Roman" w:cs="Times New Roman" w:eastAsia="Times New Roman" w:hAnsi="Times New Roman"/>
          <w:sz w:val="24"/>
          <w:szCs w:val="24"/>
          <w:rtl w:val="0"/>
        </w:rPr>
        <w:t xml:space="preserve"> Acesso em: 04/08/2023.</w:t>
      </w:r>
    </w:p>
    <w:p w:rsidR="00000000" w:rsidDel="00000000" w:rsidP="00000000" w:rsidRDefault="00000000" w:rsidRPr="00000000" w14:paraId="000001F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PORTAL CATARINAS, 2020. Coletivo lança informativo on-line sobre os direitos reprodutivos em tempo de pandemia.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w:t>
      </w:r>
      <w:hyperlink r:id="rId54">
        <w:r w:rsidDel="00000000" w:rsidR="00000000" w:rsidRPr="00000000">
          <w:rPr>
            <w:rFonts w:ascii="Times New Roman" w:cs="Times New Roman" w:eastAsia="Times New Roman" w:hAnsi="Times New Roman"/>
            <w:color w:val="000000"/>
            <w:sz w:val="24"/>
            <w:szCs w:val="24"/>
            <w:u w:val="single"/>
            <w:rtl w:val="0"/>
          </w:rPr>
          <w:t xml:space="preserve">https://catarinas.info/coletivo-lanca-informativo-on-line-sobre-os-direitos-reprodutivos-em-tempo-de-pandemia/?fbclid=IwAR0kA0jltzp2oQvjNJPVNndYhpUBxYF_Oqs4L69fuWakoSPklqSpbtnrBjQ</w:t>
        </w:r>
      </w:hyperlink>
      <w:r w:rsidDel="00000000" w:rsidR="00000000" w:rsidRPr="00000000">
        <w:rPr>
          <w:rFonts w:ascii="Times New Roman" w:cs="Times New Roman" w:eastAsia="Times New Roman" w:hAnsi="Times New Roman"/>
          <w:sz w:val="24"/>
          <w:szCs w:val="24"/>
          <w:rtl w:val="0"/>
        </w:rPr>
        <w:t xml:space="preserve">  Acesso em: 08/08/2023.</w:t>
      </w:r>
    </w:p>
    <w:p w:rsidR="00000000" w:rsidDel="00000000" w:rsidP="00000000" w:rsidRDefault="00000000" w:rsidRPr="00000000" w14:paraId="000001F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POUGY, Lilia G. </w:t>
      </w:r>
      <w:r w:rsidDel="00000000" w:rsidR="00000000" w:rsidRPr="00000000">
        <w:rPr>
          <w:rFonts w:ascii="Times New Roman" w:cs="Times New Roman" w:eastAsia="Times New Roman" w:hAnsi="Times New Roman"/>
          <w:b w:val="1"/>
          <w:sz w:val="24"/>
          <w:szCs w:val="24"/>
          <w:rtl w:val="0"/>
        </w:rPr>
        <w:t xml:space="preserve">O conceito em perspectiva: gênero, raça e classe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Saberes plurais: produção acadêmica em sociedade, cultura e serviço social. Rosemere Maia e Verônica Cruz (orgs.). Rio de Janeiro: Universidade Federal do Rio de Janeiro. Programa de Pós-Graduação em Serviço Social, 2018.</w:t>
      </w:r>
    </w:p>
    <w:p w:rsidR="00000000" w:rsidDel="00000000" w:rsidP="00000000" w:rsidRDefault="00000000" w:rsidRPr="00000000" w14:paraId="000001F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PRESSE, France. Com restrições da Pandemia, aumento da violência contra a mulher é fenômeno mundial.</w:t>
      </w:r>
      <w:r w:rsidDel="00000000" w:rsidR="00000000" w:rsidRPr="00000000">
        <w:rPr>
          <w:rFonts w:ascii="Times New Roman" w:cs="Times New Roman" w:eastAsia="Times New Roman" w:hAnsi="Times New Roman"/>
          <w:b w:val="1"/>
          <w:sz w:val="24"/>
          <w:szCs w:val="24"/>
          <w:rtl w:val="0"/>
        </w:rPr>
        <w:t xml:space="preserve"> Globo.com/G1, </w:t>
      </w:r>
      <w:r w:rsidDel="00000000" w:rsidR="00000000" w:rsidRPr="00000000">
        <w:rPr>
          <w:rFonts w:ascii="Times New Roman" w:cs="Times New Roman" w:eastAsia="Times New Roman" w:hAnsi="Times New Roman"/>
          <w:sz w:val="24"/>
          <w:szCs w:val="24"/>
          <w:rtl w:val="0"/>
        </w:rPr>
        <w:t xml:space="preserve">23 Nov. 2020. Disponível em: </w:t>
      </w:r>
      <w:hyperlink r:id="rId55">
        <w:r w:rsidDel="00000000" w:rsidR="00000000" w:rsidRPr="00000000">
          <w:rPr>
            <w:rFonts w:ascii="Times New Roman" w:cs="Times New Roman" w:eastAsia="Times New Roman" w:hAnsi="Times New Roman"/>
            <w:color w:val="000000"/>
            <w:sz w:val="24"/>
            <w:szCs w:val="24"/>
            <w:u w:val="single"/>
            <w:rtl w:val="0"/>
          </w:rPr>
          <w:t xml:space="preserve">https://g1.globo.com/mundo/noticia/2020/11/23/com-restricoes-da-pandemia-aumento-da-violencia-contra-a-mulher-e-fenomeno-mundial.ghtml</w:t>
        </w:r>
      </w:hyperlink>
      <w:r w:rsidDel="00000000" w:rsidR="00000000" w:rsidRPr="00000000">
        <w:rPr>
          <w:rFonts w:ascii="Times New Roman" w:cs="Times New Roman" w:eastAsia="Times New Roman" w:hAnsi="Times New Roman"/>
          <w:sz w:val="24"/>
          <w:szCs w:val="24"/>
          <w:rtl w:val="0"/>
        </w:rPr>
        <w:t xml:space="preserve">  Acesso em: 03/08/2023.</w:t>
      </w:r>
    </w:p>
    <w:p w:rsidR="00000000" w:rsidDel="00000000" w:rsidP="00000000" w:rsidRDefault="00000000" w:rsidRPr="00000000" w14:paraId="0000020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ROCHA, M. I. Baltar da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 questão do aborto no Brasil: o debate no Congresso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Revista Estudos Feministas: Florianópolis, 1996.</w:t>
      </w:r>
    </w:p>
    <w:p w:rsidR="00000000" w:rsidDel="00000000" w:rsidP="00000000" w:rsidRDefault="00000000" w:rsidRPr="00000000" w14:paraId="000002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ROSADO-NUNES, Maria José F. </w:t>
      </w:r>
      <w:r w:rsidDel="00000000" w:rsidR="00000000" w:rsidRPr="00000000">
        <w:rPr>
          <w:rFonts w:ascii="Times New Roman" w:cs="Times New Roman" w:eastAsia="Times New Roman" w:hAnsi="Times New Roman"/>
          <w:b w:val="1"/>
          <w:sz w:val="24"/>
          <w:szCs w:val="24"/>
          <w:rtl w:val="0"/>
        </w:rPr>
        <w:t xml:space="preserve">O Tratamento do Aborto pela Igreja Católica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IFCS/UFRJ, Revista Estudos Feministas, vol.5 n.2, 1997.</w:t>
      </w:r>
    </w:p>
    <w:p w:rsidR="00000000" w:rsidDel="00000000" w:rsidP="00000000" w:rsidRDefault="00000000" w:rsidRPr="00000000" w14:paraId="000002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w:t>
      </w:r>
      <w:r w:rsidDel="00000000" w:rsidR="00000000" w:rsidRPr="00000000">
        <w:rPr>
          <w:rFonts w:ascii="Times New Roman" w:cs="Times New Roman" w:eastAsia="Times New Roman" w:hAnsi="Times New Roman"/>
          <w:b w:val="1"/>
          <w:sz w:val="24"/>
          <w:szCs w:val="24"/>
          <w:rtl w:val="0"/>
        </w:rPr>
        <w:t xml:space="preserve">Aborto, maternidade e a dignidade da vida das mulheres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CAVALCANTI, Alcilene; XAVIER, Dulce (Org.).</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defesa da vida: aborto e direitos humanos. São Paulo: Católicas pelo Direito de Decidir, 2006. p. 23-39.</w:t>
      </w:r>
    </w:p>
    <w:p w:rsidR="00000000" w:rsidDel="00000000" w:rsidP="00000000" w:rsidRDefault="00000000" w:rsidRPr="00000000" w14:paraId="000002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SAMPAIO, Cristiane. “Ela voltou a sorrir”, relata diretor de hospital que fez aborto legal em criança.</w:t>
      </w:r>
      <w:r w:rsidDel="00000000" w:rsidR="00000000" w:rsidRPr="00000000">
        <w:rPr>
          <w:rFonts w:ascii="Times New Roman" w:cs="Times New Roman" w:eastAsia="Times New Roman" w:hAnsi="Times New Roman"/>
          <w:b w:val="1"/>
          <w:sz w:val="24"/>
          <w:szCs w:val="24"/>
          <w:rtl w:val="0"/>
        </w:rPr>
        <w:t xml:space="preserve"> Brasil de Fato.</w:t>
      </w:r>
      <w:r w:rsidDel="00000000" w:rsidR="00000000" w:rsidRPr="00000000">
        <w:rPr>
          <w:rFonts w:ascii="Times New Roman" w:cs="Times New Roman" w:eastAsia="Times New Roman" w:hAnsi="Times New Roman"/>
          <w:sz w:val="24"/>
          <w:szCs w:val="24"/>
          <w:rtl w:val="0"/>
        </w:rPr>
        <w:t xml:space="preserve">  Fortaleza, 18 ago. 2020. Disponível em: </w:t>
      </w:r>
      <w:hyperlink r:id="rId56">
        <w:r w:rsidDel="00000000" w:rsidR="00000000" w:rsidRPr="00000000">
          <w:rPr>
            <w:rFonts w:ascii="Times New Roman" w:cs="Times New Roman" w:eastAsia="Times New Roman" w:hAnsi="Times New Roman"/>
            <w:color w:val="000000"/>
            <w:sz w:val="24"/>
            <w:szCs w:val="24"/>
            <w:u w:val="single"/>
            <w:rtl w:val="0"/>
          </w:rPr>
          <w:t xml:space="preserve">https://www.brasildefato.com.br/2020/08/18/dois-dias-depois-medico-que-fez-o-aborto-diz-que-menina-voltou-a-sorrir</w:t>
        </w:r>
      </w:hyperlink>
      <w:r w:rsidDel="00000000" w:rsidR="00000000" w:rsidRPr="00000000">
        <w:rPr>
          <w:rFonts w:ascii="Times New Roman" w:cs="Times New Roman" w:eastAsia="Times New Roman" w:hAnsi="Times New Roman"/>
          <w:sz w:val="24"/>
          <w:szCs w:val="24"/>
          <w:rtl w:val="0"/>
        </w:rPr>
        <w:t xml:space="preserve">  Acesso em: 03/08/2023.</w:t>
      </w:r>
    </w:p>
    <w:p w:rsidR="00000000" w:rsidDel="00000000" w:rsidP="00000000" w:rsidRDefault="00000000" w:rsidRPr="00000000" w14:paraId="000002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SCAVONE, Lucila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Políticas feministas do aborto</w:t>
      </w:r>
      <w:r w:rsidDel="00000000" w:rsidR="00000000" w:rsidRPr="00000000">
        <w:rPr>
          <w:rFonts w:ascii="Times New Roman" w:cs="Times New Roman" w:eastAsia="Times New Roman" w:hAnsi="Times New Roman"/>
          <w:sz w:val="24"/>
          <w:szCs w:val="24"/>
          <w:rtl w:val="0"/>
        </w:rPr>
        <w:t xml:space="preserve">. Revista Estudos Feministas, v.16, n.2. Florianópolis, 2008.</w:t>
      </w:r>
      <w:r w:rsidDel="00000000" w:rsidR="00000000" w:rsidRPr="00000000">
        <w:rPr>
          <w:rtl w:val="0"/>
        </w:rPr>
      </w:r>
    </w:p>
    <w:p w:rsidR="00000000" w:rsidDel="00000000" w:rsidP="00000000" w:rsidRDefault="00000000" w:rsidRPr="00000000" w14:paraId="0000020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L. </w:t>
      </w:r>
      <w:r w:rsidDel="00000000" w:rsidR="00000000" w:rsidRPr="00000000">
        <w:rPr>
          <w:rFonts w:ascii="Times New Roman" w:cs="Times New Roman" w:eastAsia="Times New Roman" w:hAnsi="Times New Roman"/>
          <w:b w:val="1"/>
          <w:sz w:val="24"/>
          <w:szCs w:val="24"/>
          <w:rtl w:val="0"/>
        </w:rPr>
        <w:t xml:space="preserve">Que és un feminicídio? – Notas para un debate emergente. </w:t>
      </w:r>
      <w:r w:rsidDel="00000000" w:rsidR="00000000" w:rsidRPr="00000000">
        <w:rPr>
          <w:rFonts w:ascii="Times New Roman" w:cs="Times New Roman" w:eastAsia="Times New Roman" w:hAnsi="Times New Roman"/>
          <w:sz w:val="24"/>
          <w:szCs w:val="24"/>
          <w:rtl w:val="0"/>
        </w:rPr>
        <w:t xml:space="preserve">Série Antropologia, nº 401. Brasília: Departamento de Antropologia, Universidade de Brasília, 2006.</w:t>
      </w:r>
    </w:p>
    <w:p w:rsidR="00000000" w:rsidDel="00000000" w:rsidP="00000000" w:rsidRDefault="00000000" w:rsidRPr="00000000" w14:paraId="0000020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CONTRARREFORMA PSIQUIÁTRICA E MANICÔMIOS JUDICIÁRIOS: DESAFIOS NO CUIDADO ANTIMANICOMIAL DE MULHERES</w:t>
      </w:r>
    </w:p>
    <w:p w:rsidR="00000000" w:rsidDel="00000000" w:rsidP="00000000" w:rsidRDefault="00000000" w:rsidRPr="00000000" w14:paraId="00000221">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Jaqueline Sério da Costa</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222">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223">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relação da sociedade brasileira com a loucura, assim como ocorre em outros países ocidentais, é marcada pela predominância de um saber psiquiátrico biologizante que busca na sua contenção, física e medicamentosa, seu controle. A patologização da loucura foi um processo imprescindível para que se justificasse o isolamento da louca e do louco enquanto medida terapêutica e se estabelecesse sobre eles o saber médico, consolidando a ciência psiquiátrica (Foucault, 1978). No sentido oposto, as lutas pela Reforma Psiquiátrica Brasileira, que ganharam força sobretudo no final dos anos 1970, almejaram construir um outro lugar social para a loucura, entendendo-a enquanto inserida no laço social, e provocando uma ruptura na forma como os tratamentos psiquiátricos eram feitos até então.</w:t>
      </w:r>
    </w:p>
    <w:p w:rsidR="00000000" w:rsidDel="00000000" w:rsidP="00000000" w:rsidRDefault="00000000" w:rsidRPr="00000000" w14:paraId="0000022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apesar das importantes conquistas da Reforma Psiquiátrica no cuidado da loucura, o entrelaçamento entre crime e loucura parece impor contornos próprios que os distanciam das mudanças ocorridas. A relação entre crime e loucura se forjou na junção do saber médico com o jurídico e, ao imprimir sobre ela a marca do perigo, impôs sua segregação e confinamento em uma instituição asilar penal que, apesar de contrariar as prerrogativas da Lei da Reforma Psiquiátrica (Lei 10.216/01), não sofreu alterações após as lutas antimanicomiais encampadas. O manicômio judiciário, instituição criada para o cumprimento da medida de segurança das pessoas consideradas loucas e infratoras, surgiu primeiramente no Rio de Janeiro, em 1921 e, após a Reforma Penal de 1984 passou a ser denominado Hospital de Custódia e Tratamento Psiquiátrico (HCTP), integrando o Sistema Penitenciário. A despeito da ideia de tratamento que se tentou imprimir sobre esse estabelecimento com a mudança de nomenclatura, ele segue operando mais como manicômio-prisão do que como hospital e, por isso, mantém-se politicamente relevante nomeá-lo enquanto manicômio judiciário. </w:t>
      </w:r>
    </w:p>
    <w:p w:rsidR="00000000" w:rsidDel="00000000" w:rsidP="00000000" w:rsidRDefault="00000000" w:rsidRPr="00000000" w14:paraId="0000022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instituição que congrega o asilamento manicomial com o punitivismo prisional, interessa-nos discutir sobre as violações perpetradas sobretudo às mulheres ali internadas. Não se entende, entretanto, que essas mulheres formam um conjunto homogêneo, sobre o qual as experiências vividas podem ser generalizadas, mas atenta-se a uma perspectiva interseccional que, trazendo a cena os outros elementos que compõem a vida dessas mulheres, permite entender a complexa rede de relações que se entrelaça aos estatutos de louca e criminosa. Entende-se, pois, que o gênero não compõe de forma isolada a identidade pessoal e que os fenômenos de opressão não agem de forma independente, baseados somente no gênero ou na raça ou na classe ou na orientação sexual, por exemplo (Nogueira, 2017), mas, sim, que o entrecruzamento entre esses fatores forma produtos que precisam ser analisados na sua intersecção.   </w:t>
      </w:r>
    </w:p>
    <w:p w:rsidR="00000000" w:rsidDel="00000000" w:rsidP="00000000" w:rsidRDefault="00000000" w:rsidRPr="00000000" w14:paraId="0000022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Dentre as diversas compreensões que o conceito de gênero possui e suas múltiplas possibilidades de uso, neste trabalho, reitera-se que a análise de gênero se volta sobretudo para o estudo das mulheres, investigando como a construção do que é ser mulher é utilizada para determinar uma punição-tratamento específica e diferenciada dos homens nos manicômios judiciários. Enquanto estudo de mulheres, abarca-se as mulheres cis e trans, pela compreensão de que um feminismo interseccional não pode contribuir com a invisibilização das mulheres e homens trans e pessoas não binárias que tem, também nos manicômios judiciários, as suas identidades de gênero fora da cisgeneridade utilizadas para comprovar seu “transtorno mental” e sua “periculosidade”.</w:t>
      </w:r>
    </w:p>
    <w:p w:rsidR="00000000" w:rsidDel="00000000" w:rsidP="00000000" w:rsidRDefault="00000000" w:rsidRPr="00000000" w14:paraId="0000022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melhor analisar o atual cenário em que mulheres tidas como loucas e infratoras estão inseridas, aponta-se como o fortalecimento do movimento de Contrarreforma Psiquiátrica tem atuado para a ratificação de uma política manicomializadora, através da descaracterização da Rede de Atenção Psicossocial (RAPS). Nesse contexto de negação de direitos, a pandemia do novo coronavírus foi utilizada para impor medidas ainda mais severas às pessoas institucionalizadas, as deixando completamente vulneráveis ao vírus e abandonadas, mas importantes ações de resistência também têm sido construídas, demonstrando o atual forte caráter de disputa da relação crime-loucura.</w:t>
      </w:r>
    </w:p>
    <w:p w:rsidR="00000000" w:rsidDel="00000000" w:rsidP="00000000" w:rsidRDefault="00000000" w:rsidRPr="00000000" w14:paraId="0000022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Louca e infratora: analisando as relações entre gênero, crime e loucura no manicômio judiciário</w:t>
      </w:r>
    </w:p>
    <w:p w:rsidR="00000000" w:rsidDel="00000000" w:rsidP="00000000" w:rsidRDefault="00000000" w:rsidRPr="00000000" w14:paraId="0000022B">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2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Criados para a segregação e contenção da pessoa louca infratora, o manicômio judiciário se constitui como manicômio-prisão e serve a uma lógica punitivista de disciplinarização das pessoas ali internadas. Como parte do Sistema Penitenciário, essa instituição tem no modelo penal não somente a sua arquitetura, haja vista que a Lei de Execução Penal (Lei 7.210/84) determina para a construção do manicômio judiciário as regras básicas do projeto arquitetônico de uma penitenciária, mas também seu perfil populacional.</w:t>
      </w:r>
    </w:p>
    <w:p w:rsidR="00000000" w:rsidDel="00000000" w:rsidP="00000000" w:rsidRDefault="00000000" w:rsidRPr="00000000" w14:paraId="0000022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Sistema Penitenciário é composto, majoritariamente, por homens, pretos ou pardos, jovens, com baixa escolaridade, condenados por roubo ou tráfico de drogas. Esse é o perfil da pessoa presa nas 1.507 unidades prisionais no Brasil, mapeado pelo INFOPEN (Brasil, 2019a),</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2017. São dados que revelam a seletividade penal racista e classista do Sistema Penitenciário brasileiro, fruto de um passado colonial e escravocrata que se faz presente. Nesse sistema, os homens dizem respeito a 95% da população presa no país com a terceira maior população carcerária do mundo.</w:t>
      </w:r>
    </w:p>
    <w:p w:rsidR="00000000" w:rsidDel="00000000" w:rsidP="00000000" w:rsidRDefault="00000000" w:rsidRPr="00000000" w14:paraId="0000022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preponderância masculina nessas instituições revela a ocupação de um espaço construído por homens e para homens, no qual as mulheres encarceradas se encontram invisibilizadas pelas demandas de um sistema que não as comporta. Gestação, maternidade e menstruação são alguns dos acontecimentos que evidenciam o despreparo e o desrespeito às necessidades de algumas dessas mulheres nas unidades prisionais. A moral também se sobrepõe de forma diferenciada sobre a mulher criminosa, que, ao ser presa, é diminuída enquanto mulher ou mãe, por não se enquadrar no papel social hegemônico da mulher pura e dócil (Barbosa, 2017). </w:t>
      </w:r>
    </w:p>
    <w:p w:rsidR="00000000" w:rsidDel="00000000" w:rsidP="00000000" w:rsidRDefault="00000000" w:rsidRPr="00000000" w14:paraId="0000022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do discrepante quantitativo de mulheres encarceradas em comparação aos homens, o Brasil possui a quarta maior população prisional feminina do mundo que, por sua vez, cresce vertiginosamente mais rápido do que a masculina. Em 2016, houve um aumento de 455% no encarceramento feminino em relação ao registrado nos anos 2000, enquanto a população masculina cresceu em 293% no mesmo período (Brasil, 2017).</w:t>
      </w:r>
    </w:p>
    <w:p w:rsidR="00000000" w:rsidDel="00000000" w:rsidP="00000000" w:rsidRDefault="00000000" w:rsidRPr="00000000" w14:paraId="0000023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Parte desse sistema, marcado racial e socialmente e que invisibiliza as mulheres presentes, os manicômios judiciários operam produzindo ainda mais violações de direitos às pessoas ali internadas. Segundo o painel interativo do INFOPEN (Brasil, 2019b), são 4.359 pessoas cumprindo medidas de segurança atualmente, sendo 191 mulheres. Assim como com as maiores populações prisionais do Brasil, os estados com mais pessoas internadas em manicômios judiciários são, respectivamente, São Paulo, Minas Gerais e Rio de Janeiro.</w:t>
      </w:r>
    </w:p>
    <w:p w:rsidR="00000000" w:rsidDel="00000000" w:rsidP="00000000" w:rsidRDefault="00000000" w:rsidRPr="00000000" w14:paraId="0000023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melhor entender as especificidades que caracterizam os manicômios judiciários, faz-se necessário tecer um breve histórico dessa instituição. O primeiro manicômio judiciário do Brasil surgiu em 1921, no Rio de Janeiro, após o clamor midiático, de médicos e de juristas para a criação de uma instituição específica para as pessoas loucas infratoras. Até então, estas eram institucionalizadas nos hospitais psiquiátricos, porém, nesse período de consolidação do saber psiquiátrico, modernização da sociedade e com as influências do positivismo criminológico sobre o Direito Penal, entendeu-se que a interlocução entre crime-loucura demandava uma instituição à parte, que não ameaçasse a almejada “cura” psiquiátrica das pessoas insanas, sendo necessário separá-las das criminosas. Assim, os manicômios judiciários surgiram enquanto espaços destinados ao cumprimento das medidas de segurança para aquelas e aqueles considerados inimputáveis ou semi-imputáveis pelo cometimento de crimes (Carrara, 1998).</w:t>
      </w:r>
    </w:p>
    <w:p w:rsidR="00000000" w:rsidDel="00000000" w:rsidP="00000000" w:rsidRDefault="00000000" w:rsidRPr="00000000" w14:paraId="0000023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a Reforma Penal, em 1984, a imposição da pena passou a ficar restrita somente aos sujeitos imputáveis, ou seja, somente àqueles que, ao tempo do fato, são capazes de entender o caráter ilícito do seu comportamento, enquanto a medida de segurança passou a ser determinada aos sujeitos inimputáveis e aos semi-imputáveis. O artigo 26 do Código Penal considera inimputável o indivíduo que “por doença mental ou desenvolvimento mental incompleto ou retardado, era, ao tempo da ação ou da omissão, inteiramente incapaz de entender o caráter ilícito do fato ou de determinar-se de acordo com esse entendimento” e considera semi-imputável o indivíduo que “em virtude de perturbação da saúde mental ou por desenvolvimento mental incompleto ou retardado, não possuía, ao tempo da ação ou da omissão, a plena capacidade de entender o caráter criminoso do fato ou de determinar-se de acordo com esse entendimento”. Desse modo, no caso do agente considerado inimputável, o magistrado aplicará uma sentença absolutória imprópria, na qual ele absolverá o agente, mas determinará uma medida de segurança, ao passo que no caso do agente semi-imputável, o magistrado escolherá entre a condenação com redução de pena ou a substituição da pena por medida de segurança.  </w:t>
      </w:r>
    </w:p>
    <w:p w:rsidR="00000000" w:rsidDel="00000000" w:rsidP="00000000" w:rsidRDefault="00000000" w:rsidRPr="00000000" w14:paraId="0000023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no que diz respeito às medidas de segurança, estas podem ser de dois tipos: internação e tratamento ambulatorial. A internação se impõe ao agente inimputável com a privação de liberdade e deve ser executada dentro do manicômio judiciário, enquanto o tratamento ambulatorial é designado exclusivamente quando o crime praticado é punível com detenção, ocorrendo em liberdade e sendo oferecido em um manicômio judiciário ou em um local com dependência médica adequada. Sobre tal distinção, Silvia Tedesco (2016) chama atenção para a predileção dos juízes pela determinação das medidas de internação em detrimento do tratamento ambulatorial devido a relação direta estabelecida entre loucura criminosa e perigo, cuja detenção se faz necessária não pelo crime em si, mas pela pessoa. </w:t>
      </w:r>
    </w:p>
    <w:p w:rsidR="00000000" w:rsidDel="00000000" w:rsidP="00000000" w:rsidRDefault="00000000" w:rsidRPr="00000000" w14:paraId="0000023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marca do perigo impressa na relação entre crime e loucura é o que funda as medidas de segurança e o próprio manicômio judiciário, bem como é o que continua determinando o aprisionamento por tempo indeterminado dos que adentram nessa instituição. Enquanto a pena aplicada aos indivíduos imputáveis prevê um tempo máximo para o seu cumprimento, a medida de segurança prevê somente um tempo mínimo, de um a três anos, e é extinta somente com perícia médica comprovando a cessação da periculosidade do agente. Tal fato faz com que, em 2011, houvesse dezoito pessoas internadas há mais de trinta anos nos manicômios judiciários brasileiros (Diniz, 2013), a despeito do entendimento do Supremo Tribunal Federal de que a medida de segurança não deve ultrapassar o período máximo de trinta anos (cf. RHC 100383/AP e HC 107432/RS) e que, além dessas, 606 pessoas estavam internadas há mais tempo do que a pena máxima em abstrato para a infração cometida.</w:t>
      </w:r>
    </w:p>
    <w:p w:rsidR="00000000" w:rsidDel="00000000" w:rsidP="00000000" w:rsidRDefault="00000000" w:rsidRPr="00000000" w14:paraId="0000023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as condições de funcionamento dos manicômios judiciários e o caráter detentivo e indeterminado das medidas de segurança, torna-se evidente como estas podem ser muito mais severas do que as penas privativas de liberdade. Para Haroldo Caetano (2018), as medidas de segurança podem ser consideradas sanção penal, haja vista a imposição da restrição de liberdade e o seu caráter punitivo. O autor afirma que a medida de segurança é um tipo de pena disfarçada de medida terapêutica, cuja determinação pode ser considerada ilegal, haja vista que, segundo a Constituição de 1988, não é possível a imposição de pena ao agente inimputável. Para além da ilegalidade da imposição da medida de segurança, Caetano (2018) também chama atenção para a ilegalidade dos manicômios judiciários perante a Lei 10.216/01, que veda expressamente que a internação em saúde mental ocorra em instituições com características asilares, além de ser um espaço incompatível com a reinserção social do paciente, ferindo também o principal objetivo de um tratamento em saúde mental.</w:t>
      </w:r>
    </w:p>
    <w:p w:rsidR="00000000" w:rsidDel="00000000" w:rsidP="00000000" w:rsidRDefault="00000000" w:rsidRPr="00000000" w14:paraId="0000023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grave violação de direitos das pessoas internadas nos manicômios judiciários só se faz possível em uma sociedade que prima pela segregação daqueles que são tidos como indesejáveis, perturbadores da ordem e da normalidade. Somente através da marca que o perigo imprime a loucura criminosa que a violação de direitos e a imposição de condições degradantes às pessoas internadas nos manicômios judiciários encontra justificativa, deixando-as imunes aos princípios mais básicos da Reforma Psiquiátrica. </w:t>
      </w:r>
    </w:p>
    <w:p w:rsidR="00000000" w:rsidDel="00000000" w:rsidP="00000000" w:rsidRDefault="00000000" w:rsidRPr="00000000" w14:paraId="00000237">
      <w:pPr>
        <w:spacing w:after="0" w:line="360" w:lineRule="auto"/>
        <w:ind w:firstLine="709"/>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O perigo é um importante fator para analisar a relação atual entre crime e loucura, haja vista que é sob a premissa da periculosidade que se justifica a criação tanto da medida de segurança quanto do manicômio judiciário. As bases conceituais da periculosidade foram fornecidas por Raffaele Garofalo, membro da Escola Positiva de Direito Penal, que estipulou haver uma perversidade na pessoa criminosa e um mal que ainda poderia vir a ser causado por ela. Baseado na ideia de um suposto mal interiorizado no indivíduo que poderia vir à tona no cometimento do crime, o conceito de periculosidade nasceu de uma concepção biodeterminista do ser humano, na qual a infração penal era a manifestação de uma personalidade anormal e perigosa (Caetano, 2018). </w:t>
      </w:r>
      <w:r w:rsidDel="00000000" w:rsidR="00000000" w:rsidRPr="00000000">
        <w:rPr>
          <w:rtl w:val="0"/>
        </w:rPr>
      </w:r>
    </w:p>
    <w:p w:rsidR="00000000" w:rsidDel="00000000" w:rsidP="00000000" w:rsidRDefault="00000000" w:rsidRPr="00000000" w14:paraId="0000023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influência do positivismo criminológico no Direito Penal brasileiro pode ser observada na presença da periculosidade no Código Penal de 1940, fundamentando a criação das medidas de segurança. Inicialmente, sob a vigência do sistema duplo binário, no qual era possível a imposição da medida de segurança juntamente a pena, a presunção de periculosidade não era restrita às pessoas loucas criminosas, mas também recaia sobre aqueles que cometeram crimes sob estado de embriaguez, que faziam parte de “quadrilha de malfeitores” e aos reincidentes em crime doloso. Somente com a Reforma Penal de 1984, com o sistema vicariante, a medida de segurança se restringiu ao inimputável e ao semi-imputável, de quem é presumida a periculosidade. Caetano (2018) chama atenção para a refinada construção jurídica da periculosidade, embora de frágil sustentação, na qual a louca e o louco não são de antemão considerados perigosos, mas é o cometimento do delito que demonstra a periculosidade atrelada a sua loucura. Ademais, para o autor, a mudança na consideração da periculosidade como inata a pessoa criminosa para atrelada somente a loucura, demonstra a flexibilidade do conceito e como seu alcance pode ser modificado como bem entender o legislador penal.</w:t>
      </w:r>
    </w:p>
    <w:p w:rsidR="00000000" w:rsidDel="00000000" w:rsidP="00000000" w:rsidRDefault="00000000" w:rsidRPr="00000000" w14:paraId="0000023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paradigma da periculosidade surgiu inicialmente para o controle das pessoas mais pobres, as que ameaçavam a ordem social, as que precisavam ser contidas. Hoje, quem ocupa esse lugar são o louco e a louca que cometeram um delito. Em ambos os lugares, o positivismo criminológico se faz presente, pois, como afirma Caetano (2018), não é possível “atribuir-se a um ser humano a condição de perigoso, exceto se dele extraído radicalmente o livre-arbítrio, como faz a Escola Positiva” (p. 68). O uso da periculosidade denuncia a frágil sustentação criminológica da imposição das medidas de segurança às pessoas loucas infratoras e evidencia o viés racista e classista presente na sua formulação. </w:t>
      </w:r>
    </w:p>
    <w:p w:rsidR="00000000" w:rsidDel="00000000" w:rsidP="00000000" w:rsidRDefault="00000000" w:rsidRPr="00000000" w14:paraId="0000023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 o espectro de criminosas, as mulheres internadas nos manicômios judiciários se tornam ainda mais estigmatizadas por carregarem consigo a loucura, fator esse que já as segregava socialmente de modo anterior ao crime. Para Patrícia Magno (2016), essas mulheres são “as invisíveis dentre as invisíveis”, haja vista que o atravessamento do encarceramento feminino pelo crime e pela loucura potencializa os fatores de vulnerabilidade e exclusão social a que essas mulheres estão submetidas, reafirmando os “estereótipos e a subordinação em razão do gênero” (Magno, 2016, p. 229). </w:t>
      </w:r>
    </w:p>
    <w:p w:rsidR="00000000" w:rsidDel="00000000" w:rsidP="00000000" w:rsidRDefault="00000000" w:rsidRPr="00000000" w14:paraId="0000023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diz respeito às pessoas trans e não-binárias internadas nos manicômios judiciários, observa-se o uso da sua identidade de gênero para ratificar seu “transtorno mental” e sua “periculosidade”. Como exposto por Guimarães (2017), ao analisar as peças judiciais de sujeitos “não heterossexuais ou não cisgêneros” que cumpriam medida de segurança em Porto Alegre (RS), há uma estigmatização mais intensa sobre as pessoas transexuais e homossexuais quando elas estão respondendo ao discurso médico-jurídico. Trechos como “travesti envelhecido, feio, figura patética” (p. 80), “como se fosse uma mulher” (p. 86), “conduta homossexual que chega a ser bizarra” (p. 86) fazem parte dos exames de cessação de periculosidade encontrados e demonstram o desprezo e o uso do gênero e sexualidade dessas pessoas para enfatizar seus diagnósticos e justificar sua permanência no manicômio judiciário. </w:t>
      </w:r>
    </w:p>
    <w:p w:rsidR="00000000" w:rsidDel="00000000" w:rsidP="00000000" w:rsidRDefault="00000000" w:rsidRPr="00000000" w14:paraId="0000023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Operacionalizando o conceito de interseccionalidade, é preciso abordar sobre a vivência das mulheres nos manicômios judiciários não enquanto categoria homogênea, mas enquanto atravessada por diferentes elementos que modificam de forma radical o que é ser mulher, louca e criminosa. Sobre tal fato, Conceição Nogueira (2017) aponta que gênero, raça, classe, orientação sexual, nacionalidade, religião, deficiência, por exemplo, agem de forma inter-relacionada, gerando formas de discriminação interseccionais. Essas categorias não operam pela soma, mas pela multiplicação, compondo de forma particular a subordinação das mulheres e evidenciando que não há homogeneidade nem mesmo dentro de um grupo marginalizado. </w:t>
      </w:r>
    </w:p>
    <w:p w:rsidR="00000000" w:rsidDel="00000000" w:rsidP="00000000" w:rsidRDefault="00000000" w:rsidRPr="00000000" w14:paraId="0000023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Desse modo, ao abordar sobre a internação das mulheres nos manicômios judiciários e as violações de direitos perpetradas sobre elas, é preciso abordar também sobre os outros fatores que as compõem. A partir dos dados do censo sobre os manicômios judiciários (Diniz, 2013), é possível generalizar que as mulheres ali presentes são majoritariamente negras, solteiras, tem entre 20 e 39 anos, com ensino fundamental incompleto e sem registro de profissão antes da sua internação. Evidenciar esse perfil serve como um importante analisador para entender as dinâmicas racistas e classistas que operam na sociedade brasileira, desde a ausência de assistência e cuidado à pessoa louca até seu aprisionamento em uma instituição manicomial-penal.</w:t>
      </w:r>
    </w:p>
    <w:p w:rsidR="00000000" w:rsidDel="00000000" w:rsidP="00000000" w:rsidRDefault="00000000" w:rsidRPr="00000000" w14:paraId="0000023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tanto esse perfil quanto a análise das categorias podem ser limitantes no entendimento da realidade das mulheres nos manicômios judiciários por correrem o risco de invisibilizarem as pessoas ali presentes que não se encaixam nessas categorias ou se o entendimento das categorias se der de forma fixa, por exemplo, afirmando haver uma homogeneização na experiência do que é ser uma mulher negra no manicômio judiciário. Aqui, entende-se que as categorias são relevantes para compreender a experiência social, mas apresentam limitações, são de caráter instável e fluido e devem ser analisadas no conjunto das relações estabelecidas no espaço em que se dão. </w:t>
      </w:r>
    </w:p>
    <w:p w:rsidR="00000000" w:rsidDel="00000000" w:rsidP="00000000" w:rsidRDefault="00000000" w:rsidRPr="00000000" w14:paraId="0000023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diz respeito às formas como as experiências dessas mulheres são abordadas, é preciso apontar para uma predominância de narrativas que as tratam como exóticas, sendo construídas como “o outro”, sujeitos distantes da realidade social e sem voz. Lélia Gonzalez (2011) aponta que as mulheres, sobretudo as não-brancas, foram historicamente forjadas nesse lugar, “definidas e classificadas por um sistema ideológico de dominação que nos infantiliza” (p. 5). Através da negação do direito de serem sujeitos do seu próprio discurso e da sua própria história, a autora chama atenção para o modo como o sistema patriarcal-racista suprime a humanidade das mulheres não-brancas, colocando-as em uma posição inferior. </w:t>
      </w:r>
    </w:p>
    <w:p w:rsidR="00000000" w:rsidDel="00000000" w:rsidP="00000000" w:rsidRDefault="00000000" w:rsidRPr="00000000" w14:paraId="0000024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lugar infantilizado e envolto em um complexo tutelar é agravado na relação da sociedade com a loucura e, sobretudo, no entrelaçamento crime-loucura, como podemos perceber desde o início da consolidação do saber psiquiátrico. No século XIX, a psiquiatria surgiu enquanto ciência comprometida com as políticas de controle exigidas para a sociedade que se modificava bruscamente com a instauração da República, novas relações de trabalho, ocupação do espaço urbano. Um ideal de mulher atrelado a família burguesa se tornava imperativo e a psiquiatria desempenhou um papel importante na disciplinarização dos indivíduos, patologizando os que desviavam dos papéis sociais designados (Engel, 2004).</w:t>
      </w:r>
    </w:p>
    <w:p w:rsidR="00000000" w:rsidDel="00000000" w:rsidP="00000000" w:rsidRDefault="00000000" w:rsidRPr="00000000" w14:paraId="0000024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estreita relação que se estabeleceu entre mulheres e loucura foi ratificada cientificamente através da disseminação da ideia de que a mulher estaria mais próxima a natureza e o homem mais próximo a razão. Magali Engel (2004) ressalta que a especificidade da relação entre gênero e saúde mental nessa época repousava no fato do diagnóstico feminino se basear justamente na “natureza” da mulher cisgênero, sobretudo em sua sexualidade, enquanto o diagnóstico masculino de doença mental se baseava no seu não cumprimento dos papéis sociais de trabalhador e provedor. Nesse sentido, a fisiologia específica das mulheres as tornava predispostas à doença mental, podendo-se afirmar que, sob esses valores, “a mulher estaria mais próxima da loucura do que o homem” (Engel, 2004, p. 279).    </w:t>
      </w:r>
    </w:p>
    <w:p w:rsidR="00000000" w:rsidDel="00000000" w:rsidP="00000000" w:rsidRDefault="00000000" w:rsidRPr="00000000" w14:paraId="000002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se faz importante salientar que o controle exercido pelo saber psiquiátrico se deu concomitantemente a difusão de ideias eugenistas na sociedade brasileira, que objetivavam desenvolver uma sociedade mais civilizada e sem as marcas remanescentes dos indivíduos degenerados, como “as pessoas negras, homossexuais, deficientes físicos e mentais” (Moura; Popperl, 2019, p. 6). O entrelaçamento da eugenia com a psiquiatria atuou na patologização e, posteriormente, na criminalização dessas pessoas consideradas desviantes, fazendo com que a pobreza e a negritude marcassem as mulheres que ocupavam os primeiros hospitais psiquiátricos e continuassem marcando, ainda hoje, as mulheres que ocupam as prisões e os manicômios judiciários.</w:t>
      </w:r>
    </w:p>
    <w:p w:rsidR="00000000" w:rsidDel="00000000" w:rsidP="00000000" w:rsidRDefault="00000000" w:rsidRPr="00000000" w14:paraId="000002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se refere ao entrelaçamento das categorias mulher, crime e loucura, algumas pesquisadoras do tema nos apontam pistas para melhor entender a complexa relação envolvida. Entrevistando mulheres que cumprem medidas de segurança no Distrito Federal, Luana Dallposso (2013) relata que a condição de louca criminosa opera como uma marca sobre essas mulheres, que introjetam os diagnósticos e sentenças a elas conferidos, assimilando o perigo como condição própria e gerando desconfiança em si mesmas. Patrícia Magno (2017), que atua como defensora pública no Rio de Janeiro, chama atenção para a frequente prática de hipermedicalização dessas mulheres e as práticas de tortura que ocorrem nos manicômios judiciários, evidenciadas pela imposição de castigos de forma irregular, da restrição ao banho de sol e do confinamento em cela separada por inúmeros dias. Tais práticas parecem incidir punindo, não um comportamento que desobedece a norma, mas o sujeito em si, o castigando pela sua loucura. Tal punição também se observa na negação da possibilidade da maternidade para as loucas infratoras, cujos filhos lhes são tomados e entregues às suas famílias, as impossibilitando de amamentar e cuidar. </w:t>
      </w:r>
    </w:p>
    <w:p w:rsidR="00000000" w:rsidDel="00000000" w:rsidP="00000000" w:rsidRDefault="00000000" w:rsidRPr="00000000" w14:paraId="000002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cenário de graves violações de direitos que as pessoas internadas nos manicômios judiciários estão inseridas, uma grande crise na saúde mental brasileira vem se intensificando nos últimos anos, enfraquecendo e contrariando os princípios da Reforma Psiquiátrica. Mais recentemente, a pandemia do novo coronavírus, minimizada e tratada de forma negligente pelas autoridades públicas brasileiras, propicia um cenário de fortalecimento das políticas de encarceramento e manicomialização. </w:t>
      </w:r>
    </w:p>
    <w:p w:rsidR="00000000" w:rsidDel="00000000" w:rsidP="00000000" w:rsidRDefault="00000000" w:rsidRPr="00000000" w14:paraId="0000024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Contrarreforma psiquiátrica e coronavírus: retrocessos e enfrentamentos contemporâneos </w:t>
      </w:r>
    </w:p>
    <w:p w:rsidR="00000000" w:rsidDel="00000000" w:rsidP="00000000" w:rsidRDefault="00000000" w:rsidRPr="00000000" w14:paraId="00000247">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4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Reforma Psiquiátrica Brasileira, fortalecida sobretudo na década de 1970 com a luta das(os) trabalhadoras(es) em saúde mental, usuárias(os) e seus familiares, provocou importantes transformações no cuidado em saúde mental através da construção de um novo lugar social para a loucura. Produzindo efeitos nas dimensões social, política e econômica da realidade, atuou para a promoção de autonomia e reinserção social das pessoas loucas, assim como confrontou interesses mercadológicos da indústria farmacêutica e dos manicômios que lucram com o confinamento dessas pessoas (Nunes; Lima Júnior; Portugal; Torrenté, 2019). Nesse sentido, a lei 10.216 de 2001 foi um importante marco, ratificando que a finalidade do tratamento em saúde mental se daria para a reinserção social do paciente e vedando a ocorrência de internação em instituições com características asilares.</w:t>
      </w:r>
    </w:p>
    <w:p w:rsidR="00000000" w:rsidDel="00000000" w:rsidP="00000000" w:rsidRDefault="00000000" w:rsidRPr="00000000" w14:paraId="0000024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desdobramentos da Reforma Psiquiátrica sobre o tratamento das pessoas loucas infratoras, entretanto, foram tímidos. A despeito do grande lema “por uma sociedade sem manicômios” encampado pelo movimento antimanicomial e que conseguiu o fechamento de milhares de leitos psiquiátricos, o Brasil ainda contava com 23 manicômios judiciários, em 2011 (Diniz, 2013), funcionando nos mesmos moldes de quando foram concebidos. Apesar da Resolução nº 4, emitida em julho de 2010, pelo Conselho Nacional de Política Criminal e Penitenciária (CNPCP), prever a extinção dos manicômios judiciários até 2020, o que se pôde observar nesses últimos dez anos foi uma pequena diminuição no quantitativo de pessoas internadas nessas instituições e a ausência de investimentos em estratégias de desinstitucionalização e fortalecimento da RAPS. </w:t>
      </w:r>
    </w:p>
    <w:p w:rsidR="00000000" w:rsidDel="00000000" w:rsidP="00000000" w:rsidRDefault="00000000" w:rsidRPr="00000000" w14:paraId="0000024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outras formas de cuidar das pessoas loucas infratoras foram fruto das mudanças instauradas pela Reforma Psiquiátrica e apontam para a concretização da possibilidade do fim dos manicômios judiciários. Em Goiás, em 2003, foi criado o Programa de Atenção Integral ao Louco Infrator (PAILI) que, vinculado à Secretaria de Estado de Saúde, muda o paradigma da segurança pública para o da saúde pública, realizando um trabalho integrado com o sistema de saúde mental e mantendo o vínculo contínuo com os familiares dos pacientes. Para além dele, práticas antimanicomiais na relação entre crime e loucura também podem ser observadas no Programa de Atenção Integral ao Paciente Judiciário – PAI-PJ, em Minas Gerais, Programa de Cuidado Integral do Paciente Psiquiátrico – PCIPP, no Piauí, e no Programa Des’medida, no Rio Grande do Sul.</w:t>
      </w:r>
    </w:p>
    <w:p w:rsidR="00000000" w:rsidDel="00000000" w:rsidP="00000000" w:rsidRDefault="00000000" w:rsidRPr="00000000" w14:paraId="0000024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 conquista importante, desta vez estabelecida pelo Ministério da Saúde, foi a criação das Equipes de Avaliação e Acompanhamento de Medidas Terapêuticas Aplicáveis à Pessoa com Transtorno Mental em Conflito com a Lei (EAP), por meio da Portaria 94/2014. A EAP é uma equipe multiprofissional que acompanha a execução das penas e das medidas de segurança da pessoa louca infratora, fazendo a interlocução entre os órgãos da Justiça Criminal, a RAPS e a rede do Sistema Único de Assistência Social (SUAS). É um instrumento potente de articulação para a promoção da desinstitucionalização das pessoas loucas infratoras, atuando no resgate dos vínculos familiares e na reinserção social dessas pessoas. </w:t>
      </w:r>
    </w:p>
    <w:p w:rsidR="00000000" w:rsidDel="00000000" w:rsidP="00000000" w:rsidRDefault="00000000" w:rsidRPr="00000000" w14:paraId="0000024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conquistas alcançadas pela Reforma Psiquiátrica nunca foram definitivas ou completas, além de terem se dado de forma desigual no território nacional e terem enfrentado desafios tanto nas mudanças exigidas pelo movimento que as pautava quanto dos setores contrários. A luta dos movimentos sociais, trabalhadores da rede de saúde mental, usuários e seus familiares na disputa política e social para as mudanças no cuidado em saúde mental enfrenta continuamente os interesses mercadológicos da indústria farmacêutica, dos proprietários de hospitais psiquiátricos e de alguns psiquiatras. Entretanto, nos últimos anos, vem sendo observado um acirramento no embate entre esses setores antagônicos que, somado ao avanço do neoliberalismo, ao sucateamento dos serviços públicos, ao crescimento do conservadorismo, entre outros elementos, tem provocado grandes retrocessos no cuidado em saúde mental, promovendo uma descaracterização da RAPS e instaurando uma Contrarreforma Psiquiátrica. </w:t>
      </w:r>
    </w:p>
    <w:p w:rsidR="00000000" w:rsidDel="00000000" w:rsidP="00000000" w:rsidRDefault="00000000" w:rsidRPr="00000000" w14:paraId="0000024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chamado processo de Contrarreforma Psiquiátrica advém da análise de uma série de acontecimentos nos últimos anos que evidenciam uma radical mudança no entendimento e tratamento da loucura, provocando uma ruptura nos princípios básicos da Reforma Psiquiátrica. De modo antagônico a constituição democrática da Reforma Psiquiátrica, esse movimento contrário se instaura de modo a desrespeitar as deliberações das conferências nacionais de saúde mental e a atuação dos conselhos de direito, silenciando seus membros na aprovação autoritária de portarias e resoluções. Destaca-se também a formação da Frente Parlamentar Mista em Defesa da Nova Política Nacional de Saúde Mental e da Assistência Hospitalar Psiquiátrica, em 2018, que objetivava apoiar a política de saúde mental implementada pelo Ministério da Saúde, favorecendo os hospitais psiquiátricos e as comunidades terapêuticas.  </w:t>
      </w:r>
    </w:p>
    <w:p w:rsidR="00000000" w:rsidDel="00000000" w:rsidP="00000000" w:rsidRDefault="00000000" w:rsidRPr="00000000" w14:paraId="0000024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Alguns marcos podem ser destacados para melhor compreender os retrocessos perpetrados nesse processo, como a Portaria 3.588/17, do Ministério da Saúde, que incentiva que o cuidado em saúde mental ocorra em hospitais psiquiátricos ao incluir o hospital psiquiátrico na RAPS, aumentar o valor diário de internação pago aos hospitais psiquiátricos e ampliar o número de leitos psiquiátricos em hospitais gerais. Também a Resolução 01/18, do Conselho Nacional de Políticas sobre Drogas, que enfatiza a alocação de recursos para tratamentos pautados na abstinência às pessoas em sofrimento psíquico pelo uso de álcool e outras drogas e ratifica o fomento às comunidades terapêuticas. Nesse sentido, a Secretaria Nacional de Políticas Sobre Drogas lançou o Edital 01/18 disponibilizando R$87,5 milhões para credenciamento e contratação de comunidades terapêuticas em todo o Brasil, resultando na habilitação de 412 destes estabelecimentos. Por fim, podemos destacar a Nota Técnica 11/19, da Coordenação Geral de Saúde Mental, Álcool e Outras Drogas do Ministério da Saúde, que reitera a inclusão dos hospitais psiquiátricos na RAPS e que estes devem realizar internações humanizadas, além de afirmar que o fechamento de leitos e hospitais psiquiátricos ocasiona a “migração considerável de doentes mentais graves para a população prisional” (Brasil, 2019c, p. 5). A nota também descaracteriza os Serviços Residenciais Terapêuticos (SRT) ao incluir pacientes com transtornos mentais que vivem nas ruas ou que são egressos de unidades prisionais comuns como público alvo do serviço. Além disso, afirma que o Ministério da Saúde passará a financiar a compra de aparelho para Eletroconvulsoterapia (ECT) e ressalta o fortalecimento de tratamentos pautados na abstinência e realizados em comunidades terapêuticas (Costa; Barbosa, 2019).  </w:t>
      </w:r>
    </w:p>
    <w:p w:rsidR="00000000" w:rsidDel="00000000" w:rsidP="00000000" w:rsidRDefault="00000000" w:rsidRPr="00000000" w14:paraId="0000024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marcos acima elencados contrariam os princípios da Lei 10.216/01 na afirmação de um tratamento realizado em serviços comunitários e abertos e da Lei 3.088/11 que prevê a substituição dos hospitais psiquiátricos pelos equipamentos da RAPS, além de fortalecerem as comunidades terapêuticas</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imporem a abstinência enquanto única forma de tratamento e apagarem a possibilidade de cuidado pela redução de danos. No cenário atual, o cuidado  não asilar e o lugar social da loucura construídos nas últimas décadas através da luta antimanicomial encontram-se ameaçados, reverberando também na relação entre loucura e crime.</w:t>
      </w:r>
    </w:p>
    <w:p w:rsidR="00000000" w:rsidDel="00000000" w:rsidP="00000000" w:rsidRDefault="00000000" w:rsidRPr="00000000" w14:paraId="0000025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de Contrarreforma Psiquiátrica, outros retrocessos se impõem aos campos da saúde mental e do encarceramento, advindos da pandemia do novo coronavírus, causador da Covid-19. A doença, primeiramente identificada na cidade de Wuhan, na China, em dezembro de 2019, teve um crescimento exponencial no número de casos e se espalhou para vários países e regiões do mundo, sendo caracterizada como pandemia pela Organização Mundial da Saúde (OMS) em março de 2020 (OPAS Brasil, 2020). </w:t>
      </w:r>
    </w:p>
    <w:p w:rsidR="00000000" w:rsidDel="00000000" w:rsidP="00000000" w:rsidRDefault="00000000" w:rsidRPr="00000000" w14:paraId="0000025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Caracterizada pela sua rápida propagação, as medidas de proteção contra o novo coronavírus envolviam o distanciamento social, uso de máscaras e constante lavagem de mãos ou uso de álcool gel. Nesse cenário, a superlotação das celas, a dificuldade no acesso aos serviços de saúde e as condições inadequadas de higiene, na qual, muitas vezes, há falta de água nas unidades prisionais, colocam a população prisional em maior risco do que o restante da população. Fato este verificado no parecer do Grupo de Trabalho Interinstitucional de Defesa da Cidadania (2020) que demonstrou que as taxas de incidência e de mortalidade eram, respectivamente, até 38 vezes e 9 vezes superiores à da população em geral. </w:t>
      </w:r>
    </w:p>
    <w:p w:rsidR="00000000" w:rsidDel="00000000" w:rsidP="00000000" w:rsidRDefault="00000000" w:rsidRPr="00000000" w14:paraId="0000025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condições levaram tanto a OMS (2020) quanto a Organização das Nações Unidas (2020) a apoiarem medidas de redução da população carcerária e a priorização de medidas não privativas de liberdade. No Brasil, o Conselho Nacional de Justiça emitiu a Resolução 62, em 2020, na qual incentivava a adoção de medidas para evitar a propagação do novo coronavirus no sistema prisional e no socieducativo, recomendando, para isso, a adoção preferencial de medidas socioeducativas em meio aberto, reavaliação das prisões provisórias, antecipação da progressão de regime de pessoas presas classificadas como grupo de risco, entre outros. No entanto, indo no sentido contrário dessas recomendações e negando a gravidade da pandemia, o Departamento Penitenciário Nacional (DEPEN) apresentou o Ofício nº 864 ao CNPCP, sugerindo o uso de contêineres para abrigamento de pessoas presas contaminadas ou que pertençam ao grupo de risco, implicando na imposição de condições ainda mais degradantes do que as já vivenciadas anteriormente a pandemia (Costa; Silva; Brandão; Bicalho, 2020).</w:t>
      </w:r>
    </w:p>
    <w:p w:rsidR="00000000" w:rsidDel="00000000" w:rsidP="00000000" w:rsidRDefault="00000000" w:rsidRPr="00000000" w14:paraId="0000025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recusa em efetivar estratégias pela redução do encarceramento, negando as recomendações de órgãos internacionais e mantendo essas pessoas numa alta condição de risco evidencia a efetivação de uma política de morte sobre aqueles tidos como indesejáveis socialmente. Sob essas condições, a necropolítica (Mbembe, 2018) executada nas unidades prisionais se entrelaça a Contrarreforma Psiquiátrica e atinge os manicômios judiciários. Nem a Resolução 62 do CNJ nem a Nota Técnica 12 do Ministério da Saúde, publicada em abril de 2020, que traz recomendações para a RAPS no contexto da pandemia, abordam sobre estratégias para realização de acompanhamento e cuidado das pessoas em manicômios judiciários de modo extra-hospitalar. Em decorrência da gravidade da manutenção de pacientes em hospitais psiquiátricos e manicômios judiciários durante a pandemia, haja vista serem locais de significativa concentração de pessoas, o Conselho Nacional de Saúde (CNS) emitiu a Recomendação nº 40, em maio de 2020, solicitando que o Ministério da Saúde adotasse medidas para reorganização assistencial e redução do número de pessoas internadas nesses espaços. </w:t>
      </w:r>
    </w:p>
    <w:p w:rsidR="00000000" w:rsidDel="00000000" w:rsidP="00000000" w:rsidRDefault="00000000" w:rsidRPr="00000000" w14:paraId="0000025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afirmando sua política de fortalecimento manicomial e efetivando mais um retrocesso na Reforma Psiquiátrica, dessa vez em um contexto particularmente crítico de pandemia, o Ministério da Saúde emitiu a Portaria 1.325, em 18 de maio de 2020, determinando a extinção das EAPs. A extinção dessas equipes, justamente no simbólico Dia Nacional da Luta Antimanicomial, escancara um projeto político de contínua manicomialização através da extinção das estratégias de desinstitucionalização. Após amplas críticas da sociedade civil e dos movimentos por direitos humanos e pela saúde mental antimanicomial, a portaria foi revogada dois meses após sua publicação. </w:t>
      </w:r>
    </w:p>
    <w:p w:rsidR="00000000" w:rsidDel="00000000" w:rsidP="00000000" w:rsidRDefault="00000000" w:rsidRPr="00000000" w14:paraId="0000025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marcos, aqui brevemente analisados, demonstram como a articulação de posicionamentos ratificadores de uma lógica manicomial e prisional vem se fortalecendo nos últimos anos, impondo graves retrocessos na política de saúde mental antimanicomial e evidenciando o uso da pandemia para imposição de condições ainda mais degradantes às pessoas presas nas unidades prisionais e nos manicômios judiciários. </w:t>
      </w:r>
    </w:p>
    <w:p w:rsidR="00000000" w:rsidDel="00000000" w:rsidP="00000000" w:rsidRDefault="00000000" w:rsidRPr="00000000" w14:paraId="0000025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importantes estratégias de enfrentamento tem sido construídas buscando frear os retrocessos da Contrarreforma Psiquiátrica e avançar na garantia de direitos das pessoas internadas nos manicômios judiciários. Pela forte pressão dos movimentos sociais, usuárias(os), familiares, trabalhadoras(es) da saúde mental, não só a Portaria 1.325/2020 foi revogada como também o Conselho Nacional de Direitos Humanos (CNDH) publicou a Resolução 33 de 2020, criando um  Grupo de Trabalho (GT) para discutir sobre as EAPs, visando a avaliação da sua atuação, a realização de inspeção nos locais de custódia, a melhoria da sua metodologia, o fortalecimento da rede de EAPs, o credenciamento e implantação de novas EAPs e uma elaboração legislativa para a institucionalização das EAPs, com garantia orçamentária.</w:t>
      </w:r>
    </w:p>
    <w:p w:rsidR="00000000" w:rsidDel="00000000" w:rsidP="00000000" w:rsidRDefault="00000000" w:rsidRPr="00000000" w14:paraId="0000025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importante avanço foi a publicação da Resolução 487, em 2023, pelo CNJ que institui a Política Antimanicomial no Poder Judiciário e toma como base para suas determinações os protocolos de combate à tortura, a Convenção e o Estatuto das Pessoas com Deficiências e a Lei da Reforma Psiquiátrica. Com destaque, a resolução prioriza a determinação de medidas de segurança ambulatoriais sobre as de internação, bem como proíbe a internação em manicômios judiciários ou hospitais psiquiátricos e estipula o prazo de seis meses para desinstitucionalização nos manicômios judiciários e até doze meses para o fechamento total destas instituições. </w:t>
      </w:r>
    </w:p>
    <w:p w:rsidR="00000000" w:rsidDel="00000000" w:rsidP="00000000" w:rsidRDefault="00000000" w:rsidRPr="00000000" w14:paraId="0000025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das duras condições enfrentadas pelas pessoas internadas nos manicômios judiciários durante a pandemia e o forte retrocesso nas políticas de saúde mental ocasionados pelo avanço da Contrarreforma Psiquiátrica, a luta antimanicomial tem se fortalecido e disputado esse campo, possibilitando a obtenção de importantes avanços.  </w:t>
      </w:r>
    </w:p>
    <w:p w:rsidR="00000000" w:rsidDel="00000000" w:rsidP="00000000" w:rsidRDefault="00000000" w:rsidRPr="00000000" w14:paraId="00000259">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Considerações finais</w:t>
      </w:r>
    </w:p>
    <w:p w:rsidR="00000000" w:rsidDel="00000000" w:rsidP="00000000" w:rsidRDefault="00000000" w:rsidRPr="00000000" w14:paraId="0000025B">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5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manicomialização judicial das pessoas tidas como loucas e infratoras se evidencia enquanto um resquício de uma lógica de aprisionamento e segregação da loucura disfarçados de tratamento médico. A marca do perigo impressa na relação crime-loucura faz com que a imposição de condições cruéis e desumanas aos sujeitos ali presentes se justifique sob a premissa da proteção de uma sociedade que se torna cada vez mais violenta, desigual e intolerante às diferenças. A construção do manicômio judiciário foi o efeito das disputas narrativas sobre a relação crime-loucura que, construída sobre a imagem do perigo, ainda hoje se atualiza em discursos que continuam afirmando a necessidade dessa instituição.</w:t>
      </w:r>
    </w:p>
    <w:p w:rsidR="00000000" w:rsidDel="00000000" w:rsidP="00000000" w:rsidRDefault="00000000" w:rsidRPr="00000000" w14:paraId="0000025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Refletindo as relações de uma sociedade patriarcal e racista, as mulheres ali presentes são punidas pelo seu crime, pela sua loucura e pelo rompimento com seu papel social. As mulheres, sobretudo negras e pobres, têm suas histórias apagadas ao serem tidas como loucas e infratoras e têm sua vivência marcada pela violação de seus direitos, cujo cumprimento da lei não é seguido na regulação da própria instituição, que, dentre outras violações, atrasa a realização dos exames de cessação de periculosidade e mantém internadas mulheres cujas medidas de segurança já foram extintas (Diniz, 2013).</w:t>
      </w:r>
    </w:p>
    <w:p w:rsidR="00000000" w:rsidDel="00000000" w:rsidP="00000000" w:rsidRDefault="00000000" w:rsidRPr="00000000" w14:paraId="0000025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observamos as pessoas internadas nos manicômios judiciários, verificamos como os princípios da Reforma Psiquiátrica estão atrasados na efetivação dos seus direitos, seguindo com os manicômios judiciários funcionando da mesma forma como foram concebidos. As implicações da Contrarreforma Psiquiátrica, anteriormente discutida, não reverberam somente no desmonte formal da RAPS, mas no entendimento da loucura por um viés biologizante e higienista que impõe a medicalização e sua contenção em espaços asilares, tal como se dava anteriormente à Reforma. </w:t>
      </w:r>
    </w:p>
    <w:p w:rsidR="00000000" w:rsidDel="00000000" w:rsidP="00000000" w:rsidRDefault="00000000" w:rsidRPr="00000000" w14:paraId="0000025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cenário, a pandemia do novo coronavírus se entrelaçou a Contrarreforma Psiquiátrica para impor condições ainda mais duras às pessoas manicomializadas, ratificando a sua segregação e invisibilização nos manicômios judiciários. Entretanto, a luta dos movimentos sociais, usuárias(os), familiares e trabalhadoras(es) da saúde mental tem ganhado destaque nessa disputa e avançado na garantia de direitos para estas pessoas que ficaram à parte das conquistas das últimas décadas da Reforma Psiquiátrica. Ainda com um longo caminho a ser construído, a persistente disputa da luta antimanicomial com as forças conservadoras manicomiais demanda a vigilância e o compromisso com a luta pela construção de uma outra relação da sociedade com a loucura, também em sua articulação com a infração penal. </w:t>
      </w:r>
    </w:p>
    <w:p w:rsidR="00000000" w:rsidDel="00000000" w:rsidP="00000000" w:rsidRDefault="00000000" w:rsidRPr="00000000" w14:paraId="0000026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262">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Roberta Brasilino. </w:t>
      </w:r>
      <w:r w:rsidDel="00000000" w:rsidR="00000000" w:rsidRPr="00000000">
        <w:rPr>
          <w:rFonts w:ascii="Times New Roman" w:cs="Times New Roman" w:eastAsia="Times New Roman" w:hAnsi="Times New Roman"/>
          <w:b w:val="1"/>
          <w:sz w:val="24"/>
          <w:szCs w:val="24"/>
          <w:rtl w:val="0"/>
        </w:rPr>
        <w:t xml:space="preserve">Políticas sobre drogas, direito à cidade e processos de subjetivação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“porque dignidade não pode ter endereço”. 2017. 158 p. Tese (Doutorado em Psicologia) – Instituto de Psicologia, Universidade Federal do Rio de Janeiro, Rio de Janeiro, 2017.</w:t>
      </w:r>
    </w:p>
    <w:p w:rsidR="00000000" w:rsidDel="00000000" w:rsidP="00000000" w:rsidRDefault="00000000" w:rsidRPr="00000000" w14:paraId="0000026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Levantamento Nacional de Informações Penitenciárias: INFOPEN </w:t>
      </w:r>
      <w:r w:rsidDel="00000000" w:rsidR="00000000" w:rsidRPr="00000000">
        <w:rPr>
          <w:rFonts w:ascii="Times New Roman" w:cs="Times New Roman" w:eastAsia="Times New Roman" w:hAnsi="Times New Roman"/>
          <w:sz w:val="24"/>
          <w:szCs w:val="24"/>
          <w:rtl w:val="0"/>
        </w:rPr>
        <w:t xml:space="preserve">– junho de 2017. Brasília: Ministério da Justiça e Segurança Pública. Departamento Penitenciário Nacional, 2019a.</w:t>
      </w:r>
    </w:p>
    <w:p w:rsidR="00000000" w:rsidDel="00000000" w:rsidP="00000000" w:rsidRDefault="00000000" w:rsidRPr="00000000" w14:paraId="000002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Levantamento Nacional de Informações Penitenciárias: INFOPEN </w:t>
      </w:r>
      <w:r w:rsidDel="00000000" w:rsidR="00000000" w:rsidRPr="00000000">
        <w:rPr>
          <w:rFonts w:ascii="Times New Roman" w:cs="Times New Roman" w:eastAsia="Times New Roman" w:hAnsi="Times New Roman"/>
          <w:sz w:val="24"/>
          <w:szCs w:val="24"/>
          <w:rtl w:val="0"/>
        </w:rPr>
        <w:t xml:space="preserve">– dezembro de 2019. Departamento Penitenciário Nacional, 2019b. Disponível em: &lt;https://app.powerbi.com/view?r=eyJrIjoiZTlkZGJjODQtNmJlMi00OTJhLWFlMDktNzRlNmFkNTM0MWI3IiwidCI6ImViMDkwNDIwLTQ0NGMtNDNmNy05MWYyLTRiOGRhNmJmZThlMSJ9&gt; Acesso em: 30 nov. 2020.</w:t>
      </w:r>
    </w:p>
    <w:p w:rsidR="00000000" w:rsidDel="00000000" w:rsidP="00000000" w:rsidRDefault="00000000" w:rsidRPr="00000000" w14:paraId="000002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Levantamento Nacional de Informações Penitenciárias: INFOPEN Mulheres </w:t>
      </w:r>
      <w:r w:rsidDel="00000000" w:rsidR="00000000" w:rsidRPr="00000000">
        <w:rPr>
          <w:rFonts w:ascii="Times New Roman" w:cs="Times New Roman" w:eastAsia="Times New Roman" w:hAnsi="Times New Roman"/>
          <w:sz w:val="24"/>
          <w:szCs w:val="24"/>
          <w:rtl w:val="0"/>
        </w:rPr>
        <w:t xml:space="preserve">– 2ª edição. Brasília: Ministério da Justiça e Segurança Pública. Departamento Penitenciário Nacional, 2017.</w:t>
      </w:r>
    </w:p>
    <w:p w:rsidR="00000000" w:rsidDel="00000000" w:rsidP="00000000" w:rsidRDefault="00000000" w:rsidRPr="00000000" w14:paraId="000002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CAETANO, Haroldo. </w:t>
      </w:r>
      <w:r w:rsidDel="00000000" w:rsidR="00000000" w:rsidRPr="00000000">
        <w:rPr>
          <w:rFonts w:ascii="Times New Roman" w:cs="Times New Roman" w:eastAsia="Times New Roman" w:hAnsi="Times New Roman"/>
          <w:b w:val="1"/>
          <w:sz w:val="24"/>
          <w:szCs w:val="24"/>
          <w:rtl w:val="0"/>
        </w:rPr>
        <w:t xml:space="preserve">Loucura e Direito Penal:</w:t>
      </w:r>
      <w:r w:rsidDel="00000000" w:rsidR="00000000" w:rsidRPr="00000000">
        <w:rPr>
          <w:rFonts w:ascii="Times New Roman" w:cs="Times New Roman" w:eastAsia="Times New Roman" w:hAnsi="Times New Roman"/>
          <w:sz w:val="24"/>
          <w:szCs w:val="24"/>
          <w:rtl w:val="0"/>
        </w:rPr>
        <w:t xml:space="preserve"> pistas para a extinção dos manicômios judiciários. 2018. 216 p. Tese (Doutorado em Psicologia) – Instituto de Psicologia, Universidade Federal Fluminense, Niterói, 2018.</w:t>
      </w:r>
    </w:p>
    <w:p w:rsidR="00000000" w:rsidDel="00000000" w:rsidP="00000000" w:rsidRDefault="00000000" w:rsidRPr="00000000" w14:paraId="000002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CARRARA, Sérgio.</w:t>
      </w:r>
      <w:r w:rsidDel="00000000" w:rsidR="00000000" w:rsidRPr="00000000">
        <w:rPr>
          <w:rFonts w:ascii="Times New Roman" w:cs="Times New Roman" w:eastAsia="Times New Roman" w:hAnsi="Times New Roman"/>
          <w:b w:val="1"/>
          <w:sz w:val="24"/>
          <w:szCs w:val="24"/>
          <w:rtl w:val="0"/>
        </w:rPr>
        <w:t xml:space="preserve"> Crime e loucura:</w:t>
      </w:r>
      <w:r w:rsidDel="00000000" w:rsidR="00000000" w:rsidRPr="00000000">
        <w:rPr>
          <w:rFonts w:ascii="Times New Roman" w:cs="Times New Roman" w:eastAsia="Times New Roman" w:hAnsi="Times New Roman"/>
          <w:sz w:val="24"/>
          <w:szCs w:val="24"/>
          <w:rtl w:val="0"/>
        </w:rPr>
        <w:t xml:space="preserve"> o aparecimento do manicômio judiciário na passagem do século. Rio de Janeiro: Ed UERJ; São Paulo: Ed. USP, 1998.</w:t>
      </w:r>
    </w:p>
    <w:p w:rsidR="00000000" w:rsidDel="00000000" w:rsidP="00000000" w:rsidRDefault="00000000" w:rsidRPr="00000000" w14:paraId="000002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Jaqueline Sério da; SILVA, Johnny Clayton Fonseca da; BRANDÃO, Eric Scapim Cunha. BICALHO, Pedro Paulo Gastalho de. Covid-19 no Sistema Prisional Brasileiro: da indiferença como política à política de morte. </w:t>
      </w:r>
      <w:r w:rsidDel="00000000" w:rsidR="00000000" w:rsidRPr="00000000">
        <w:rPr>
          <w:rFonts w:ascii="Times New Roman" w:cs="Times New Roman" w:eastAsia="Times New Roman" w:hAnsi="Times New Roman"/>
          <w:b w:val="1"/>
          <w:sz w:val="24"/>
          <w:szCs w:val="24"/>
          <w:rtl w:val="0"/>
        </w:rPr>
        <w:t xml:space="preserve">Revista Psicologia e Sociedade</w:t>
      </w:r>
      <w:r w:rsidDel="00000000" w:rsidR="00000000" w:rsidRPr="00000000">
        <w:rPr>
          <w:rFonts w:ascii="Times New Roman" w:cs="Times New Roman" w:eastAsia="Times New Roman" w:hAnsi="Times New Roman"/>
          <w:sz w:val="24"/>
          <w:szCs w:val="24"/>
          <w:rtl w:val="0"/>
        </w:rPr>
        <w:t xml:space="preserve">, Belo Horizonte, v. 32, 2020. </w:t>
      </w:r>
    </w:p>
    <w:p w:rsidR="00000000" w:rsidDel="00000000" w:rsidP="00000000" w:rsidRDefault="00000000" w:rsidRPr="00000000" w14:paraId="000002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Jaqueline Sério da; BARBOSA, Roberta Brasilino. Desenhos de uma “nova” Política de Saúde Mental: uma análise dos usos das Políticas sobre Drogas no enfraquecimento da Reforma Psiquiátrica brasileira. </w:t>
      </w:r>
      <w:r w:rsidDel="00000000" w:rsidR="00000000" w:rsidRPr="00000000">
        <w:rPr>
          <w:rFonts w:ascii="Times New Roman" w:cs="Times New Roman" w:eastAsia="Times New Roman" w:hAnsi="Times New Roman"/>
          <w:b w:val="1"/>
          <w:sz w:val="24"/>
          <w:szCs w:val="24"/>
          <w:rtl w:val="0"/>
        </w:rPr>
        <w:t xml:space="preserve">Anais do VII Congresso Internacional da ABRAMD</w:t>
      </w:r>
      <w:r w:rsidDel="00000000" w:rsidR="00000000" w:rsidRPr="00000000">
        <w:rPr>
          <w:rFonts w:ascii="Times New Roman" w:cs="Times New Roman" w:eastAsia="Times New Roman" w:hAnsi="Times New Roman"/>
          <w:sz w:val="24"/>
          <w:szCs w:val="24"/>
          <w:rtl w:val="0"/>
        </w:rPr>
        <w:t xml:space="preserve">, Curitiba, 2019.</w:t>
      </w:r>
    </w:p>
    <w:p w:rsidR="00000000" w:rsidDel="00000000" w:rsidP="00000000" w:rsidRDefault="00000000" w:rsidRPr="00000000" w14:paraId="000002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DALLPOSSO, Luana Karina.</w:t>
      </w:r>
      <w:r w:rsidDel="00000000" w:rsidR="00000000" w:rsidRPr="00000000">
        <w:rPr>
          <w:rFonts w:ascii="Times New Roman" w:cs="Times New Roman" w:eastAsia="Times New Roman" w:hAnsi="Times New Roman"/>
          <w:b w:val="1"/>
          <w:sz w:val="24"/>
          <w:szCs w:val="24"/>
          <w:rtl w:val="0"/>
        </w:rPr>
        <w:t xml:space="preserve"> Prisão e Loucura</w:t>
      </w:r>
      <w:r w:rsidDel="00000000" w:rsidR="00000000" w:rsidRPr="00000000">
        <w:rPr>
          <w:rFonts w:ascii="Times New Roman" w:cs="Times New Roman" w:eastAsia="Times New Roman" w:hAnsi="Times New Roman"/>
          <w:sz w:val="24"/>
          <w:szCs w:val="24"/>
          <w:rtl w:val="0"/>
        </w:rPr>
        <w:t xml:space="preserve">: uma narrativa de mulheres em medida de segurança no Distrito Federal. 2013. 45 p. Trabalho de Conclusão de Curso (Graduação em Serviço Social) – Departamento de Serviço Social, Universidade de Brasília, Brasília, 2013.</w:t>
      </w:r>
    </w:p>
    <w:p w:rsidR="00000000" w:rsidDel="00000000" w:rsidP="00000000" w:rsidRDefault="00000000" w:rsidRPr="00000000" w14:paraId="000002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DINIZ, Debora. </w:t>
      </w:r>
      <w:r w:rsidDel="00000000" w:rsidR="00000000" w:rsidRPr="00000000">
        <w:rPr>
          <w:rFonts w:ascii="Times New Roman" w:cs="Times New Roman" w:eastAsia="Times New Roman" w:hAnsi="Times New Roman"/>
          <w:b w:val="1"/>
          <w:sz w:val="24"/>
          <w:szCs w:val="24"/>
          <w:rtl w:val="0"/>
        </w:rPr>
        <w:t xml:space="preserve">A custódia e o tratamento psiquiátrico no Brasil:</w:t>
      </w:r>
      <w:r w:rsidDel="00000000" w:rsidR="00000000" w:rsidRPr="00000000">
        <w:rPr>
          <w:rFonts w:ascii="Times New Roman" w:cs="Times New Roman" w:eastAsia="Times New Roman" w:hAnsi="Times New Roman"/>
          <w:sz w:val="24"/>
          <w:szCs w:val="24"/>
          <w:rtl w:val="0"/>
        </w:rPr>
        <w:t xml:space="preserve"> Censo 2011. Brasília: Letras Livres: Editora Universidade de Brasília, 2013.</w:t>
      </w:r>
    </w:p>
    <w:p w:rsidR="00000000" w:rsidDel="00000000" w:rsidP="00000000" w:rsidRDefault="00000000" w:rsidRPr="00000000" w14:paraId="000002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ENGEL, Magali. Psiquiatria e feminilidade. In: PRIORE, Mary del (org.). </w:t>
      </w:r>
      <w:r w:rsidDel="00000000" w:rsidR="00000000" w:rsidRPr="00000000">
        <w:rPr>
          <w:rFonts w:ascii="Times New Roman" w:cs="Times New Roman" w:eastAsia="Times New Roman" w:hAnsi="Times New Roman"/>
          <w:b w:val="1"/>
          <w:sz w:val="24"/>
          <w:szCs w:val="24"/>
          <w:rtl w:val="0"/>
        </w:rPr>
        <w:t xml:space="preserve">História das Mulheres no Brasil</w:t>
      </w:r>
      <w:r w:rsidDel="00000000" w:rsidR="00000000" w:rsidRPr="00000000">
        <w:rPr>
          <w:rFonts w:ascii="Times New Roman" w:cs="Times New Roman" w:eastAsia="Times New Roman" w:hAnsi="Times New Roman"/>
          <w:sz w:val="24"/>
          <w:szCs w:val="24"/>
          <w:rtl w:val="0"/>
        </w:rPr>
        <w:t xml:space="preserve">. São Paulo: Contexto, 2004.</w:t>
      </w:r>
    </w:p>
    <w:p w:rsidR="00000000" w:rsidDel="00000000" w:rsidP="00000000" w:rsidRDefault="00000000" w:rsidRPr="00000000" w14:paraId="000002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Michel. </w:t>
      </w:r>
      <w:r w:rsidDel="00000000" w:rsidR="00000000" w:rsidRPr="00000000">
        <w:rPr>
          <w:rFonts w:ascii="Times New Roman" w:cs="Times New Roman" w:eastAsia="Times New Roman" w:hAnsi="Times New Roman"/>
          <w:b w:val="1"/>
          <w:sz w:val="24"/>
          <w:szCs w:val="24"/>
          <w:rtl w:val="0"/>
        </w:rPr>
        <w:t xml:space="preserve">História da loucura na Idade Clássica</w:t>
      </w:r>
      <w:r w:rsidDel="00000000" w:rsidR="00000000" w:rsidRPr="00000000">
        <w:rPr>
          <w:rFonts w:ascii="Times New Roman" w:cs="Times New Roman" w:eastAsia="Times New Roman" w:hAnsi="Times New Roman"/>
          <w:sz w:val="24"/>
          <w:szCs w:val="24"/>
          <w:rtl w:val="0"/>
        </w:rPr>
        <w:t xml:space="preserve">. São Paulo: Perspectiva, 1978.</w:t>
      </w:r>
    </w:p>
    <w:p w:rsidR="00000000" w:rsidDel="00000000" w:rsidP="00000000" w:rsidRDefault="00000000" w:rsidRPr="00000000" w14:paraId="000002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Por um feminismo Afro-latino americano. In: Coordenação Nacional do Círculo Palmarino (Org.). </w:t>
      </w:r>
      <w:r w:rsidDel="00000000" w:rsidR="00000000" w:rsidRPr="00000000">
        <w:rPr>
          <w:rFonts w:ascii="Times New Roman" w:cs="Times New Roman" w:eastAsia="Times New Roman" w:hAnsi="Times New Roman"/>
          <w:b w:val="1"/>
          <w:sz w:val="24"/>
          <w:szCs w:val="24"/>
          <w:rtl w:val="0"/>
        </w:rPr>
        <w:t xml:space="preserve">Caderno de Formação Política do Círculo Palmarino n.1</w:t>
      </w:r>
      <w:r w:rsidDel="00000000" w:rsidR="00000000" w:rsidRPr="00000000">
        <w:rPr>
          <w:rFonts w:ascii="Times New Roman" w:cs="Times New Roman" w:eastAsia="Times New Roman" w:hAnsi="Times New Roman"/>
          <w:sz w:val="24"/>
          <w:szCs w:val="24"/>
          <w:rtl w:val="0"/>
        </w:rPr>
        <w:t xml:space="preserve"> – Batalha de Ideias. 2011, p. 12-20.</w:t>
      </w:r>
    </w:p>
    <w:p w:rsidR="00000000" w:rsidDel="00000000" w:rsidP="00000000" w:rsidRDefault="00000000" w:rsidRPr="00000000" w14:paraId="000002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DE TRABALHO INTERINSTITUCIONAL DE DEFESA DA CIDADANIA. </w:t>
      </w:r>
      <w:r w:rsidDel="00000000" w:rsidR="00000000" w:rsidRPr="00000000">
        <w:rPr>
          <w:rFonts w:ascii="Times New Roman" w:cs="Times New Roman" w:eastAsia="Times New Roman" w:hAnsi="Times New Roman"/>
          <w:b w:val="1"/>
          <w:sz w:val="24"/>
          <w:szCs w:val="24"/>
          <w:rtl w:val="0"/>
        </w:rPr>
        <w:t xml:space="preserve">Nota Técnica n. 6</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de 4 de maio de 2020. Disponível em: &lt;http://www.mpf.mp.br/regiao2/sala-de-imprensa/nota-tecnica-6-2020&gt; Acesso em: 30 nov. 2020.</w:t>
      </w:r>
    </w:p>
    <w:p w:rsidR="00000000" w:rsidDel="00000000" w:rsidP="00000000" w:rsidRDefault="00000000" w:rsidRPr="00000000" w14:paraId="000002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GUIMARÃES, Willian. </w:t>
      </w:r>
      <w:r w:rsidDel="00000000" w:rsidR="00000000" w:rsidRPr="00000000">
        <w:rPr>
          <w:rFonts w:ascii="Times New Roman" w:cs="Times New Roman" w:eastAsia="Times New Roman" w:hAnsi="Times New Roman"/>
          <w:b w:val="1"/>
          <w:sz w:val="24"/>
          <w:szCs w:val="24"/>
          <w:rtl w:val="0"/>
        </w:rPr>
        <w:t xml:space="preserve">A criminalização moral como demarcação da abjeção:</w:t>
      </w:r>
      <w:r w:rsidDel="00000000" w:rsidR="00000000" w:rsidRPr="00000000">
        <w:rPr>
          <w:rFonts w:ascii="Times New Roman" w:cs="Times New Roman" w:eastAsia="Times New Roman" w:hAnsi="Times New Roman"/>
          <w:sz w:val="24"/>
          <w:szCs w:val="24"/>
          <w:rtl w:val="0"/>
        </w:rPr>
        <w:t xml:space="preserve"> sexualidades e expressões de gênero desviantes na injunção crime-loucura. 2017. 117 p. Dissertação (Mestrado em Psicologia) – Instituto de Psicologia, Universidade Federal do Rio Grande do Sul, Porto Alegre, 2017.</w:t>
      </w:r>
    </w:p>
    <w:p w:rsidR="00000000" w:rsidDel="00000000" w:rsidP="00000000" w:rsidRDefault="00000000" w:rsidRPr="00000000" w14:paraId="000002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MAGNO, Patricia Carlos. Encarceramento feminino: um olhar sobre mulheres e medidas de segurança. </w:t>
      </w:r>
      <w:r w:rsidDel="00000000" w:rsidR="00000000" w:rsidRPr="00000000">
        <w:rPr>
          <w:rFonts w:ascii="Times New Roman" w:cs="Times New Roman" w:eastAsia="Times New Roman" w:hAnsi="Times New Roman"/>
          <w:b w:val="1"/>
          <w:sz w:val="24"/>
          <w:szCs w:val="24"/>
          <w:rtl w:val="0"/>
        </w:rPr>
        <w:t xml:space="preserve">Revista da Defensoria Pública do Estado do Rio Grande do Sul</w:t>
      </w:r>
      <w:r w:rsidDel="00000000" w:rsidR="00000000" w:rsidRPr="00000000">
        <w:rPr>
          <w:rFonts w:ascii="Times New Roman" w:cs="Times New Roman" w:eastAsia="Times New Roman" w:hAnsi="Times New Roman"/>
          <w:sz w:val="24"/>
          <w:szCs w:val="24"/>
          <w:rtl w:val="0"/>
        </w:rPr>
        <w:t xml:space="preserve">, Porto Alegre, ano 7, v. 16, set./dez. 2016. </w:t>
      </w:r>
    </w:p>
    <w:p w:rsidR="00000000" w:rsidDel="00000000" w:rsidP="00000000" w:rsidRDefault="00000000" w:rsidRPr="00000000" w14:paraId="000002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MAGNO, Patricia Carlos. Mulheres, medida de segurança e a cegueira do sistema de justiça: o papel das Defensorias Públicas. In: PEREIRA, Melissa Oliveira; PASSOS, Rachel Gouveia (org.). </w:t>
      </w:r>
      <w:r w:rsidDel="00000000" w:rsidR="00000000" w:rsidRPr="00000000">
        <w:rPr>
          <w:rFonts w:ascii="Times New Roman" w:cs="Times New Roman" w:eastAsia="Times New Roman" w:hAnsi="Times New Roman"/>
          <w:b w:val="1"/>
          <w:sz w:val="24"/>
          <w:szCs w:val="24"/>
          <w:rtl w:val="0"/>
        </w:rPr>
        <w:t xml:space="preserve">Luta Antimanicomial e Feminismos:</w:t>
      </w:r>
      <w:r w:rsidDel="00000000" w:rsidR="00000000" w:rsidRPr="00000000">
        <w:rPr>
          <w:rFonts w:ascii="Times New Roman" w:cs="Times New Roman" w:eastAsia="Times New Roman" w:hAnsi="Times New Roman"/>
          <w:sz w:val="24"/>
          <w:szCs w:val="24"/>
          <w:rtl w:val="0"/>
        </w:rPr>
        <w:t xml:space="preserve"> discussões de gêneros, raça e classe para a Reforma Psiquiátrica brasileira. Rio de Janeiro: Autografia, 2017. p.185-207.</w:t>
      </w:r>
    </w:p>
    <w:p w:rsidR="00000000" w:rsidDel="00000000" w:rsidP="00000000" w:rsidRDefault="00000000" w:rsidRPr="00000000" w14:paraId="000002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MBEMBE, Achille. </w:t>
      </w:r>
      <w:r w:rsidDel="00000000" w:rsidR="00000000" w:rsidRPr="00000000">
        <w:rPr>
          <w:rFonts w:ascii="Times New Roman" w:cs="Times New Roman" w:eastAsia="Times New Roman" w:hAnsi="Times New Roman"/>
          <w:b w:val="1"/>
          <w:sz w:val="24"/>
          <w:szCs w:val="24"/>
          <w:rtl w:val="0"/>
        </w:rPr>
        <w:t xml:space="preserve">Necropolítica</w:t>
      </w:r>
      <w:r w:rsidDel="00000000" w:rsidR="00000000" w:rsidRPr="00000000">
        <w:rPr>
          <w:rFonts w:ascii="Times New Roman" w:cs="Times New Roman" w:eastAsia="Times New Roman" w:hAnsi="Times New Roman"/>
          <w:sz w:val="24"/>
          <w:szCs w:val="24"/>
          <w:rtl w:val="0"/>
        </w:rPr>
        <w:t xml:space="preserve">. São Paulo: N-1 edições, 2018.</w:t>
      </w:r>
    </w:p>
    <w:p w:rsidR="00000000" w:rsidDel="00000000" w:rsidP="00000000" w:rsidRDefault="00000000" w:rsidRPr="00000000" w14:paraId="000002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MOURA, Brunno Henrique; POPPERL, Mariana Soares. Belas, recatadas e loucas: mulheres no Manicômio Judiciário de São Paulo. </w:t>
      </w:r>
      <w:r w:rsidDel="00000000" w:rsidR="00000000" w:rsidRPr="00000000">
        <w:rPr>
          <w:rFonts w:ascii="Times New Roman" w:cs="Times New Roman" w:eastAsia="Times New Roman" w:hAnsi="Times New Roman"/>
          <w:b w:val="1"/>
          <w:sz w:val="24"/>
          <w:szCs w:val="24"/>
          <w:rtl w:val="0"/>
        </w:rPr>
        <w:t xml:space="preserve">Humanidades em Diálogo</w:t>
      </w:r>
      <w:r w:rsidDel="00000000" w:rsidR="00000000" w:rsidRPr="00000000">
        <w:rPr>
          <w:rFonts w:ascii="Times New Roman" w:cs="Times New Roman" w:eastAsia="Times New Roman" w:hAnsi="Times New Roman"/>
          <w:sz w:val="24"/>
          <w:szCs w:val="24"/>
          <w:rtl w:val="0"/>
        </w:rPr>
        <w:t xml:space="preserve">, São Paulo, v.9, n.1, p.53-65, 2019.</w:t>
      </w:r>
    </w:p>
    <w:p w:rsidR="00000000" w:rsidDel="00000000" w:rsidP="00000000" w:rsidRDefault="00000000" w:rsidRPr="00000000" w14:paraId="000002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NOGUEIRA, Conceição. A teoria da Interseccionalidade. In: NOGUEIRA, Conceição. </w:t>
      </w:r>
      <w:r w:rsidDel="00000000" w:rsidR="00000000" w:rsidRPr="00000000">
        <w:rPr>
          <w:rFonts w:ascii="Times New Roman" w:cs="Times New Roman" w:eastAsia="Times New Roman" w:hAnsi="Times New Roman"/>
          <w:b w:val="1"/>
          <w:sz w:val="24"/>
          <w:szCs w:val="24"/>
          <w:rtl w:val="0"/>
        </w:rPr>
        <w:t xml:space="preserve">Interseccionalidade e Psicologia Feminista</w:t>
      </w:r>
      <w:r w:rsidDel="00000000" w:rsidR="00000000" w:rsidRPr="00000000">
        <w:rPr>
          <w:rFonts w:ascii="Times New Roman" w:cs="Times New Roman" w:eastAsia="Times New Roman" w:hAnsi="Times New Roman"/>
          <w:sz w:val="24"/>
          <w:szCs w:val="24"/>
          <w:rtl w:val="0"/>
        </w:rPr>
        <w:t xml:space="preserve">. Salvador, Bahia: Editora Devires, 2017. p. 136-153.</w:t>
      </w:r>
    </w:p>
    <w:p w:rsidR="00000000" w:rsidDel="00000000" w:rsidP="00000000" w:rsidRDefault="00000000" w:rsidRPr="00000000" w14:paraId="0000028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NUNES, Mônica de Oliveira; LIMA JÚNIOR, João Mendes de; PORTUGAL, Clarice Moreira; TORRENTÉ, Maurice de. Reforma e contrarreforma psiquiátrica: análise de uma crise sociopolítica e sanitária a nível nacional e regional. </w:t>
      </w:r>
      <w:r w:rsidDel="00000000" w:rsidR="00000000" w:rsidRPr="00000000">
        <w:rPr>
          <w:rFonts w:ascii="Times New Roman" w:cs="Times New Roman" w:eastAsia="Times New Roman" w:hAnsi="Times New Roman"/>
          <w:b w:val="1"/>
          <w:sz w:val="24"/>
          <w:szCs w:val="24"/>
          <w:rtl w:val="0"/>
        </w:rPr>
        <w:t xml:space="preserve">Revista Ciência e Saúde Coletiva</w:t>
      </w:r>
      <w:r w:rsidDel="00000000" w:rsidR="00000000" w:rsidRPr="00000000">
        <w:rPr>
          <w:rFonts w:ascii="Times New Roman" w:cs="Times New Roman" w:eastAsia="Times New Roman" w:hAnsi="Times New Roman"/>
          <w:sz w:val="24"/>
          <w:szCs w:val="24"/>
          <w:rtl w:val="0"/>
        </w:rPr>
        <w:t xml:space="preserve">, v. 24, n. 12, p. 4489-4498, 2019. </w:t>
      </w:r>
    </w:p>
    <w:p w:rsidR="00000000" w:rsidDel="00000000" w:rsidP="00000000" w:rsidRDefault="00000000" w:rsidRPr="00000000" w14:paraId="0000028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OMS - Organização Mundial da Saúde</w:t>
      </w:r>
      <w:r w:rsidDel="00000000" w:rsidR="00000000" w:rsidRPr="00000000">
        <w:rPr>
          <w:rFonts w:ascii="Times New Roman" w:cs="Times New Roman" w:eastAsia="Times New Roman" w:hAnsi="Times New Roman"/>
          <w:b w:val="1"/>
          <w:sz w:val="24"/>
          <w:szCs w:val="24"/>
          <w:rtl w:val="0"/>
        </w:rPr>
        <w:t xml:space="preserve">. Preparedness, prevention and control of Covid-19 in prisons and other places of detention – </w:t>
      </w:r>
      <w:r w:rsidDel="00000000" w:rsidR="00000000" w:rsidRPr="00000000">
        <w:rPr>
          <w:rFonts w:ascii="Times New Roman" w:cs="Times New Roman" w:eastAsia="Times New Roman" w:hAnsi="Times New Roman"/>
          <w:sz w:val="24"/>
          <w:szCs w:val="24"/>
          <w:rtl w:val="0"/>
        </w:rPr>
        <w:t xml:space="preserve">interim guidance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Regional Office for Europe, 15 mar. 2020. Disponível em: &lt;https://apps.who.int/iris/bitstream/handle/10665/336525/WHO-EURO-2020-1405-41155-55954-eng.pdf?sequence=1&amp;isAllowed=y&gt; Acesso em: 30 nov. 2020.</w:t>
      </w:r>
    </w:p>
    <w:p w:rsidR="00000000" w:rsidDel="00000000" w:rsidP="00000000" w:rsidRDefault="00000000" w:rsidRPr="00000000" w14:paraId="0000028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 Organização das Nações Unidas. </w:t>
      </w:r>
      <w:r w:rsidDel="00000000" w:rsidR="00000000" w:rsidRPr="00000000">
        <w:rPr>
          <w:rFonts w:ascii="Times New Roman" w:cs="Times New Roman" w:eastAsia="Times New Roman" w:hAnsi="Times New Roman"/>
          <w:b w:val="1"/>
          <w:sz w:val="24"/>
          <w:szCs w:val="24"/>
          <w:rtl w:val="0"/>
        </w:rPr>
        <w:t xml:space="preserve">Advice of the Subcommittee on Prevention of Torture to States Parties and National Preventive Mechanisms relating to the Coronavirus Pandemic </w:t>
      </w:r>
      <w:r w:rsidDel="00000000" w:rsidR="00000000" w:rsidRPr="00000000">
        <w:rPr>
          <w:rFonts w:ascii="Times New Roman" w:cs="Times New Roman" w:eastAsia="Times New Roman" w:hAnsi="Times New Roman"/>
          <w:sz w:val="24"/>
          <w:szCs w:val="24"/>
          <w:rtl w:val="0"/>
        </w:rPr>
        <w:t xml:space="preserve">(adopted on 25th March 2020). Subcommittee on Prevention of Torture and Other Cruel, Inhuman or Degrading Treatment or Punishment, 25 mar. 2020. Disponível em: &lt;https://www.ohchr.org/Documents/HRBodies/OPCAT/AdviceStatePartiesCoronavirusPandemic2020.pdf&gt; Acesso em: 30 nov. 2020.</w:t>
      </w:r>
    </w:p>
    <w:p w:rsidR="00000000" w:rsidDel="00000000" w:rsidP="00000000" w:rsidRDefault="00000000" w:rsidRPr="00000000" w14:paraId="0000029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OPAS Brasil - Organização Pan-Americana de Saúde. </w:t>
      </w:r>
      <w:r w:rsidDel="00000000" w:rsidR="00000000" w:rsidRPr="00000000">
        <w:rPr>
          <w:rFonts w:ascii="Times New Roman" w:cs="Times New Roman" w:eastAsia="Times New Roman" w:hAnsi="Times New Roman"/>
          <w:b w:val="1"/>
          <w:sz w:val="24"/>
          <w:szCs w:val="24"/>
          <w:rtl w:val="0"/>
        </w:rPr>
        <w:t xml:space="preserve">OMS afirma que Covid-19 é agora caracterizada como pandemia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11 mar. 2020. Disponível em: &lt;https://www.paho.org/bra/index.php?option=com_content&amp;view=article&amp;id=6120:oms-afirma-que-covid-19-e-agora-caracterizada-como-pandemia&amp;Itemid=812&gt; Acesso em: 30 nov. 2020.</w:t>
      </w:r>
    </w:p>
    <w:p w:rsidR="00000000" w:rsidDel="00000000" w:rsidP="00000000" w:rsidRDefault="00000000" w:rsidRPr="00000000" w14:paraId="0000029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TEDESCO, Silvia H. A função ético-política das medidas de segurança no Brasil contemporâneo. In: VENTURINI, Ernesto; OLIVEIRA, Rodrigo Torres; MATTOS, Virgílio de (orgs.). </w:t>
      </w:r>
      <w:r w:rsidDel="00000000" w:rsidR="00000000" w:rsidRPr="00000000">
        <w:rPr>
          <w:rFonts w:ascii="Times New Roman" w:cs="Times New Roman" w:eastAsia="Times New Roman" w:hAnsi="Times New Roman"/>
          <w:b w:val="1"/>
          <w:sz w:val="24"/>
          <w:szCs w:val="24"/>
          <w:rtl w:val="0"/>
        </w:rPr>
        <w:t xml:space="preserve">O louco infrator e o estigma da periculosidade</w:t>
      </w:r>
      <w:r w:rsidDel="00000000" w:rsidR="00000000" w:rsidRPr="00000000">
        <w:rPr>
          <w:rFonts w:ascii="Times New Roman" w:cs="Times New Roman" w:eastAsia="Times New Roman" w:hAnsi="Times New Roman"/>
          <w:sz w:val="24"/>
          <w:szCs w:val="24"/>
          <w:rtl w:val="0"/>
        </w:rPr>
        <w:t xml:space="preserve">. Brasília: CFP, 2016. p.258-287.</w:t>
      </w:r>
    </w:p>
    <w:p w:rsidR="00000000" w:rsidDel="00000000" w:rsidP="00000000" w:rsidRDefault="00000000" w:rsidRPr="00000000" w14:paraId="0000029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B">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 LUTO À LUTA: TRAJETÓRIA DAS MÃES NA (RE)CONSTRUÇÃO DA MEMÓRIA DE SEUS FILHOS, VÍTIMAS DO ESTADO, E NA (RE)SIGNIFICAÇÃO DE SUAS VIDAS</w:t>
      </w:r>
    </w:p>
    <w:p w:rsidR="00000000" w:rsidDel="00000000" w:rsidP="00000000" w:rsidRDefault="00000000" w:rsidRPr="00000000" w14:paraId="000002AC">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 Santa Cruz Gutman</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tl w:val="0"/>
        </w:rPr>
      </w:r>
    </w:p>
    <w:p w:rsidR="00000000" w:rsidDel="00000000" w:rsidP="00000000" w:rsidRDefault="00000000" w:rsidRPr="00000000" w14:paraId="000002AD">
      <w:pPr>
        <w:tabs>
          <w:tab w:val="left" w:leader="none" w:pos="1880"/>
        </w:tabs>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2AE">
      <w:pPr>
        <w:tabs>
          <w:tab w:val="left" w:leader="none" w:pos="1880"/>
        </w:tabs>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F">
      <w:pPr>
        <w:spacing w:after="0" w:line="360" w:lineRule="auto"/>
        <w:ind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ab/>
      </w:r>
      <w:r w:rsidDel="00000000" w:rsidR="00000000" w:rsidRPr="00000000">
        <w:rPr>
          <w:rFonts w:ascii="Times New Roman" w:cs="Times New Roman" w:eastAsia="Times New Roman" w:hAnsi="Times New Roman"/>
          <w:sz w:val="24"/>
          <w:szCs w:val="24"/>
          <w:rtl w:val="0"/>
        </w:rPr>
        <w:t xml:space="preserve">Inicialmente, cumpre-se destacar que o presente artigo possui como propósito a busca de uma reflexão acerca do processo vivenciado por muitas mulheres no Brasil - mães que perderam seus filhos em função de violências praticadas por agentes do Estado. Como elas encontram forças para seguir em frente? Como reconstruir e ressignificar toda essa memória traumática quando não há responsabilização, verdade nem justiça? Como essas mães, mesmo vivenciando o luto, conseguem reunir condições de lutar pela memória de seus filhos?</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longo deste processo de amadurecimento do tema, surgiram diversos questionamentos e inquietações, tais como: de que forma estas mulheres conseguem lidar com o luto pela morte de seus filhos, permanentemente, mas associado à luta pela vida? Porque na grande maioria dos casos são mulheres/mães que abraçam a causa e vão a público reivindicar seus direitos? Como a maternidade é potencializada e de certa forma consiste em uma luta singular, muito única de mães? Como essas mães ressignificam suas próprias vidas? Qual a importância das redes, grupos e união de mães na luta pela elucidação das circunstâncias da morte de seus filhos e pela punição dos responsáveis?</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força destas mulheres, mães, me impressiona e isso despertou em mim uma necessidade de compreender, com mais propriedade, a vivência delas, que perderam seus filhos de forma tão cruel, para poder ser capaz de assessorá-las de uma maneira mais humana, dialógica e eficaz, pensando em intervenções que possam auxiliar no enfrentamento dessa dor, desse luto.</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Para atingir os objetivos a que se propõe, o presente estudo buscará, primeiramente, compreender, a partir de relatos de vida dessas mães, como se deu, em cada caso, este processo de dor e luto após a perda de um filho. A partir daí, será estudada como a militância e a luta dos grupos de mães por verdade e justiça e, sobretudo, pela ressignificação da memória de seus filhos, é colocada como condição essencial para que se possa trilhar um futuro.</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tanto, o referido artigo se inicia com uma busca teórica do que se tem de material, como artigos, dissertações, teses, periódicos, relatórios, sejam eles acadêmicos ou não, acerca dos temas que permeiam o presente estudo. Ademais, foram elencados que autoras e autores escrevem sobre estes temas e no que suas obras podem contribuir para um aprofundamento da causa. Posteriormente, ocorreu a aproximação com algumas mães em sua luta pela devida investigação dos casos de seus filhos, por justiça e devida responsabilização do Estado e pela construção ou (re)construção de uma memória, para que casos como esses nunca mais aconteçam. Neste sentido, houve a oportunidade de escuta de relatos de algumas mães do grupo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Mães de Manguinhos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perderam seus filhos em função da violência estatal.</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troca com as mães foi realizada com muito cuidado, respeito e buscando, sobretudo, acolher e auxiliar em suas demandas e lutas. Portanto, o presente estudo se propõe a contribuir para uma memória a partir das narrativas contra hegemônicas de mães, mulheres periféricas, negras. Ademais, visa contribuir para o debate acadêmico, tendo em vista que este tema é, ainda, muito incipiente e pouco explorado pela academia em geral.</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Convém fazer um breve esclarecimento acerca dos limites práticos e teóricos. Por se tratar de um projeto que envolve uma prática de acompanhamento de vítimas que sofreram forte abalo emocional com a perda dos filhos, é necessária a construção de um vínculo de proximidade com essas mães. Neste sentido, ter um viés acadêmico é fundamental, sem deixar de lado um olhar humano, cuidadoso e solidário, que deve fazer parte desta abordagem. Um desafio consiste na atuação nos limites da institucionalidade, isto é, por se tratar de investigação de violações recentes do Estado, com agentes ainda vivos e em atuação, é necessário o salvaguardo de órgãos estatais como a Defensoria Pública, o Ministério Público e a própria Universidade, além de movimentos sociais e organizações da sociedade civil.</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modo geral, o estudo das violações cometidas por agentes do Estado, assim como da luta das mães por justiça, é essencial para entendermos as políticas públicas em prática, a atuação do Estado nos territórios de favelas e o tratamento conferido a determinada parcela da população. Sustenta-se que, somente com a verdade, a partir de um real testemunho dos fatos, com ênfase na versão dos oprimidos, escovando a história a contrapelo, como afirma o filósofo Walter Benjamin, será possível que se trilhe um novo caminho no Brasil.</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Importante também a ressalva da relevância de um trabalho interdisciplinar. </w:t>
      </w:r>
      <w:r w:rsidDel="00000000" w:rsidR="00000000" w:rsidRPr="00000000">
        <w:rPr>
          <w:rFonts w:ascii="Times New Roman" w:cs="Times New Roman" w:eastAsia="Times New Roman" w:hAnsi="Times New Roman"/>
          <w:sz w:val="24"/>
          <w:szCs w:val="24"/>
          <w:rtl w:val="0"/>
        </w:rPr>
        <w:t xml:space="preserve">Nesse sentido,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só se tem a ganhar, no sentido de uma pesquisa mais ampla, complexa e rica, quando nos aprofundamos sob diversas áreas do conhecimento, não só o Direito, como também a psicologia, ciências sociais, história, serviço social, dentre outras. Sustenta-se que somente através de uma percepção crítica, interdisciplinar, militante e contextualizada, será possível a compreensão dos direitos e de suas violações.     </w:t>
        <w:tab/>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Transição inacabada e política do esquecimento</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Importante ser colocado que, apesar das semelhanças e da permanência de determinadas estruturas institucionais e de práticas, há diferenças da época ditatorial para a democracia - apesar de imperfeita - na qual vivemos.</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antes o alvo era os comunistas, hoje o Estado brasileiro se utiliza do discurso da ‘segurança pública’ e da proteção dos cidadãos para efetivar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eliminação física não só dos adversários políticos, mas também de categorias inteiras de cidadãos que, por qualquer razão, pareçam não integráveis ao sistema político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(Agamben, 2004, p. 13).</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Mesmo com o término da Ditadura Civil-Militar, que perdurou durante vinte e um anos no Brasil, não cessaram as sistemáticas violações aos direitos humanos. O Estado brasileiro, por seus agentes, continuou praticando violência, tanto física quanto simbólica, pode-se dizer com uma atualização de seus propósitos, viabilizando, desta maneira, sua permanência (Avilez, 2018).</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Alguns sustentam que as permanências supracitadas se devem ao fato de não ter havido, em nosso país, uma efetiva Justiça de Transição - justiça que compreenderia a passagem do período ditatorial para a atual democracia. Vigorou a mais absoluta ausência de políticas públicas efetivas e contínuas de memorização. Isto contribuiu e continua a contribuir, significativamente, para a manutenção das violações sistemáticas cometidas pelo Estado, bem como para a aceitação da impunidade estrutural frente aos abusos estatais.</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escassas políticas de Estado de memória, bem como a falta de comprometimento das classes políticas do regime democrático, prejudicaram a criação de uma memória consolidada na sociedade para com os crimes cometidos durante o período da Ditadura Empresarial-Militar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das poucas iniciativas estatais como as Comissões: de Mortos e Desaparecidos; da Anistia; e da Verdade, a despeito de seus méritos, não se traduziram em políticas de Estado, não passaram por uma continuação pertinente entre os governos que se sucederam, pelo contrário, ao mudar a correlação de forças dentro dos aparelhos de Estado, as poucas políticas desenvolvidas foram completamente desmanteladas.</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sentido, tendo por fundamento a teoria crítica dos direitos humanos, compreende-se que a ausência de políticas de memorização e a não concretização dos direitos à verdade e à memória podem estar contribuindo para a permanência de violações aos direitos humanos, especialmente em face de uma parcela específica de nossa população, transformando nosso país em um verdadeiro estado de exceção.</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‘estado de exceção’ [...] é a ‘necessidade do Estado’ de executar suas violências, eliminando seus indesejados de maneira prática e objetiva, buscando tornar-se subjetiva para que seja mais bem aceita pela população graças às suas proposições de ser um ‘estado’ e uma ‘exceção’. Em uma analogia funcional para este caso, o Estado, através de seus agentes, conjura um veneno sob um termo oco para oferecer um antídoto – que na verdade só beneficia ao próprio Estado – para sua população. (Avilez, 2018, p. 29-30)</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outras palavras, nota-se que a ausência de políticas públicas de memória ou de memorização contribui para uma justiça amnética, ou seja, uma política de esquecimento das violações ocorridas no passado, o que, consequentemente, reflete na continuidade dessas violências no presente.</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Embora seja um tema que requer mais investigações, a ausência ou falta de memória – que também pode encobrir o silêncio – sobre a ditadura militar não pode ser desvinculada das estratégias constantes de esquecimentos “impostas” e de efeitos de “verdade” (decorrentes do medo, do silenciamento, da ocultação, do negacionismo, da propaganda de autoexaltação, da promoção do conformismo) implementadas pelo Estado e reverberadas na sociedade civil durante o regime de exceção. (Agamben, 2003, p. 19)</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oportuno, ressalta-se a importância dos testemunhos de vítimas da Ditadura Empresarial-Militar e de familiares de desaparecidos políticos. A história vem sendo transmitida, junto com a luta e com muita resistência, às presentes e futuras gerações.</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pluralidade de memórias existentes sobre a ditadura não apaga o fato de que o litígio originário que perdura até os dias atuais, sustentado nas experiências subjetivas vividas e transmitidas, traduz-se na oposição de relatos e interpretações das associações de familiares de mortos e desaparecidos, ex presos políticos, organizações de direitos humanos e movimentos sociais, de um lado, e os militares e aliados civis, de outro. (Agamben, 2003, p. 12)</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Portanto, argumenta-se que, somente com a rememoração dos crimes cometidos no passado, teremos a condição de interromper as violações aos mesmos direitos no presente. “Para que não se esqueça, para que nunca mais aconteça.”</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Ainda no que se refere à violência estatal, Walter Benjamin, em sua obra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Conceito de História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(1994), afirma que:</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nunca há um documento de cultura que não seja ao mesmo tempo um documento de barbárie. E, assim como ele não está livre da barbárie, também não está o processo de sua transmissão, transmissão no qual ele passou de um vencedor a outro. Por isso, o materialismo histórico, na medida do possível, se afasta dessa transmissão. Ele considera como sua tarefa escovar a história a contrapelo. (Benjamin, 1994)</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Desta célebre sentença, pode-se extrair que a violência ou a barbárie é inerente ao Estado, qual seja, indissociável a ele. Sustenta-se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situar a barbárie no interior da cultura ou da civilização, recusando a dicotomia tradicional, que coloca a sua existência no outro (bárbaro) e o situa no exterior da comunidade política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(D´Elia Filho, 2015, p. 125)</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Violência de Estado e a realidade brasileira</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que ocorre é que o Estado se mantém, tanto no que diz respeito a sua soberania interna quanto externa, por meio de seu aparato coercitivo e do exercício da violência física e simbólica.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Soberania, expressa predominantemente como direito de matar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(Mbembe, 2018, p. 16)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Mas sob quais condições práticas se exerce o poder de matar, deixar viver ou expor à morte? Quem é o sujeito dessa lei?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(Mbembe, 2018, p. 6)</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expressão máxima da soberania reside, em grande medida, no poder e na capacidade de ditar quem pode viver e quem deve morrer. Por isso, matar ou deixar viver constituem os limites da soberania, seus atributos fundamentais. Ser soberano é exercer controle sobre a mortalidade e definir a vida como a implantação e manifestação de poder. (Mbembe, 2018, p. 5)</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Mbembe afirma: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Minha preocupação é com aquelas formas de soberania cujo projeto central não é a luta pela autonomia, mas a instrumentalização generalizada da existência humana e a destruição material de corpos humanos e populações.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(Mbembe, 2018, p. 10-11)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soberania é a capacidade de definir quem importa e quem não importa, quem é ´descartável´ e quem não 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(Mbembe, 2018, p. 41)</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violência estatal é uma constante nas organizações que se dão dentro de seu escopo, e qualquer “aparato de contenção” de tais escaladas que se fantasie como “estado de exceção” nada mais é do que a violência estatal condicionada sob uma nova perspectiva, buscando ser mais aceitável; o “estado de exceção”, embora temporário em conceito, é a regra pela qual o Estado (sobre)vive – nas palavras de Benjamin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Op. cit., loc. 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tradição dos oprimidos ensina-nos que o ‘estado de exceção’ em que vivemos é a regra”. (Avilez, 2018, p. 20)</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ponto, cabe realizar uma diferenciação entre uma ditadura e o estado de exceção:</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Embora o “estado de exceção” possa se estabelecer – e normalmente o faz – como uma ferramenta de regimes ditatoriais, seja para sua implementação inicial, desenvolvimento ou manutenção de longo prazo, é importante observar que são conceitos diferentes; do contrário, volta-se ao risco de acreditar erroneamente que o “estado de exceção” é, conforme seu nome, não a regra, mas uma excepcionalidade. Enquanto as ditaduras tendem a valer por um período definido – por mais extenso que ele seja – e encerrar-se neste recorte de tempo, o “estado de exceção” é uma ferramenta dos Estados como um todo, independentemente da situação de sua democracia de juris. (Avilez, 2018, p. 29)</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o período dos anos de chumbo, o termo utilizado era ‘estado de exceção’. Contudo, o referido conceito voltou a ser aplicado, apesar que de maneira não-oficial, na atual democracia a partir das práticas da polícia militar brasileira. “O termo ‘violência urbana’ é a pergunta contemporânea à qual o ‘estado de exceção’ se estabelece como a resposta primária do Estado no uso de suas violências.” (Avilez, 2018, p. 21)</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‘combate à violência urbana’ é um dos mantos sob os quais o Estado contemporâneo se resguarda ao agir em suas violências. [...] Wacquant (2011) se debruça sobre ela para analisar a forma como a repressão à pretensa ‘violência urbana’ rapidamente demonstra ser uma repressão contra a miséria e aqueles os quais nela se encontram. (Avilez, 2018, p. 23)</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Desta maneira, baseando-se no estudo de Wacquant, pode-se chegar à conclusão de que a ‘violência urbana’ se transforma em um artifício absolutamente útil para o Estado. Assim, ela pode assumir diversas formas, de acordo com a necessidade, ou melhor, conveniência governamental, a fim de legitimar a violência estatal (Avilez, 2018). Em outras palavras, setores presentes nos aparelhos estatais se aproveitam de cidadãos infratores das leis para fazer presente a dimensão violenta e autoritária do Estado na vida de toda a sociedade, que lhe legitima e corrobora.</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que se refere ao contexto brasileiro, mais especificamente carioca, frisa-se: “a ocupação do Rio de Janeiro por forças militares, com equipamento que inclui tanques de guerra estacionados em pontos movimentados da metrópole, tem se provado ineficaz em relação ao combate contra a ‘violência urbana’.” (Avilez, 2018, p. 30-31). Contudo, tal artifício, serve em última instância, para que a população apoie as ações contra a violência urbana e, com isso, as práticas excessivas estatais.</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se realizar uma comparação entre as violências estatais perpetradas no Brasil e em outros países, não restam dúvidas. No que se refere ao número de homicídios cometidos policiais, por exemplo, o Brasil encontra-se muito acima da média global, como se pode perceber:</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partir de 1989, a morte violenta é a principal causa de mortalidade no país [Brasil], com o índice de homicídios no Rio de Janeiro, em São Paulo e Recife atingindo 40 para cada 100.000 habitantes, ao passo que o índice nacional supera 20 para cada 100.000 (ou seja, duas vezes o índice norte-americano do início dos anos 1990 e 20 vezes o nível dos países da Europa ocidental) [...]. Uma estatística: em 1992, a polícia militar de São Paulo matou 1.470 civis – contra 24 mortos pela polícia de Nova York e 25 pela de Los Angeles -, o que representa um quarto das vítimas de morte violenta da metrópole naquele ano. É de longe o recorde absoluto das Américas (Agamben, 2004, p. 10-11).</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polícia brasileira é a que mais mata no mundo inteiro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Ao se tomar como parâmetro, a título de exemplificação, o estado de São Paulo,</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número de assassinatos cometidos por policiais somente no estado de São Paulo em 1992 foi quase 30 vezes maior que o número das duas cidades estadunidenses juntas no mesmo ano, conforme apresentado acima. Mesmo que este número tenha decrescido nos últimos anos, é relevante considerá-los dentro de uma perspectiva duradoura em relação aos impactos na dinâmica social e principalmente na vida daqueles que compõem o grupo de risco principal e vítima primária destes homicídios: a população ‘composta por jovens negros e moradores da periferia’ (Anistia Internacional Brasil, 2014).</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exemplo de São Paulo é um padrão que se repete em praticamente todos os estados do país, com destaque para o Rio de Janeiro, que possui um índice alarmante de homicídios cometidos por policiais dividido por habitantes - chega a 30 assassinatos para cada milhão de habitante, enquanto o índice de São Paulo é 19 a cada milhão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Achille Mbembe,</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viver sob a ocupação contemporânea é experimentar uma condição permanente de “viver na dor”: Estruturas fortificadas, postos militares e bloqueios de estradas em todo lugar; construções que trazem à tona memórias dolorosas de humilhação, interrogatórios e espancamentos; toques de recolher que aprisionam centenas de milhares de pessoas em suas casas apertadas todas as noites do anoitecer ao amanhecer; soldados patrulhando as ruas escuras, assustados pelas próprias sombras; crianças cegadas por balas de borracha; pais humilhados e espancados na frente de suas famílias; soldados urinando nas cercas, atirando nos tanques de água dos telhados só por diversão, repetindo slogans ofensivos, batendo nas portas frágeis de lata para assustar as crianças, confiscando papéis ou despejando lixo no meio de um bairro residencial; guardas de fronteira chutando uma banca de legumes ou fechando fronteiras sem motivo algum; ossos quebrados; tiroteios e fatalidades - um certo tipo de loucura. (Mbembe, 2018, p. 69)</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também no Rio de Janeiro que o número de assassinatos cometidos por policiais superou em muito o número de latrocínio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mais especificamente, em cinco vezes. No ano de 2015 o referido crime alcançou o maior índice proporcional do país (Cerqueira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2017). Contudo, tais números continuam crescendo. Para demonstrar tal afirmação, somente na capital, de janeiro a abril do ano de 2017 houve um aumento no número de homicídios cometidos por policiais de 60%, se comparado ao mesmo período de 2016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Outro fato a ser destacado é que, além dos alarmantes índices de homicídios cometidos pela política de nosso país, a impunidade também é muito preocupante. Segundo pesquisa efetuada pela Anistia Internacional (2016),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das 220 investigações sobre homicídios cometidos por policiais abertas em 2011 na cidade do Rio de Janeiro, houve, até 2015, somente um caso em que um policial foi indiciado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Destaca-se que não se trata de casos isolados, muito pelo contrário. Consiste 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um modelo de segurança pública que, se não promove, é conivente com o uso abusivo da força letal e execuções sumárias, ao mesmo tempo em que expõe e vitimiza cada vez mais os seus agentes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(Cerqueira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2017, p. 22).</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forças policiais não agem de maneira espontânea, tendo sido estruturadas dentro de uma lógica de Estado, com uma política específica que lhes dá legitimidade e mesmo legalidade para suas operações. Essa política é executada no âmbito de um processo de marginalização de segmentos indesejados ao capitalismo; a concatenação estatal busca produzir, em seguida, a criminalização do marginalizado. Faz-se necessário abordar tanto as práticas das forças policiais militares do Estado quanto a lógica que as suporta. (Avilez, 2018, p. 13-14)</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visão militar tende a analisar questões de segurança pública sob as lentes da segurança nacional.” (Zaverucha, 2010, p. 75) Por oportuno, militarização compreende</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processo de adoção e uso de modelos militares, conceitos, doutrinas, procedimentos e pessoal em atividades de natureza civil, dentre elas a segurança pública (Cerqueira, 1998). [...] À medida que aumenta o descrédito da população em relação ao desempenho das polícias, mais os governantes se sentem pressionados a solicitar ajuda aos militares federais no combate à criminalidade. (Zaverucha, 2005, p. 128)</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silêncio da elite política civil ante tais constrangimentos confirma ser o militarismo um fenômeno amplo, regularizado e socialmente aceito no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(Zaverucha, 2005, p. 76)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controle social no Brasil passa por uma cultura punitiva, de viés militarizado, inscrita na estratégia de construção de opositores/inimigos ao pacto de conciliação, desprovidos de cidadania, a partir da crença na existência de territórios segregados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(D´Elia Filho, 2015, p. 76) E esta política de militarização da segurança pública não se dá ocasionalmente, como já dito.</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vida cotidiana é militarizada. É outorgada liberdade aos comandantes militares locais para usar seus próprios critérios sobre quando e em quem atirar. O deslocamento entre células territoriais requer autorizações formais. Instituições civis locais são sistematicamente destruídas. A população sitiada é privada de suas fontes de renda. Às execuções a céu aberto somam-se matanças invisíveis. (Mbembe, 2018, p. 48-49)</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Consiste em uma política de Estado, institucionalizada e regular.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“Existe uma política pública, na forma de razões de Estado, a ensejar os altos índices de letalidade do sistema penal brasileiro, com destaque para aqueles praticados rotineiramente nas favelas cariocas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(D´Elia Filho, 2015, p. 24) Ademais,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tal presença é aceita politicamente, socialmente e culturalmente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(Zaverucha, 2005, p. 129)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violência policial não é um erro de procedimento de alguns policiais despreparados. É uma política de Estado no Brasil, que recebe o apoio e o incentivo de parcela da sociedade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(D´Elia Filho, 2015, p. 5)</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técnicas de policiamento e disciplina, além da escolha entre obediência e simulação que caracterizou o potentado colonial e pós-colonial, estão gradualmente sendo substituídas por uma alternativa mais trágica, dados o seu extremismo. Tecnologias de destruição tornaram-se mais táteis, mais anatômicas e sensoriais, dentro de um contexto no qual a escolha se dá entre a vida e a morte. [...] As maneiras de matar não variam muito. No caso particular dos massacres, corpos sem vida são rapidamente reduzidos à condição de simples esqueletos. Sua morfologia doravante os escreve no registro de generalidade indiferenciada: simples relíquias de uma dor inexaurível, corporeidades vazias, sem sentido, formas estranhas mergulhadas em estupor. (Mbembe, 2018, p. 60)</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sentido,</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potencialidade da violência não emana dos indivíduos que a trazem a cabo. [...] as forças policiais, ao agirem em nome do Estado, não têm poder a emanar de si mesmas, de forma que as ações que elas conduzem são, por definição, ação de Estado; se o Estado brasileiro não pode apertar o gatilho por sua natureza conceitual, ele o faz através de seus agentes. (Avilez, 2018, p. 18-19)</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polícia mata, mas não mata sozinha. O sistema de justiça criminal se utiliza de um expediente civilizatório, racional e burocrático, na produção da verdade jurídica, que viabiliza a ideia de uma violência conforme o direito, a partir da construção de uma violência qualificada por decisões de respeitáveis agentes públicos, conhecidos como fiscais da lei. (D´Elia Filho, 2015, p. 23) [...] se a polícia mata quem joga a “pá de cal” é o poder jurídico. (D´Elia Filho, 2015, p. 140)</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que pese os direitos humanos serem o eixo central da Constituição de 1988 e terem entrado na agenda política nacional, principalmente ao se falar da universalização do acesso aos direitos econômicos, sociais, políticos e culturais e na elaboração e execução de políticas consequentes que assegurem a distribuição equitativa do direito à educação, à saúde, à habitação, ao transporte público, ao meio ambiente saudável, ao lazer e à livre produção cultural, por outro lado, a apuração de responsabilidade pelas graves violações de direitos humanos durante a ditadura militar permanece um divisor de águas na sociedade (Adorno, 2010).</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o que pode ser compreendido se analisarmos os Programas Nacionais de Direitos Humanos. Antes de medidas governamentais, são políticas de Estado e resultam de uma história recente de consolidação das instituições democráticas na sociedade brasileira. (Adorno, 2010, p. 10). O último, PNDH-3 (2010), situa-se na linha evolutiva das ideias e dos programas governamentais que apontam mais continuidades do que rupturas entre os governos Fernando Henrique Cardoso e Lula. Todavia, ao se desenvolver o tema da memória e verdade na última edição, setores do Estado reagiram à possibilidade de responsabilização e punição daqueles diretamente envolvidos na repressão, e de se turvar imagens socialmente construídas.</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recusa pelo aprofundamento na temática de memória e verdade foi o catalisador para outras reivindicações de setores contra o PNDH-3, como a descriminalização do aborto, o casamento civil homoafetivo e a regulamentação dos meios de comunicação. Para Adorno,</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ausência de uma justiça de transição, logo após o retorno à democracia, contribuiu para a persistência de tabus — isto é, interdição de se falar livremente e em público a respeito de temas “delicados” ou “perigosos”, de abordar zonas de conflitos não resolvidos ou superados. (Adorno, 2010, p. 18)</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sentido, diversos casos de violações de direitos humanos jamais foram à Justiça e em muitos outros o Estado se absteve em reconhecer a responsabilidade, a fim de que se perpetuasse a memória dos que sofreram no regime (Avilez, 2018, p. 13).</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 belas palavras de Gómez,</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questão da memória sobre a repressão da ditadura militar não supõe a existência de uma única memória, mas de uma pluralidade de memórias que, no bojo de um demorado e inacabado processo político de acerto de contas com o passado violento, envolve uma variada gama de atores sociais e institucional-estatais. Trata-se de memórias que entram em conflito sobre os sentidos e os marcos interpretativos desse passado no presente, cuja dinâmica implica que umas </w:t>
      </w:r>
      <w:r w:rsidDel="00000000" w:rsidR="00000000" w:rsidRPr="00000000">
        <w:rPr>
          <w:rFonts w:ascii="Times New Roman" w:cs="Times New Roman" w:eastAsia="Times New Roman" w:hAnsi="Times New Roman"/>
          <w:sz w:val="20"/>
          <w:szCs w:val="20"/>
          <w:rtl w:val="0"/>
        </w:rPr>
        <w:t xml:space="preserv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entem se impor sobre as outras e aspirem a tornar-se hegemônicas, enquanto todas, por sua historicidade, sofrem modificações nas próprias lembranças, esquecimentos e silêncios, em função das mudanças contextuais (políticas, jurídicas, ideológicas, culturais) nacionais e internacionais e das relações de poder entre os principais atores. (Gómez, 2018, p. 12)</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sendo, a memória, um dos elementos da justiça transicional, é essencial para que as presentes e futuras gerações tenham conhecimento do seu passado e não repitam as mesmas violações praticadas na ditadura empresarial-militar. Mas a memória encontra-se em permanente disputa, vai sendo construída e reconstruída. Não bastam políticas de memória, verdade e justiça para que a violência estatal que, frisa-se, não se iniciou nem teve fim com o período militar, cesse.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 perspectivas são de que o aparelho estatal continue autoritário e a despeito dos avanços da democracia eleitoral brasileira. Prefere-se a estabilidade política ao aprofundamento da democracia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(Zaverucha, 2010, p. 76)</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dor repentina e inesperada: a notícia da perda</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morte de qualquer jovem (criança ou adolescente) é interpretada como uma interrupção no seu ciclo biológico. Isto porque a morte de um jovem, de um filho, subitamente, não é esperada ou entendida como natural. Assim, mesmo que seja certa e inevitável, a morte é mais dificilmente aceita quando ocorre de maneira tão precoce. A dor para os familiares é irreparável e, principalmente para as mães, se revela como um sentimento intenso e complexo que se difere dos processos de luto por outros tipos de perda.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Para as mães, os sentimentos e o sofrimento pela circunstância da morte dos filhos são preservados e revividos a cada lembrança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(Alarcão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3)</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Todavia, na presente pesquisa, a morte à qual me refiro não é decorrente de acidente ou em função de uma enfermidade. A morte à qual me refiro também não acomete qualquer corpo. Este estudo se propõe a olhar para as mortes praticadas pela violência do Estado, justamente pelas instituições que se colocam como protetoras da população.  </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o Mapa da Violência de 2011, no Brasil, a tendência desde 2002 é de aumento no número absoluto de homicídios na população negra em geral. Com relação aos jovens entre 15 e 25 anos, os dados crescem ainda mais: em 2002 morriam proporcionalmente 45,8% mais negros do que brancos; em 2008 o índice atinge 127,6% (Gonçalves, 2012, p. 7). A violência vem crescendo de maneira assustadora.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Atlas da Violência 2019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traz dados sobre o perfil dos homicídios no Brasil: dos cerca de 618 mil homicídios que aconteceram entre 2007 e 2017, 91,8% das vítimas eram homens; 55,0% dos homicídios desses homens acontece no período da juventude, entre 15 e 29 anos; do total de homicídio de homens no período, 73,1% eram de negros (Instituto de Pesquisa Econômica Aplicada – IPEA e Fórum Brasileiro de Segurança Pública, 2019, p. 69-71). O aumento de jovens mortos por homicídio é cada vez mais alarmante, sendo considerado, inclusive, um problema de saúde pública, já em 1996 pela Organização Mundial de Saúde - OMS (Alarcão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2). A política de Segurança Pública da cidade do Rio de Janeiro se mostra mais do que ineficiente, forte atuante no extermínio da juventude negra, pobre e favelada.</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Mesmo com o fim da Ditadura Empresarial Militar, podemos dizer que permanecem estruturas institucionais da época, isto é, não houve uma efetiva transição para o Estado Democrático de Direito ou houve uma transição, como alguns autores sustentam, inacabada ou incompleta. Mesmo depois de anos, ainda pode ser observada uma descrença no aparato estatal, registra-se o aumento da criminalidade e, por conseguinte, da insegurança da população (Adorno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Bussinger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3). Segundo Mourão (2002),</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sociedade depara-se com reminiscências visíveis de formas autoritárias de relação do Estado e seus agentes com a população em geral. Não só os governos militares utilizaram a estratégia do silenciamento e do acobertamento de crimes contra os direitos humanos. Os governos posteriores, mesmo os eleitos pelo voto popular, também as vêm usando. (in Bussinger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2008, p. 3)</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40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Renata Gonçalves,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dinâmica de violência institucional é a que transforma os problemas sociais em questões de polícia. O Estado que se apresenta como a instância mantenedora do bem comum é o mesmo que criminaliza a pobreza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(Gonçalves, 2012, p. 10). Segundo Tosel (2009), esta violência “constitui um meio de repolitização repressiva que tende a limitar e neutralizar como violência bárbara qualquer ação de contestação da ordem estabelecida.” Este mesmo autor identifica neste processo uma “rebarbarização aprofundada pelo neoliberalismo produzindo um duplo efeito: excluir do campo político os subalternos e criminalizar a priori qualquer ação contra a violência institucionalizada do capital” (Gonçalves, 2012, p. 10). Ainda de acordo com Fischer (1985),</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está se consolidando a percepção popular de dois fenômenos sociais que atingem os direitos individuais, políticos e sociais do cidadão. São eles: o crescimento da criminalidade violenta nas áreas metropolitanas e o crescimento da arbitrariedade violenta no exercício do policiamento pelos órgãos do Estado dele encarregados, principalmente pela polícia militar que executa as atividades ostensivas de segurança nas cidades. (Gonçalves, 2012, p. 8)</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contexto, um fator complicador para a vivência da perda de um filho consiste na frequente violência contra o seu corpo. Muitas mortes cometidas por agentes do Estado ocorrem de forma violenta, como pelo uso de arma de fogo, de arma branca, por asfixia ou sufocamento, sinais de tortura, dentre outros. Estas mortes violentas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persistem na lembrança de cada mãe como uma morte não digna, aumentando a dor a cada momento e fazendo-a imaginar os instantes de sofrimento de seu filho a morrer clamando por ajuda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(Alarcão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4)</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Bussinger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o momento em que se recebe a informação da morte de seus filhos é capaz de provocar um intenso choque emocional, um conjunto de reações imediatas ao fato. Após essas primeiras emoções se inicia um longo processo de vivência da perda ou luto, que marca o início de mudanças de atitude em relação às suas vidas e às suas experiências. Assim, a perda é vivida com dor intensa pelas mães - são frequentes os sentimentos de tristeza, de angústia, injustiça, impotência, frustração, indignação, revolta, inconformismo, às vezes seguidos de um quadro de depressão e de intenções suicidas. Ademais, se mostra frequente os mais diversos processos de somatização, tais como: hipertensão, diabetes, perda de peso, alteração do sono, problemas cardíacos, dentre outros. O abalo emocional e a dor, muitas das vezes, vêm acompanhados de sofrimento físico, sentimento de um corpo ferido.</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Há de se notar também que o sofrimento introduz alterações, sejam temporárias, sejam permanentes, na dinâmica familiar, impactando nas relações entre os membros dessas famílias e dificultando o convívio (Bussinger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9). “Se a morte ocorre de maneira brusca e inesperada, é possível que o sentimento materno de perda irreparável se agrave, levando à não-aceitação, desorganização e impotência da mãe.” (Alarcão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2)</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 a maternidade a mãe incorpora a função de proteger, cuidar e garantir o bem estar físico, emocional e social do filho. A perda de um filho representa, para ela, fracasso em sua função materna. [...] Com o assassinato do filho vem a culpa pela crença de ter falhado em sua proteção, sentindo-se ela responsável pelo que aconteceu, por falhar no dever de cuidar. [...] A condenação, neste sentido, é também uma forma de diminuir a inevitável culpa que elas sentem pelo ocorrido. (Alarcão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2008, p. 6)</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mães sentem-se de tal forma violentadas em sua vivência afetiva e subjetiva” que a morte de seus filhos abala e modifica a compreensão do que elas entendem e compartilham sobre a função de ser mãe: criação dos filhos, crescimento e desenvolvimento. Isto envolve as escolhas tomadas, as expectativas geradas que permeavam essa educação de mãe para filho. Assim sendo, em alguma medida, acaba que estas mães se sentem responsabilizadas pelo ocorrido. </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força e a potência do grupo: mães que se uniram para enfrentar, juntas, o luto</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Pode-se dizer que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luta por justiça acaba por significar também a luta em defesa própria, na medida em que os filhos são o reflexo do exercício da maternidade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(Bussinger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12)</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assim, entre a dor que paralisa e aquela que leva à luta, a angústia e a alegria, as dificuldades e as possibilidades de ação seguem trilhando um caminho onde as mulheres vêm participando da vida pública, através de um lugar sempre entendido como pertencente ao âmbito da vida privada, a maternidade. Com isso, constroem um novo modelo de mãe, rompendo os limites do lar e implicando-se na transformação social. (Bussinger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2008, p. 12)</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Acquaviva e Isoldi (2002, p. 84), os jovens da periferia parecem mesmo “que são homens destinados a morrer, com vidas nuas, sem valor”, facilmente descartáveis e segundo André Tosel (2009), o estado de exceção se torna condição de sobrevivência neste que para muitos se tornou um não mundo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Gonçalves, 2012, p. 9).</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fundadora do Movimento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Mães de Maio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Débora Maria, relata:</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Cada mãe, cada familiar, sentia uma dor solitária e procurava respostas no isolamento causado, sobretudo, pelo desconforto da suspeita de que seus filhos fizessem parte de uma facção criminosa. [...] os jovens assassinados em maio de 2006 nas periferias paulistas apareciam todos nos grandes meios de comunicação como criminosos. [...] parecem criminalizados pelo simples fato de existirem. (Gonçalves, 2012, p. 8)</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Mães de Maio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um dos grandes exemplos de movimento construído a partir da dor e da transformação do luto em luta. Com a realidade da violência tão imbricada na vida das mães que perderam seus filhos, conseguiram se recriar nesta nova batalha por justiça e pela responsabilização dos atos de violência praticados. Inicialmente, é forte o sentimento de solidão dessas mães, que assumem a dor da perda sozinhas. Muitas vezes passam a não encontrar mais sentido em interagir socialmente e, consequentemente, reduzem seus vínculos, fragilizando suas relações (Bussinger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10). Para além da morte dos filhos e da impunidade dos assassinos, vivem todo um contexto de violência institucional, social, econômica, uma vez que se defrontam com situações relacionadas à justiça como inacessibilidade às autoridades e às informações sobre a resolução dos crimes.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dor passa a ser uma realidade eternamente presente nas vidas das mães.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(Alarcão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6)</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Ao fazerem-nos os relatos dessa época, as mães insistiam no quanto encontravam consolo na interação com outras pessoas que sentiam na pele aquela mesma dor e compartilhavam relatos sobre as moléstias físicas que as assolavam. Algumas delas simplesmente não resistiram à dor. [...] As que permaneciam no movimento pareciam estar à procura de uma maneira para elaborar a violência no cotidiano, incorporando o luto nas atividades do dia-a-dia. Lembravam constantemente que não havia substituto para a dor da perda, que não há forma de esquecer um filho. (Brites e Fonseca, 2013, p. 862)</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Faz-se importante colocar que cada mãe é diferente da outra e vivencia o processo de luto de maneira própria, singular e ao seu tempo. Não há como generalizar o tempo do luto, entendendo que há muitas variáveis que podem influenciar esse processo. Contudo, apesar da diversidade de maneiras de viver o luto, os relatos das Mães de Maio, em geral, expressam a dor 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sentimento de que lhe haviam arrancado o direito de ser mãe e esse era o ponto de convergência e de contato entre as mães. Era essa dor que as legitimavam para ir à luta e que, ao mesmo tempo, lhes afirmavam a certeza de que deveriam ser ouvidas por alguém. Afinal, falavam de sua dor e de sua indignação como… mães.”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(Gonçalves, 2012, p. 11)</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além do movimento das Mães de Maio, outros movimentos de mães (e familiares) também surgiram para reivindicar justiça pela morte de vítimas de chacinas e de outras modalidades de violência urbana. Somente no estado do Rio de Janeiro, o estado foco desta pesquisa, surgiram diversos movimentos, dentre eles, as Mães de Acari, Mães da Candelária, Mães de Vigário Geral e Mães da </w:t>
      </w:r>
      <w:r w:rsidDel="00000000" w:rsidR="00000000" w:rsidRPr="00000000">
        <w:rPr>
          <w:rFonts w:ascii="Times New Roman" w:cs="Times New Roman" w:eastAsia="Times New Roman" w:hAnsi="Times New Roman"/>
          <w:sz w:val="24"/>
          <w:szCs w:val="24"/>
          <w:rtl w:val="0"/>
        </w:rPr>
        <w:t xml:space="preserve">chacina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Baixada Fluminense e Mães de Manguinh</w:t>
      </w:r>
      <w:r w:rsidDel="00000000" w:rsidR="00000000" w:rsidRPr="00000000">
        <w:rPr>
          <w:rFonts w:ascii="Times New Roman" w:cs="Times New Roman" w:eastAsia="Times New Roman" w:hAnsi="Times New Roman"/>
          <w:sz w:val="24"/>
          <w:szCs w:val="24"/>
          <w:rtl w:val="0"/>
        </w:rPr>
        <w:t xml:space="preserve">os</w:t>
      </w: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associações, redes e grupos de mães surgem, desta maneira, “como um lugar no mundo, lugar que não é comparável a qualquer outro, face à sensação de deslocamento e desconforto provocados pela morte dos filhos. Uma vez integradas no grupo, as mães começam a construir relações de solidariedade, calcadas no reconhecimento mútuo. Mais do que uma bandeira de luta por justiça, a Associação tem a função de reunir pessoas outrora isoladas e incompreendidas. [...] A característica principal da Associação é, certamente, o acolhimento. (Bussinger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2008, p. 10)</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Importante ressaltar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 famílias acometidas pela violência não estão tendo assistência adequada, não têm o apoio necessário para o enfrentamento de tamanha tragédia, que pode atingir de forma negativa sua vida pessoal, familiar e social.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(Alarcão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p. 4)</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Daí a enorme importância do fortalecimento das redes de apoio em suas mais diversas áreas - saúde, social, segurança, judicial - para os que vivenciam as perdas. Ainda há muitos desafios e muito caminho a ser percorrido de forma a possibilitar, ao menos, o enfrentamento da morte com dignidade e respeito.  Estes movimentos trazem em sua raiz a árdua tarefa de ir na direção contrária das arbitrariedades praticadas pelo Estado, resistindo ao descaso e ao abandono do que é público. Continuam insistindo em encontrar soluções para a diminuição da criminalidade urbana e, principalmente, em denunciar a violência cometida pela polícia e a ineficiência do sistema de justiça. As mães devem ser ouvidas e acolhidas, pensando na urgente necessidade de que se criem e se implementem políticas públicas voltadas à juventude negra e moradora das favelas.</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que tange à Polícia Militar, há vários posicionamentos – alguns sustentam que a referida instituição deveria ser extinta, outros que a polícia deveria ser desmilitarizada e outros reformada. Na opinião de muitos, inclusive, a Polícia Militar pode ser considerada como uma espécie de reminiscência da Ditadura Empresarial Militar.</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Permanece a luta, nem que seja pelos outros filhos, pelos filhos de outras mães, para que não se esqueça, para que nunca mais aconteça. Almeja-se uma sociedade na qual nenhuma outra mãe tenha de passar pela mesma dor do luto. Esta busca por justiça se transforma também em um incentivador, um motivo para continuar (sobre)vivendo e resistindo.</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bf8f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bf8f00"/>
          <w:sz w:val="24"/>
          <w:szCs w:val="24"/>
          <w:u w:val="none"/>
          <w:shd w:fill="auto" w:val="clear"/>
          <w:vertAlign w:val="baseline"/>
          <w:rtl w:val="0"/>
        </w:rPr>
        <w:tab/>
      </w:r>
    </w:p>
    <w:p w:rsidR="00000000" w:rsidDel="00000000" w:rsidP="00000000" w:rsidRDefault="00000000" w:rsidRPr="00000000" w14:paraId="00000346">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Considerações finais</w:t>
      </w:r>
    </w:p>
    <w:p w:rsidR="00000000" w:rsidDel="00000000" w:rsidP="00000000" w:rsidRDefault="00000000" w:rsidRPr="00000000" w14:paraId="00000347">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4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Ao longo do estudo e da elaboração do presente artigo, que possui como foco a perspectiva das mães de filhos que foram vítimas da violência estatal e a transformação desse luto em um movimento pela memória deles, pela verdade de suas mortes, por uma efetiva justiça e pela alteração das estruturas do Estado que perpetuam as constantes violações aos seus direitos, chega-se à conclusão de que é impreterível que se assuma um compromisso de resistir aos fatos ditos imutáveis que nos são dados, estas verdades absolutas que são declaradas. É preciso construir uma alternativa que afaste todo tipo de naturalização de uma ideologia, qualquer que seja, de encontro a uma concepção histórica, contextualizada, como diz Flores (2009), impura e contaminada por contexto, concreta acerca da realidade dos direitos humanos.</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Os direitos humanos, portanto, devem se valer para aumentar a potência e capacidade dos indivíduos atuarem no mundo. Caso se entenda que os direitos humanos são naturalmente concedidos, predeterminados, imutáveis, transcendentais, independentes de nossas ações sociais, estamos dando um passo atrás e assumindo uma atitude conformada frente a esse mundo, onde impera um sistema absolutamente desigual e excludente. É preciso que se adote uma postura proativa, de enfrentamento e reflexão crítica acerca do </w:t>
      </w:r>
      <w:r w:rsidDel="00000000" w:rsidR="00000000" w:rsidRPr="00000000">
        <w:rPr>
          <w:rFonts w:ascii="Times New Roman" w:cs="Times New Roman" w:eastAsia="Times New Roman" w:hAnsi="Times New Roman"/>
          <w:sz w:val="24"/>
          <w:szCs w:val="24"/>
          <w:rtl w:val="0"/>
        </w:rPr>
        <w:t xml:space="preserve">que a sociedade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sonhou em construir para nós e para as próximas gerações. O Direito, com toda sua ambiguidade, é frequentemente utilizado para a manutenção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status quo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porém, em minha concepção, deve ser um instrumento de luta e de transformação da realidade.</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mortos têm voz e parte-se do pressuposto de que se deve adotar uma compreensão de mundo que leve em consideração e, inclusive, privilegie a versão e a história contada pela vítima, pelos marginalizados, oprimidos e vencidos. Nas sábias palavras de Negreiros (2014):</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Estado Oligárquico de Direito é organizado fundamentalmente a partir da noção de margem. Quem está pra além da margem – ou para além da ponte, como se fala na periferia, para além dos rios que dividem a cidade – não é um cidadão desse Estado. Ele não é ninguém, não tem nenhum direito. E é por isso que ele pode ser morto. E é por isso que, quando ele é morto, ninguém liga. Porque Quem foi morto não é ninguém. Ou, se quisermos, podemos inverter a proposição: ninguém foi morto. (Negreiros, 2014)</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Desta maneira, as mães que militam para ressignificar a memória de seus filhos, assassinados pela violência estatal, inspiração deste artigo, são símbolo de resistência. Todos os dias essas mães acordam e, em meio a toda dor da perda de um filho, imensurável e impossível de colocar em palavras, vão ao sistema de justiça ou às ruas, reivindicar e lutar por memória, verdade e justiça.</w:t>
      </w:r>
    </w:p>
    <w:p w:rsidR="00000000" w:rsidDel="00000000" w:rsidP="00000000" w:rsidRDefault="00000000" w:rsidRPr="00000000" w14:paraId="0000034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0">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351">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ADORNO, Sérgio. </w:t>
      </w:r>
      <w:r w:rsidDel="00000000" w:rsidR="00000000" w:rsidRPr="00000000">
        <w:rPr>
          <w:rFonts w:ascii="Times New Roman" w:cs="Times New Roman" w:eastAsia="Times New Roman" w:hAnsi="Times New Roman"/>
          <w:b w:val="1"/>
          <w:sz w:val="24"/>
          <w:szCs w:val="24"/>
          <w:rtl w:val="0"/>
        </w:rPr>
        <w:t xml:space="preserve">História e Desventura:</w:t>
      </w:r>
      <w:r w:rsidDel="00000000" w:rsidR="00000000" w:rsidRPr="00000000">
        <w:rPr>
          <w:rFonts w:ascii="Times New Roman" w:cs="Times New Roman" w:eastAsia="Times New Roman" w:hAnsi="Times New Roman"/>
          <w:sz w:val="24"/>
          <w:szCs w:val="24"/>
          <w:rtl w:val="0"/>
        </w:rPr>
        <w:t xml:space="preserve"> o 3º Programa Nacional de Direitos Humanos. Novos Estudos, n. 86. Março de 2010.</w:t>
      </w:r>
    </w:p>
    <w:p w:rsidR="00000000" w:rsidDel="00000000" w:rsidP="00000000" w:rsidRDefault="00000000" w:rsidRPr="00000000" w14:paraId="000003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AGAMBEN, Giorgio. </w:t>
      </w:r>
      <w:r w:rsidDel="00000000" w:rsidR="00000000" w:rsidRPr="00000000">
        <w:rPr>
          <w:rFonts w:ascii="Times New Roman" w:cs="Times New Roman" w:eastAsia="Times New Roman" w:hAnsi="Times New Roman"/>
          <w:b w:val="1"/>
          <w:sz w:val="24"/>
          <w:szCs w:val="24"/>
          <w:rtl w:val="0"/>
        </w:rPr>
        <w:t xml:space="preserve">Estado de Exceção</w:t>
      </w:r>
      <w:r w:rsidDel="00000000" w:rsidR="00000000" w:rsidRPr="00000000">
        <w:rPr>
          <w:rFonts w:ascii="Times New Roman" w:cs="Times New Roman" w:eastAsia="Times New Roman" w:hAnsi="Times New Roman"/>
          <w:sz w:val="24"/>
          <w:szCs w:val="24"/>
          <w:rtl w:val="0"/>
        </w:rPr>
        <w:t xml:space="preserve">. Tradução de Iraci D. Poleti. 2ª ed. São Paulo: Boitempo, 2004.</w:t>
      </w:r>
    </w:p>
    <w:p w:rsidR="00000000" w:rsidDel="00000000" w:rsidP="00000000" w:rsidRDefault="00000000" w:rsidRPr="00000000" w14:paraId="0000035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ALARCÃO, Ana Carolina Jacinto; CARVALHO, Maria Dalva de Barros e PELLOSO, Sandra Marisa. </w:t>
      </w:r>
      <w:r w:rsidDel="00000000" w:rsidR="00000000" w:rsidRPr="00000000">
        <w:rPr>
          <w:rFonts w:ascii="Times New Roman" w:cs="Times New Roman" w:eastAsia="Times New Roman" w:hAnsi="Times New Roman"/>
          <w:b w:val="1"/>
          <w:sz w:val="24"/>
          <w:szCs w:val="24"/>
          <w:rtl w:val="0"/>
        </w:rPr>
        <w:t xml:space="preserve">A morte de um filho jovem em circunstância violenta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compreendendo a vivência da mãe. São Paulo: Revista Latinoamericana de Enfermagem, v. 16, n. 3, 2008.</w:t>
      </w:r>
    </w:p>
    <w:p w:rsidR="00000000" w:rsidDel="00000000" w:rsidP="00000000" w:rsidRDefault="00000000" w:rsidRPr="00000000" w14:paraId="000003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ANISTIA INTERNACIONAL BRASIL. </w:t>
      </w:r>
      <w:r w:rsidDel="00000000" w:rsidR="00000000" w:rsidRPr="00000000">
        <w:rPr>
          <w:rFonts w:ascii="Times New Roman" w:cs="Times New Roman" w:eastAsia="Times New Roman" w:hAnsi="Times New Roman"/>
          <w:b w:val="1"/>
          <w:sz w:val="24"/>
          <w:szCs w:val="24"/>
          <w:rtl w:val="0"/>
        </w:rPr>
        <w:t xml:space="preserve">Anistia Internacional – Informe 2015/2016</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Anistia Internacional Brasil. 2016. Disponível em: &lt;https://anistia.org.br/wp-content/uploads/2016/02/Informe2016_Final_Web-1.pdf&gt;. Acesso em: 13 de maio de 2019.</w:t>
      </w:r>
    </w:p>
    <w:p w:rsidR="00000000" w:rsidDel="00000000" w:rsidP="00000000" w:rsidRDefault="00000000" w:rsidRPr="00000000" w14:paraId="000003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 </w:t>
      </w:r>
      <w:r w:rsidDel="00000000" w:rsidR="00000000" w:rsidRPr="00000000">
        <w:rPr>
          <w:rFonts w:ascii="Times New Roman" w:cs="Times New Roman" w:eastAsia="Times New Roman" w:hAnsi="Times New Roman"/>
          <w:i w:val="1"/>
          <w:sz w:val="24"/>
          <w:szCs w:val="24"/>
          <w:rtl w:val="0"/>
        </w:rPr>
        <w:t xml:space="preserve">Você matou meu filho!:</w:t>
      </w:r>
      <w:r w:rsidDel="00000000" w:rsidR="00000000" w:rsidRPr="00000000">
        <w:rPr>
          <w:rFonts w:ascii="Times New Roman" w:cs="Times New Roman" w:eastAsia="Times New Roman" w:hAnsi="Times New Roman"/>
          <w:sz w:val="24"/>
          <w:szCs w:val="24"/>
          <w:rtl w:val="0"/>
        </w:rPr>
        <w:t xml:space="preserve"> homicídios cometidos pela polícia militar na cidade do Rio de Janeiro. Rio de Janeiro: Anistia Internacional. 2015.</w:t>
      </w:r>
    </w:p>
    <w:p w:rsidR="00000000" w:rsidDel="00000000" w:rsidP="00000000" w:rsidRDefault="00000000" w:rsidRPr="00000000" w14:paraId="000003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AVILEZ, Erik Magalhães de. </w:t>
      </w:r>
      <w:r w:rsidDel="00000000" w:rsidR="00000000" w:rsidRPr="00000000">
        <w:rPr>
          <w:rFonts w:ascii="Times New Roman" w:cs="Times New Roman" w:eastAsia="Times New Roman" w:hAnsi="Times New Roman"/>
          <w:b w:val="1"/>
          <w:sz w:val="24"/>
          <w:szCs w:val="24"/>
          <w:rtl w:val="0"/>
        </w:rPr>
        <w:t xml:space="preserve">Flores Mudas:</w:t>
      </w:r>
      <w:r w:rsidDel="00000000" w:rsidR="00000000" w:rsidRPr="00000000">
        <w:rPr>
          <w:rFonts w:ascii="Times New Roman" w:cs="Times New Roman" w:eastAsia="Times New Roman" w:hAnsi="Times New Roman"/>
          <w:sz w:val="24"/>
          <w:szCs w:val="24"/>
          <w:rtl w:val="0"/>
        </w:rPr>
        <w:t xml:space="preserve"> Uma análise da influência da ditadura anistiada nas estruturas das violências estatais no Brasil. Dissertação – Mestrado em Políticas Públicas em Direitos Humanos, Núcleo de Estudos em Políticas Públicas em Direitos Humanos, Universidade Federal do Rio de Janeiro, Rio de Janeiro, 2018.</w:t>
      </w:r>
    </w:p>
    <w:p w:rsidR="00000000" w:rsidDel="00000000" w:rsidP="00000000" w:rsidRDefault="00000000" w:rsidRPr="00000000" w14:paraId="000003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BENJAMIN, Walter. </w:t>
      </w:r>
      <w:r w:rsidDel="00000000" w:rsidR="00000000" w:rsidRPr="00000000">
        <w:rPr>
          <w:rFonts w:ascii="Times New Roman" w:cs="Times New Roman" w:eastAsia="Times New Roman" w:hAnsi="Times New Roman"/>
          <w:b w:val="1"/>
          <w:sz w:val="24"/>
          <w:szCs w:val="24"/>
          <w:rtl w:val="0"/>
        </w:rPr>
        <w:t xml:space="preserve">O conceito de história.</w:t>
      </w:r>
      <w:r w:rsidDel="00000000" w:rsidR="00000000" w:rsidRPr="00000000">
        <w:rPr>
          <w:rFonts w:ascii="Times New Roman" w:cs="Times New Roman" w:eastAsia="Times New Roman" w:hAnsi="Times New Roman"/>
          <w:sz w:val="24"/>
          <w:szCs w:val="24"/>
          <w:rtl w:val="0"/>
        </w:rPr>
        <w:t xml:space="preserve"> In: Magia e técnica, arte e política: ensaios sobre literatura e história da cultura. São Paulo: Brasiliense. 1994.</w:t>
      </w:r>
    </w:p>
    <w:p w:rsidR="00000000" w:rsidDel="00000000" w:rsidP="00000000" w:rsidRDefault="00000000" w:rsidRPr="00000000" w14:paraId="0000035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BRITES, Jurema e FONSECA, Cláudia. </w:t>
      </w:r>
      <w:r w:rsidDel="00000000" w:rsidR="00000000" w:rsidRPr="00000000">
        <w:rPr>
          <w:rFonts w:ascii="Times New Roman" w:cs="Times New Roman" w:eastAsia="Times New Roman" w:hAnsi="Times New Roman"/>
          <w:b w:val="1"/>
          <w:sz w:val="24"/>
          <w:szCs w:val="24"/>
          <w:rtl w:val="0"/>
        </w:rPr>
        <w:t xml:space="preserve">As metamorfoses de um movimento social:</w:t>
      </w:r>
      <w:r w:rsidDel="00000000" w:rsidR="00000000" w:rsidRPr="00000000">
        <w:rPr>
          <w:rFonts w:ascii="Times New Roman" w:cs="Times New Roman" w:eastAsia="Times New Roman" w:hAnsi="Times New Roman"/>
          <w:sz w:val="24"/>
          <w:szCs w:val="24"/>
          <w:rtl w:val="0"/>
        </w:rPr>
        <w:t xml:space="preserve"> mães de vítimas de violência no Brasil. Análise Social, 209, XLVIII (4º), 2013.</w:t>
      </w:r>
    </w:p>
    <w:p w:rsidR="00000000" w:rsidDel="00000000" w:rsidP="00000000" w:rsidRDefault="00000000" w:rsidRPr="00000000" w14:paraId="000003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BUSSINGER, Rebeca e NOVO, Helerina. </w:t>
      </w:r>
      <w:r w:rsidDel="00000000" w:rsidR="00000000" w:rsidRPr="00000000">
        <w:rPr>
          <w:rFonts w:ascii="Times New Roman" w:cs="Times New Roman" w:eastAsia="Times New Roman" w:hAnsi="Times New Roman"/>
          <w:b w:val="1"/>
          <w:sz w:val="24"/>
          <w:szCs w:val="24"/>
          <w:rtl w:val="0"/>
        </w:rPr>
        <w:t xml:space="preserve">Trajetória de vítimas da violência:</w:t>
      </w:r>
      <w:r w:rsidDel="00000000" w:rsidR="00000000" w:rsidRPr="00000000">
        <w:rPr>
          <w:rFonts w:ascii="Times New Roman" w:cs="Times New Roman" w:eastAsia="Times New Roman" w:hAnsi="Times New Roman"/>
          <w:sz w:val="24"/>
          <w:szCs w:val="24"/>
          <w:rtl w:val="0"/>
        </w:rPr>
        <w:t xml:space="preserve"> dor e solidariedade entre mães de uma associação do Espírito Santo. Psicologia Política, v. 8, n. 15, p. 107-120, 2008.</w:t>
      </w:r>
    </w:p>
    <w:p w:rsidR="00000000" w:rsidDel="00000000" w:rsidP="00000000" w:rsidRDefault="00000000" w:rsidRPr="00000000" w14:paraId="000003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CARNEIRO, Sueli. </w:t>
      </w:r>
      <w:r w:rsidDel="00000000" w:rsidR="00000000" w:rsidRPr="00000000">
        <w:rPr>
          <w:rFonts w:ascii="Times New Roman" w:cs="Times New Roman" w:eastAsia="Times New Roman" w:hAnsi="Times New Roman"/>
          <w:b w:val="1"/>
          <w:sz w:val="24"/>
          <w:szCs w:val="24"/>
          <w:rtl w:val="0"/>
        </w:rPr>
        <w:t xml:space="preserve">Mulheres em Movimento</w:t>
      </w:r>
      <w:r w:rsidDel="00000000" w:rsidR="00000000" w:rsidRPr="00000000">
        <w:rPr>
          <w:rFonts w:ascii="Times New Roman" w:cs="Times New Roman" w:eastAsia="Times New Roman" w:hAnsi="Times New Roman"/>
          <w:sz w:val="24"/>
          <w:szCs w:val="24"/>
          <w:rtl w:val="0"/>
        </w:rPr>
        <w:t xml:space="preserve">. Estudos Avançados: São Paulo, n. 49, v. 17, 2003.</w:t>
      </w:r>
    </w:p>
    <w:p w:rsidR="00000000" w:rsidDel="00000000" w:rsidP="00000000" w:rsidRDefault="00000000" w:rsidRPr="00000000" w14:paraId="0000036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CERQUEIRA, Daniel Ricardo de Castro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Atlas da violência 2017</w:t>
      </w:r>
      <w:r w:rsidDel="00000000" w:rsidR="00000000" w:rsidRPr="00000000">
        <w:rPr>
          <w:rFonts w:ascii="Times New Roman" w:cs="Times New Roman" w:eastAsia="Times New Roman" w:hAnsi="Times New Roman"/>
          <w:sz w:val="24"/>
          <w:szCs w:val="24"/>
          <w:rtl w:val="0"/>
        </w:rPr>
        <w:t xml:space="preserve">. Rio de Janeiro: IPEA e FBSP, 2017.</w:t>
      </w:r>
    </w:p>
    <w:p w:rsidR="00000000" w:rsidDel="00000000" w:rsidP="00000000" w:rsidRDefault="00000000" w:rsidRPr="00000000" w14:paraId="000003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COLLINS, Patricia Hill. </w:t>
      </w:r>
      <w:r w:rsidDel="00000000" w:rsidR="00000000" w:rsidRPr="00000000">
        <w:rPr>
          <w:rFonts w:ascii="Times New Roman" w:cs="Times New Roman" w:eastAsia="Times New Roman" w:hAnsi="Times New Roman"/>
          <w:b w:val="1"/>
          <w:sz w:val="24"/>
          <w:szCs w:val="24"/>
          <w:rtl w:val="0"/>
        </w:rPr>
        <w:t xml:space="preserve">Aprendendo com a outsider </w:t>
      </w:r>
      <w:r w:rsidDel="00000000" w:rsidR="00000000" w:rsidRPr="00000000">
        <w:rPr>
          <w:rFonts w:ascii="Times New Roman" w:cs="Times New Roman" w:eastAsia="Times New Roman" w:hAnsi="Times New Roman"/>
          <w:b w:val="1"/>
          <w:i w:val="1"/>
          <w:sz w:val="24"/>
          <w:szCs w:val="24"/>
          <w:rtl w:val="0"/>
        </w:rPr>
        <w:t xml:space="preserve">whiting</w:t>
      </w:r>
      <w:r w:rsidDel="00000000" w:rsidR="00000000" w:rsidRPr="00000000">
        <w:rPr>
          <w:rFonts w:ascii="Times New Roman" w:cs="Times New Roman" w:eastAsia="Times New Roman" w:hAnsi="Times New Roman"/>
          <w:sz w:val="24"/>
          <w:szCs w:val="24"/>
          <w:rtl w:val="0"/>
        </w:rPr>
        <w:t xml:space="preserve">: significação sociológica do pensamento feminista negro. Revista Sociedade e Estado, nº 1, v. 31, 2016. Disponível em: &lt;http://www.scielo.br/pdf/se/v31n1/0102-6992-se-31-01-00099.pdf&gt;. Acesso em: 29 de julho de 2018.</w:t>
      </w:r>
    </w:p>
    <w:p w:rsidR="00000000" w:rsidDel="00000000" w:rsidP="00000000" w:rsidRDefault="00000000" w:rsidRPr="00000000" w14:paraId="000003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 BILGE, Sirma. </w:t>
      </w:r>
      <w:r w:rsidDel="00000000" w:rsidR="00000000" w:rsidRPr="00000000">
        <w:rPr>
          <w:rFonts w:ascii="Times New Roman" w:cs="Times New Roman" w:eastAsia="Times New Roman" w:hAnsi="Times New Roman"/>
          <w:b w:val="1"/>
          <w:sz w:val="24"/>
          <w:szCs w:val="24"/>
          <w:rtl w:val="0"/>
        </w:rPr>
        <w:t xml:space="preserve">Intersectionality</w:t>
      </w:r>
      <w:r w:rsidDel="00000000" w:rsidR="00000000" w:rsidRPr="00000000">
        <w:rPr>
          <w:rFonts w:ascii="Times New Roman" w:cs="Times New Roman" w:eastAsia="Times New Roman" w:hAnsi="Times New Roman"/>
          <w:sz w:val="24"/>
          <w:szCs w:val="24"/>
          <w:rtl w:val="0"/>
        </w:rPr>
        <w:t xml:space="preserve">. Polity Press, Cambridge, lª Edição, 2016.</w:t>
      </w:r>
    </w:p>
    <w:p w:rsidR="00000000" w:rsidDel="00000000" w:rsidP="00000000" w:rsidRDefault="00000000" w:rsidRPr="00000000" w14:paraId="000003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 </w:t>
      </w:r>
      <w:r w:rsidDel="00000000" w:rsidR="00000000" w:rsidRPr="00000000">
        <w:rPr>
          <w:rFonts w:ascii="Times New Roman" w:cs="Times New Roman" w:eastAsia="Times New Roman" w:hAnsi="Times New Roman"/>
          <w:b w:val="1"/>
          <w:sz w:val="24"/>
          <w:szCs w:val="24"/>
          <w:rtl w:val="0"/>
        </w:rPr>
        <w:t xml:space="preserve">Se perdeu na tradução?</w:t>
      </w:r>
      <w:r w:rsidDel="00000000" w:rsidR="00000000" w:rsidRPr="00000000">
        <w:rPr>
          <w:rFonts w:ascii="Times New Roman" w:cs="Times New Roman" w:eastAsia="Times New Roman" w:hAnsi="Times New Roman"/>
          <w:sz w:val="24"/>
          <w:szCs w:val="24"/>
          <w:rtl w:val="0"/>
        </w:rPr>
        <w:t xml:space="preserve"> Feminismo negro, interseccionalidade e política emancipatória. Dossiê. Parágrafo, v. 5, n. 1, Jan/Jun de 2017. Tradução Bianca Santana.</w:t>
      </w:r>
    </w:p>
    <w:p w:rsidR="00000000" w:rsidDel="00000000" w:rsidP="00000000" w:rsidRDefault="00000000" w:rsidRPr="00000000" w14:paraId="000003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CRENSHAW, Kimberlé. </w:t>
      </w:r>
      <w:r w:rsidDel="00000000" w:rsidR="00000000" w:rsidRPr="00000000">
        <w:rPr>
          <w:rFonts w:ascii="Times New Roman" w:cs="Times New Roman" w:eastAsia="Times New Roman" w:hAnsi="Times New Roman"/>
          <w:b w:val="1"/>
          <w:sz w:val="24"/>
          <w:szCs w:val="24"/>
          <w:rtl w:val="0"/>
        </w:rPr>
        <w:t xml:space="preserve">Documento para o encontro de especialistas em aspectos da discriminação racial relativos ao gênero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Revista Estudos Feministas, 2002.</w:t>
      </w:r>
    </w:p>
    <w:p w:rsidR="00000000" w:rsidDel="00000000" w:rsidP="00000000" w:rsidRDefault="00000000" w:rsidRPr="00000000" w14:paraId="000003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DEFENSORIA PÚBLICA DA UNIÃO E DEFENSORIA PÚBLICA DO ESTADO DO RIO DE JANEIRO. </w:t>
      </w:r>
      <w:r w:rsidDel="00000000" w:rsidR="00000000" w:rsidRPr="00000000">
        <w:rPr>
          <w:rFonts w:ascii="Times New Roman" w:cs="Times New Roman" w:eastAsia="Times New Roman" w:hAnsi="Times New Roman"/>
          <w:b w:val="1"/>
          <w:sz w:val="24"/>
          <w:szCs w:val="24"/>
          <w:rtl w:val="0"/>
        </w:rPr>
        <w:t xml:space="preserve">Relatório 2018 Circuito de Favelas por Direitos</w:t>
      </w:r>
      <w:r w:rsidDel="00000000" w:rsidR="00000000" w:rsidRPr="00000000">
        <w:rPr>
          <w:rFonts w:ascii="Times New Roman" w:cs="Times New Roman" w:eastAsia="Times New Roman" w:hAnsi="Times New Roman"/>
          <w:sz w:val="24"/>
          <w:szCs w:val="24"/>
          <w:rtl w:val="0"/>
        </w:rPr>
        <w:t xml:space="preserve">. Rio de Janeiro. 2018.</w:t>
      </w:r>
    </w:p>
    <w:p w:rsidR="00000000" w:rsidDel="00000000" w:rsidP="00000000" w:rsidRDefault="00000000" w:rsidRPr="00000000" w14:paraId="000003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D´ELIA FILHO, Orlando Zaccone. </w:t>
      </w:r>
      <w:r w:rsidDel="00000000" w:rsidR="00000000" w:rsidRPr="00000000">
        <w:rPr>
          <w:rFonts w:ascii="Times New Roman" w:cs="Times New Roman" w:eastAsia="Times New Roman" w:hAnsi="Times New Roman"/>
          <w:b w:val="1"/>
          <w:sz w:val="24"/>
          <w:szCs w:val="24"/>
          <w:rtl w:val="0"/>
        </w:rPr>
        <w:t xml:space="preserve">Indignos de vida</w:t>
      </w:r>
      <w:r w:rsidDel="00000000" w:rsidR="00000000" w:rsidRPr="00000000">
        <w:rPr>
          <w:rFonts w:ascii="Times New Roman" w:cs="Times New Roman" w:eastAsia="Times New Roman" w:hAnsi="Times New Roman"/>
          <w:sz w:val="24"/>
          <w:szCs w:val="24"/>
          <w:rtl w:val="0"/>
        </w:rPr>
        <w:t xml:space="preserve">: a forma jurídica da política de extermínio de inimigos na cidade do Rio de Janeiro. Rio de Janeiro: Revan, 2015.</w:t>
      </w:r>
    </w:p>
    <w:p w:rsidR="00000000" w:rsidDel="00000000" w:rsidP="00000000" w:rsidRDefault="00000000" w:rsidRPr="00000000" w14:paraId="000003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Joaquín Herrera. </w:t>
      </w:r>
      <w:r w:rsidDel="00000000" w:rsidR="00000000" w:rsidRPr="00000000">
        <w:rPr>
          <w:rFonts w:ascii="Times New Roman" w:cs="Times New Roman" w:eastAsia="Times New Roman" w:hAnsi="Times New Roman"/>
          <w:b w:val="1"/>
          <w:sz w:val="24"/>
          <w:szCs w:val="24"/>
          <w:rtl w:val="0"/>
        </w:rPr>
        <w:t xml:space="preserve">A reinvenção dos direitos humanos</w:t>
      </w:r>
      <w:r w:rsidDel="00000000" w:rsidR="00000000" w:rsidRPr="00000000">
        <w:rPr>
          <w:rFonts w:ascii="Times New Roman" w:cs="Times New Roman" w:eastAsia="Times New Roman" w:hAnsi="Times New Roman"/>
          <w:sz w:val="24"/>
          <w:szCs w:val="24"/>
          <w:rtl w:val="0"/>
        </w:rPr>
        <w:t xml:space="preserve">. Tradução de Carlos Roberto Diogo Garcia; Antônio Henrique Graciano Suxberger; Jefferson Aparecido Dias. Florianópolis: Fundação Boiteux, 2009.</w:t>
      </w:r>
    </w:p>
    <w:p w:rsidR="00000000" w:rsidDel="00000000" w:rsidP="00000000" w:rsidRDefault="00000000" w:rsidRPr="00000000" w14:paraId="000003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FRANCO, Marielle. </w:t>
      </w:r>
      <w:r w:rsidDel="00000000" w:rsidR="00000000" w:rsidRPr="00000000">
        <w:rPr>
          <w:rFonts w:ascii="Times New Roman" w:cs="Times New Roman" w:eastAsia="Times New Roman" w:hAnsi="Times New Roman"/>
          <w:b w:val="1"/>
          <w:sz w:val="24"/>
          <w:szCs w:val="24"/>
          <w:rtl w:val="0"/>
        </w:rPr>
        <w:t xml:space="preserve">UPP – A redução da favela a três letras</w:t>
      </w:r>
      <w:r w:rsidDel="00000000" w:rsidR="00000000" w:rsidRPr="00000000">
        <w:rPr>
          <w:rFonts w:ascii="Times New Roman" w:cs="Times New Roman" w:eastAsia="Times New Roman" w:hAnsi="Times New Roman"/>
          <w:sz w:val="24"/>
          <w:szCs w:val="24"/>
          <w:rtl w:val="0"/>
        </w:rPr>
        <w:t xml:space="preserve">: uma análise da política de segurança pública do estado do Rio de Janeiro. Dissertação – Mestrado em Administração, Universidade Federal Fluminense, Rio de Janeiro, 2014.</w:t>
      </w:r>
    </w:p>
    <w:p w:rsidR="00000000" w:rsidDel="00000000" w:rsidP="00000000" w:rsidRDefault="00000000" w:rsidRPr="00000000" w14:paraId="000003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FREIRE, Jussara; FERREIRA, Diogo da Cruz; SOARES, Viviany F. M S.; SANTOS, Tayná. </w:t>
      </w:r>
      <w:r w:rsidDel="00000000" w:rsidR="00000000" w:rsidRPr="00000000">
        <w:rPr>
          <w:rFonts w:ascii="Times New Roman" w:cs="Times New Roman" w:eastAsia="Times New Roman" w:hAnsi="Times New Roman"/>
          <w:b w:val="1"/>
          <w:sz w:val="24"/>
          <w:szCs w:val="24"/>
          <w:rtl w:val="0"/>
        </w:rPr>
        <w:t xml:space="preserve">“Violência urbana” e experiências públicas de familiares de vítimas “no interior” do estado do Rio de Janeiro</w:t>
      </w:r>
      <w:r w:rsidDel="00000000" w:rsidR="00000000" w:rsidRPr="00000000">
        <w:rPr>
          <w:rFonts w:ascii="Times New Roman" w:cs="Times New Roman" w:eastAsia="Times New Roman" w:hAnsi="Times New Roman"/>
          <w:sz w:val="24"/>
          <w:szCs w:val="24"/>
          <w:rtl w:val="0"/>
        </w:rPr>
        <w:t xml:space="preserve">. Sociabilidades Urbanas - Revistas de Antropologia e Sociologia, v. 1, n. 2, p. 165-185, 2017.</w:t>
      </w:r>
    </w:p>
    <w:p w:rsidR="00000000" w:rsidDel="00000000" w:rsidP="00000000" w:rsidRDefault="00000000" w:rsidRPr="00000000" w14:paraId="000003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RIO. </w:t>
      </w:r>
      <w:r w:rsidDel="00000000" w:rsidR="00000000" w:rsidRPr="00000000">
        <w:rPr>
          <w:rFonts w:ascii="Times New Roman" w:cs="Times New Roman" w:eastAsia="Times New Roman" w:hAnsi="Times New Roman"/>
          <w:b w:val="1"/>
          <w:sz w:val="24"/>
          <w:szCs w:val="24"/>
          <w:rtl w:val="0"/>
        </w:rPr>
        <w:t xml:space="preserve">#MapaDoCrime</w:t>
      </w:r>
      <w:r w:rsidDel="00000000" w:rsidR="00000000" w:rsidRPr="00000000">
        <w:rPr>
          <w:rFonts w:ascii="Times New Roman" w:cs="Times New Roman" w:eastAsia="Times New Roman" w:hAnsi="Times New Roman"/>
          <w:sz w:val="24"/>
          <w:szCs w:val="24"/>
          <w:rtl w:val="0"/>
        </w:rPr>
        <w:t xml:space="preserve">: casos de mortos em intervenções policiais crescem 60%; mortes de policiais também preocupam: Delegacias das zonas Norte e Oeste registraram aumento no número de homicídios por intervenção policial. Rotina de PMs muda diante de violência contra militares. Uma morte de PM é registrada a cada 2 dias. 2017. Disponível em: &lt;http://g1.globo.com/rio-de-janeiro/noticia/mapadocrime-casos-de-mortos-em-intervencoes-policiais-crescem-60-mortes-de-policiais-tambem-preocupam.html&gt;. Acesso em: 13 de maio de 2019.</w:t>
      </w:r>
    </w:p>
    <w:p w:rsidR="00000000" w:rsidDel="00000000" w:rsidP="00000000" w:rsidRDefault="00000000" w:rsidRPr="00000000" w14:paraId="000003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GLOBO NEWS. </w:t>
      </w:r>
      <w:r w:rsidDel="00000000" w:rsidR="00000000" w:rsidRPr="00000000">
        <w:rPr>
          <w:rFonts w:ascii="Times New Roman" w:cs="Times New Roman" w:eastAsia="Times New Roman" w:hAnsi="Times New Roman"/>
          <w:b w:val="1"/>
          <w:sz w:val="24"/>
          <w:szCs w:val="24"/>
          <w:rtl w:val="0"/>
        </w:rPr>
        <w:t xml:space="preserve">Força policial brasileira é a que mais mata no mundo, diz relatório</w:t>
      </w:r>
      <w:r w:rsidDel="00000000" w:rsidR="00000000" w:rsidRPr="00000000">
        <w:rPr>
          <w:rFonts w:ascii="Times New Roman" w:cs="Times New Roman" w:eastAsia="Times New Roman" w:hAnsi="Times New Roman"/>
          <w:sz w:val="24"/>
          <w:szCs w:val="24"/>
          <w:rtl w:val="0"/>
        </w:rPr>
        <w:t xml:space="preserve">. 2015. Disponível em: &lt;http://g1.globo.com/globo-news/noticia/2015/09/forca-policial-brasileira-e-que-mais-mata-no-mundo-diz-relatorio.html&gt;. Acesso em: 10 de maio de 2019.</w:t>
      </w:r>
    </w:p>
    <w:p w:rsidR="00000000" w:rsidDel="00000000" w:rsidP="00000000" w:rsidRDefault="00000000" w:rsidRPr="00000000" w14:paraId="000003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GÓMEZ, José María. </w:t>
      </w:r>
      <w:r w:rsidDel="00000000" w:rsidR="00000000" w:rsidRPr="00000000">
        <w:rPr>
          <w:rFonts w:ascii="Times New Roman" w:cs="Times New Roman" w:eastAsia="Times New Roman" w:hAnsi="Times New Roman"/>
          <w:b w:val="1"/>
          <w:sz w:val="24"/>
          <w:szCs w:val="24"/>
          <w:rtl w:val="0"/>
        </w:rPr>
        <w:t xml:space="preserve">Lugares de memória</w:t>
      </w:r>
      <w:r w:rsidDel="00000000" w:rsidR="00000000" w:rsidRPr="00000000">
        <w:rPr>
          <w:rFonts w:ascii="Times New Roman" w:cs="Times New Roman" w:eastAsia="Times New Roman" w:hAnsi="Times New Roman"/>
          <w:sz w:val="24"/>
          <w:szCs w:val="24"/>
          <w:rtl w:val="0"/>
        </w:rPr>
        <w:t xml:space="preserve">: ditadura militar e resistência no estado do Rio de Janeiro. Rio de Janeiro: ed. PUC-Rio, 2018.</w:t>
      </w:r>
    </w:p>
    <w:p w:rsidR="00000000" w:rsidDel="00000000" w:rsidP="00000000" w:rsidRDefault="00000000" w:rsidRPr="00000000" w14:paraId="000003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GONÇALVES, Renata.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 antigas e novas loucas</w:t>
      </w:r>
      <w:r w:rsidDel="00000000" w:rsidR="00000000" w:rsidRPr="00000000">
        <w:rPr>
          <w:rFonts w:ascii="Times New Roman" w:cs="Times New Roman" w:eastAsia="Times New Roman" w:hAnsi="Times New Roman"/>
          <w:sz w:val="24"/>
          <w:szCs w:val="24"/>
          <w:rtl w:val="0"/>
        </w:rPr>
        <w:t xml:space="preserve">: Madres e Mães de Maio contra a violência de Estado. São Paulo: Revista Lutas Sociais, n. 29, 2012.</w:t>
      </w:r>
    </w:p>
    <w:p w:rsidR="00000000" w:rsidDel="00000000" w:rsidP="00000000" w:rsidRDefault="00000000" w:rsidRPr="00000000" w14:paraId="000003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GONZALES, Lélia. </w:t>
      </w:r>
      <w:r w:rsidDel="00000000" w:rsidR="00000000" w:rsidRPr="00000000">
        <w:rPr>
          <w:rFonts w:ascii="Times New Roman" w:cs="Times New Roman" w:eastAsia="Times New Roman" w:hAnsi="Times New Roman"/>
          <w:b w:val="1"/>
          <w:sz w:val="24"/>
          <w:szCs w:val="24"/>
          <w:rtl w:val="0"/>
        </w:rPr>
        <w:t xml:space="preserve">Mulher Negra</w:t>
      </w:r>
      <w:r w:rsidDel="00000000" w:rsidR="00000000" w:rsidRPr="00000000">
        <w:rPr>
          <w:rFonts w:ascii="Times New Roman" w:cs="Times New Roman" w:eastAsia="Times New Roman" w:hAnsi="Times New Roman"/>
          <w:sz w:val="24"/>
          <w:szCs w:val="24"/>
          <w:rtl w:val="0"/>
        </w:rPr>
        <w:t xml:space="preserve">. Afrodiáspora, n. 6-7, p. 94-106, 1986.</w:t>
      </w:r>
    </w:p>
    <w:p w:rsidR="00000000" w:rsidDel="00000000" w:rsidP="00000000" w:rsidRDefault="00000000" w:rsidRPr="00000000" w14:paraId="000003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 </w:t>
      </w:r>
      <w:r w:rsidDel="00000000" w:rsidR="00000000" w:rsidRPr="00000000">
        <w:rPr>
          <w:rFonts w:ascii="Times New Roman" w:cs="Times New Roman" w:eastAsia="Times New Roman" w:hAnsi="Times New Roman"/>
          <w:b w:val="1"/>
          <w:sz w:val="24"/>
          <w:szCs w:val="24"/>
          <w:rtl w:val="0"/>
        </w:rPr>
        <w:t xml:space="preserve">Racismo e sexismo na cultura brasileira</w:t>
      </w:r>
      <w:r w:rsidDel="00000000" w:rsidR="00000000" w:rsidRPr="00000000">
        <w:rPr>
          <w:rFonts w:ascii="Times New Roman" w:cs="Times New Roman" w:eastAsia="Times New Roman" w:hAnsi="Times New Roman"/>
          <w:sz w:val="24"/>
          <w:szCs w:val="24"/>
          <w:rtl w:val="0"/>
        </w:rPr>
        <w:t xml:space="preserve">. Revista Ciências Sociais Hoje, ANPOCS, p. 223-244, 1984.</w:t>
      </w:r>
    </w:p>
    <w:p w:rsidR="00000000" w:rsidDel="00000000" w:rsidP="00000000" w:rsidRDefault="00000000" w:rsidRPr="00000000" w14:paraId="000003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GRAMSCI, Antonio. </w:t>
      </w:r>
      <w:r w:rsidDel="00000000" w:rsidR="00000000" w:rsidRPr="00000000">
        <w:rPr>
          <w:rFonts w:ascii="Times New Roman" w:cs="Times New Roman" w:eastAsia="Times New Roman" w:hAnsi="Times New Roman"/>
          <w:b w:val="1"/>
          <w:sz w:val="24"/>
          <w:szCs w:val="24"/>
          <w:rtl w:val="0"/>
        </w:rPr>
        <w:t xml:space="preserve">Cadernos do Cárcere</w:t>
      </w:r>
      <w:r w:rsidDel="00000000" w:rsidR="00000000" w:rsidRPr="00000000">
        <w:rPr>
          <w:rFonts w:ascii="Times New Roman" w:cs="Times New Roman" w:eastAsia="Times New Roman" w:hAnsi="Times New Roman"/>
          <w:sz w:val="24"/>
          <w:szCs w:val="24"/>
          <w:rtl w:val="0"/>
        </w:rPr>
        <w:t xml:space="preserve">, volume 3: Maquiavel – Notas sobre o Estado e a política. Edição e tradução, Carlos Nelson Coutinho; coedição, Luiz Sérgio Henriques e Marco Aurélio Nogueira. 7a edição. Rio de Janeiro: Civilização Brasileira, 2016. 1. Caderno 13.</w:t>
      </w:r>
    </w:p>
    <w:p w:rsidR="00000000" w:rsidDel="00000000" w:rsidP="00000000" w:rsidRDefault="00000000" w:rsidRPr="00000000" w14:paraId="000003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DE PESQUISA ECONÔMICA APLICADA – IPEA e FÓRUM BRASILEIRO DE SEGURANÇA PÚBLICA. </w:t>
      </w:r>
      <w:r w:rsidDel="00000000" w:rsidR="00000000" w:rsidRPr="00000000">
        <w:rPr>
          <w:rFonts w:ascii="Times New Roman" w:cs="Times New Roman" w:eastAsia="Times New Roman" w:hAnsi="Times New Roman"/>
          <w:b w:val="1"/>
          <w:sz w:val="24"/>
          <w:szCs w:val="24"/>
          <w:rtl w:val="0"/>
        </w:rPr>
        <w:t xml:space="preserve">Atlas da Violência 2019</w:t>
      </w:r>
      <w:r w:rsidDel="00000000" w:rsidR="00000000" w:rsidRPr="00000000">
        <w:rPr>
          <w:rFonts w:ascii="Times New Roman" w:cs="Times New Roman" w:eastAsia="Times New Roman" w:hAnsi="Times New Roman"/>
          <w:sz w:val="24"/>
          <w:szCs w:val="24"/>
          <w:rtl w:val="0"/>
        </w:rPr>
        <w:t xml:space="preserve">. Brasília: Rio de Janeiro: São Paulo: Instituto de Pesquisa Econômica Aplicada; Fórum Brasileiro de Segurança Pública, 2019.</w:t>
      </w:r>
    </w:p>
    <w:p w:rsidR="00000000" w:rsidDel="00000000" w:rsidP="00000000" w:rsidRDefault="00000000" w:rsidRPr="00000000" w14:paraId="000003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JUSTIÇA GLOBAL e INTERNACIONAL HUMAN RIGHTS CLINIC. </w:t>
      </w:r>
      <w:r w:rsidDel="00000000" w:rsidR="00000000" w:rsidRPr="00000000">
        <w:rPr>
          <w:rFonts w:ascii="Times New Roman" w:cs="Times New Roman" w:eastAsia="Times New Roman" w:hAnsi="Times New Roman"/>
          <w:b w:val="1"/>
          <w:sz w:val="24"/>
          <w:szCs w:val="24"/>
          <w:rtl w:val="0"/>
        </w:rPr>
        <w:t xml:space="preserve">São Paulo sob acharque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corrupção, crime organizado e violência institucional em maio de 2006. São Paulo. 2011.</w:t>
      </w:r>
    </w:p>
    <w:p w:rsidR="00000000" w:rsidDel="00000000" w:rsidP="00000000" w:rsidRDefault="00000000" w:rsidRPr="00000000" w14:paraId="0000038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LABORATÓRIO DE DIREITOS HUMANOS DA UFRJ. Disponível em: &lt;https://ladih.wordpress.com/extensao/najup-luiza-mahin/&gt;. Acesso em: 11 de abril de 2019.</w:t>
      </w:r>
    </w:p>
    <w:p w:rsidR="00000000" w:rsidDel="00000000" w:rsidP="00000000" w:rsidRDefault="00000000" w:rsidRPr="00000000" w14:paraId="0000038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MÃES DE MAIO. </w:t>
      </w:r>
      <w:r w:rsidDel="00000000" w:rsidR="00000000" w:rsidRPr="00000000">
        <w:rPr>
          <w:rFonts w:ascii="Times New Roman" w:cs="Times New Roman" w:eastAsia="Times New Roman" w:hAnsi="Times New Roman"/>
          <w:b w:val="1"/>
          <w:sz w:val="24"/>
          <w:szCs w:val="24"/>
          <w:rtl w:val="0"/>
        </w:rPr>
        <w:t xml:space="preserve">Do luto à luta</w:t>
      </w:r>
      <w:r w:rsidDel="00000000" w:rsidR="00000000" w:rsidRPr="00000000">
        <w:rPr>
          <w:rFonts w:ascii="Times New Roman" w:cs="Times New Roman" w:eastAsia="Times New Roman" w:hAnsi="Times New Roman"/>
          <w:sz w:val="24"/>
          <w:szCs w:val="24"/>
          <w:rtl w:val="0"/>
        </w:rPr>
        <w:t xml:space="preserve">. São Paulo: Nós por nós, 2011.</w:t>
      </w:r>
    </w:p>
    <w:p w:rsidR="00000000" w:rsidDel="00000000" w:rsidP="00000000" w:rsidRDefault="00000000" w:rsidRPr="00000000" w14:paraId="0000038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MBEMBE, Achille. </w:t>
      </w:r>
      <w:r w:rsidDel="00000000" w:rsidR="00000000" w:rsidRPr="00000000">
        <w:rPr>
          <w:rFonts w:ascii="Times New Roman" w:cs="Times New Roman" w:eastAsia="Times New Roman" w:hAnsi="Times New Roman"/>
          <w:b w:val="1"/>
          <w:sz w:val="24"/>
          <w:szCs w:val="24"/>
          <w:rtl w:val="0"/>
        </w:rPr>
        <w:t xml:space="preserve">Necropolítica</w:t>
      </w:r>
      <w:r w:rsidDel="00000000" w:rsidR="00000000" w:rsidRPr="00000000">
        <w:rPr>
          <w:rFonts w:ascii="Times New Roman" w:cs="Times New Roman" w:eastAsia="Times New Roman" w:hAnsi="Times New Roman"/>
          <w:sz w:val="24"/>
          <w:szCs w:val="24"/>
          <w:rtl w:val="0"/>
        </w:rPr>
        <w:t xml:space="preserve">: biopoder, soberania, estado de exceção, política de morte. São Paulo: n-1 edições, 2ª edição, 2018.</w:t>
      </w:r>
    </w:p>
    <w:p w:rsidR="00000000" w:rsidDel="00000000" w:rsidP="00000000" w:rsidRDefault="00000000" w:rsidRPr="00000000" w14:paraId="0000039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POULANTZAS, Nicos. </w:t>
      </w:r>
      <w:r w:rsidDel="00000000" w:rsidR="00000000" w:rsidRPr="00000000">
        <w:rPr>
          <w:rFonts w:ascii="Times New Roman" w:cs="Times New Roman" w:eastAsia="Times New Roman" w:hAnsi="Times New Roman"/>
          <w:b w:val="1"/>
          <w:sz w:val="24"/>
          <w:szCs w:val="24"/>
          <w:rtl w:val="0"/>
        </w:rPr>
        <w:t xml:space="preserve">O Estado, o poder, o socialismo</w:t>
      </w:r>
      <w:r w:rsidDel="00000000" w:rsidR="00000000" w:rsidRPr="00000000">
        <w:rPr>
          <w:rFonts w:ascii="Times New Roman" w:cs="Times New Roman" w:eastAsia="Times New Roman" w:hAnsi="Times New Roman"/>
          <w:sz w:val="24"/>
          <w:szCs w:val="24"/>
          <w:rtl w:val="0"/>
        </w:rPr>
        <w:t xml:space="preserve">. Rio de Janeiro: ed. Graal, 1985.</w:t>
      </w:r>
    </w:p>
    <w:p w:rsidR="00000000" w:rsidDel="00000000" w:rsidP="00000000" w:rsidRDefault="00000000" w:rsidRPr="00000000" w14:paraId="0000039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REVISTA EXAME. </w:t>
      </w:r>
      <w:r w:rsidDel="00000000" w:rsidR="00000000" w:rsidRPr="00000000">
        <w:rPr>
          <w:rFonts w:ascii="Times New Roman" w:cs="Times New Roman" w:eastAsia="Times New Roman" w:hAnsi="Times New Roman"/>
          <w:i w:val="1"/>
          <w:sz w:val="24"/>
          <w:szCs w:val="24"/>
          <w:rtl w:val="0"/>
        </w:rPr>
        <w:t xml:space="preserve">A</w:t>
      </w:r>
      <w:r w:rsidDel="00000000" w:rsidR="00000000" w:rsidRPr="00000000">
        <w:rPr>
          <w:rFonts w:ascii="Times New Roman" w:cs="Times New Roman" w:eastAsia="Times New Roman" w:hAnsi="Times New Roman"/>
          <w:b w:val="1"/>
          <w:sz w:val="24"/>
          <w:szCs w:val="24"/>
          <w:rtl w:val="0"/>
        </w:rPr>
        <w:t xml:space="preserve">ssassinatos causados por policiais superam latrocínios, diz Ipea: </w:t>
      </w:r>
      <w:r w:rsidDel="00000000" w:rsidR="00000000" w:rsidRPr="00000000">
        <w:rPr>
          <w:rFonts w:ascii="Times New Roman" w:cs="Times New Roman" w:eastAsia="Times New Roman" w:hAnsi="Times New Roman"/>
          <w:sz w:val="24"/>
          <w:szCs w:val="24"/>
          <w:rtl w:val="0"/>
        </w:rPr>
        <w:t xml:space="preserve">Veja em quais estados a diferença entre as mortes causadas pela polícia e os latrocínios é maior. 2017. Disponível em: &lt;http://exame.abril.com.br/brasil/assassinatos-causados-por-policiais-superam-latrocinios-diz-ipea/&gt;. Acesso em: 13 de maio de 2019.</w:t>
      </w:r>
    </w:p>
    <w:p w:rsidR="00000000" w:rsidDel="00000000" w:rsidP="00000000" w:rsidRDefault="00000000" w:rsidRPr="00000000" w14:paraId="0000039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RIBEIRO, Djamila. </w:t>
      </w:r>
      <w:r w:rsidDel="00000000" w:rsidR="00000000" w:rsidRPr="00000000">
        <w:rPr>
          <w:rFonts w:ascii="Times New Roman" w:cs="Times New Roman" w:eastAsia="Times New Roman" w:hAnsi="Times New Roman"/>
          <w:b w:val="1"/>
          <w:sz w:val="24"/>
          <w:szCs w:val="24"/>
          <w:rtl w:val="0"/>
        </w:rPr>
        <w:t xml:space="preserve">O que é: lugar de fala?</w:t>
      </w:r>
      <w:r w:rsidDel="00000000" w:rsidR="00000000" w:rsidRPr="00000000">
        <w:rPr>
          <w:rFonts w:ascii="Times New Roman" w:cs="Times New Roman" w:eastAsia="Times New Roman" w:hAnsi="Times New Roman"/>
          <w:sz w:val="24"/>
          <w:szCs w:val="24"/>
          <w:rtl w:val="0"/>
        </w:rPr>
        <w:t xml:space="preserve"> Belo Horizonte: Letramento, 2017.</w:t>
      </w:r>
    </w:p>
    <w:p w:rsidR="00000000" w:rsidDel="00000000" w:rsidP="00000000" w:rsidRDefault="00000000" w:rsidRPr="00000000" w14:paraId="0000039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SARAVIA, Enrique. </w:t>
      </w:r>
      <w:r w:rsidDel="00000000" w:rsidR="00000000" w:rsidRPr="00000000">
        <w:rPr>
          <w:rFonts w:ascii="Times New Roman" w:cs="Times New Roman" w:eastAsia="Times New Roman" w:hAnsi="Times New Roman"/>
          <w:b w:val="1"/>
          <w:sz w:val="24"/>
          <w:szCs w:val="24"/>
          <w:rtl w:val="0"/>
        </w:rPr>
        <w:t xml:space="preserve">Introdução à teoria da política pública</w:t>
      </w:r>
      <w:r w:rsidDel="00000000" w:rsidR="00000000" w:rsidRPr="00000000">
        <w:rPr>
          <w:rFonts w:ascii="Times New Roman" w:cs="Times New Roman" w:eastAsia="Times New Roman" w:hAnsi="Times New Roman"/>
          <w:sz w:val="24"/>
          <w:szCs w:val="24"/>
          <w:rtl w:val="0"/>
        </w:rPr>
        <w:t xml:space="preserve">. SARAVIA, Enrique; FERRAREZI, Elisabete (Orgs.). Coletânea de Políticas públicas, Vol. I. Brasília: ENAP, 2006.</w:t>
      </w:r>
    </w:p>
    <w:p w:rsidR="00000000" w:rsidDel="00000000" w:rsidP="00000000" w:rsidRDefault="00000000" w:rsidRPr="00000000" w14:paraId="0000039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TIBURI, Márcia. </w:t>
      </w:r>
      <w:r w:rsidDel="00000000" w:rsidR="00000000" w:rsidRPr="00000000">
        <w:rPr>
          <w:rFonts w:ascii="Times New Roman" w:cs="Times New Roman" w:eastAsia="Times New Roman" w:hAnsi="Times New Roman"/>
          <w:b w:val="1"/>
          <w:sz w:val="24"/>
          <w:szCs w:val="24"/>
          <w:rtl w:val="0"/>
        </w:rPr>
        <w:t xml:space="preserve">Feminismo em Comum</w:t>
      </w:r>
      <w:r w:rsidDel="00000000" w:rsidR="00000000" w:rsidRPr="00000000">
        <w:rPr>
          <w:rFonts w:ascii="Times New Roman" w:cs="Times New Roman" w:eastAsia="Times New Roman" w:hAnsi="Times New Roman"/>
          <w:sz w:val="24"/>
          <w:szCs w:val="24"/>
          <w:rtl w:val="0"/>
        </w:rPr>
        <w:t xml:space="preserve">, para todas, todes e todos. Rio de Janeiro: Rosa dos Tempos, 2018.</w:t>
      </w:r>
    </w:p>
    <w:p w:rsidR="00000000" w:rsidDel="00000000" w:rsidP="00000000" w:rsidRDefault="00000000" w:rsidRPr="00000000" w14:paraId="0000039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VIANNA, Adriana e FARIAS, Juliana. </w:t>
      </w:r>
      <w:r w:rsidDel="00000000" w:rsidR="00000000" w:rsidRPr="00000000">
        <w:rPr>
          <w:rFonts w:ascii="Times New Roman" w:cs="Times New Roman" w:eastAsia="Times New Roman" w:hAnsi="Times New Roman"/>
          <w:b w:val="1"/>
          <w:sz w:val="24"/>
          <w:szCs w:val="24"/>
          <w:rtl w:val="0"/>
        </w:rPr>
        <w:t xml:space="preserve">A guerra das mães</w:t>
      </w:r>
      <w:r w:rsidDel="00000000" w:rsidR="00000000" w:rsidRPr="00000000">
        <w:rPr>
          <w:rFonts w:ascii="Times New Roman" w:cs="Times New Roman" w:eastAsia="Times New Roman" w:hAnsi="Times New Roman"/>
          <w:sz w:val="24"/>
          <w:szCs w:val="24"/>
          <w:rtl w:val="0"/>
        </w:rPr>
        <w:t xml:space="preserve">: dor e política em situação de violência institucional. Cadernos Pagu, n. 37, Campinas. 2011.</w:t>
      </w:r>
    </w:p>
    <w:p w:rsidR="00000000" w:rsidDel="00000000" w:rsidP="00000000" w:rsidRDefault="00000000" w:rsidRPr="00000000" w14:paraId="0000039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WAISELFISZ, Julio Jacobo. </w:t>
      </w:r>
      <w:r w:rsidDel="00000000" w:rsidR="00000000" w:rsidRPr="00000000">
        <w:rPr>
          <w:rFonts w:ascii="Times New Roman" w:cs="Times New Roman" w:eastAsia="Times New Roman" w:hAnsi="Times New Roman"/>
          <w:b w:val="1"/>
          <w:sz w:val="24"/>
          <w:szCs w:val="24"/>
          <w:rtl w:val="0"/>
        </w:rPr>
        <w:t xml:space="preserve">Mapa da Violência 2011</w:t>
      </w:r>
      <w:r w:rsidDel="00000000" w:rsidR="00000000" w:rsidRPr="00000000">
        <w:rPr>
          <w:rFonts w:ascii="Times New Roman" w:cs="Times New Roman" w:eastAsia="Times New Roman" w:hAnsi="Times New Roman"/>
          <w:sz w:val="24"/>
          <w:szCs w:val="24"/>
          <w:rtl w:val="0"/>
        </w:rPr>
        <w:t xml:space="preserve">: os jovens do Brasil. São Paulo: Instituto Sangari, 2011.</w:t>
      </w:r>
    </w:p>
    <w:p w:rsidR="00000000" w:rsidDel="00000000" w:rsidP="00000000" w:rsidRDefault="00000000" w:rsidRPr="00000000" w14:paraId="0000039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WACQUANT, Loïc. </w:t>
      </w:r>
      <w:r w:rsidDel="00000000" w:rsidR="00000000" w:rsidRPr="00000000">
        <w:rPr>
          <w:rFonts w:ascii="Times New Roman" w:cs="Times New Roman" w:eastAsia="Times New Roman" w:hAnsi="Times New Roman"/>
          <w:b w:val="1"/>
          <w:sz w:val="24"/>
          <w:szCs w:val="24"/>
          <w:rtl w:val="0"/>
        </w:rPr>
        <w:t xml:space="preserve">As prisões da miséria.</w:t>
      </w:r>
      <w:r w:rsidDel="00000000" w:rsidR="00000000" w:rsidRPr="00000000">
        <w:rPr>
          <w:rFonts w:ascii="Times New Roman" w:cs="Times New Roman" w:eastAsia="Times New Roman" w:hAnsi="Times New Roman"/>
          <w:sz w:val="24"/>
          <w:szCs w:val="24"/>
          <w:rtl w:val="0"/>
        </w:rPr>
        <w:t xml:space="preserve"> Rio de Janeiro: Zahar, 2011.</w:t>
      </w:r>
    </w:p>
    <w:p w:rsidR="00000000" w:rsidDel="00000000" w:rsidP="00000000" w:rsidRDefault="00000000" w:rsidRPr="00000000" w14:paraId="000003A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ZAVERUCHA, Jorge. </w:t>
      </w:r>
      <w:r w:rsidDel="00000000" w:rsidR="00000000" w:rsidRPr="00000000">
        <w:rPr>
          <w:rFonts w:ascii="Times New Roman" w:cs="Times New Roman" w:eastAsia="Times New Roman" w:hAnsi="Times New Roman"/>
          <w:b w:val="1"/>
          <w:sz w:val="24"/>
          <w:szCs w:val="24"/>
          <w:rtl w:val="0"/>
        </w:rPr>
        <w:t xml:space="preserve">FHC, forças armadas e política: </w:t>
      </w:r>
      <w:r w:rsidDel="00000000" w:rsidR="00000000" w:rsidRPr="00000000">
        <w:rPr>
          <w:rFonts w:ascii="Times New Roman" w:cs="Times New Roman" w:eastAsia="Times New Roman" w:hAnsi="Times New Roman"/>
          <w:sz w:val="24"/>
          <w:szCs w:val="24"/>
          <w:rtl w:val="0"/>
        </w:rPr>
        <w:t xml:space="preserve">entre o autoritarismo e a democracia (1999-2002). Rio de Janeiro: Record, 2005.</w:t>
      </w:r>
    </w:p>
    <w:p w:rsidR="00000000" w:rsidDel="00000000" w:rsidP="00000000" w:rsidRDefault="00000000" w:rsidRPr="00000000" w14:paraId="000003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 </w:t>
      </w:r>
      <w:r w:rsidDel="00000000" w:rsidR="00000000" w:rsidRPr="00000000">
        <w:rPr>
          <w:rFonts w:ascii="Times New Roman" w:cs="Times New Roman" w:eastAsia="Times New Roman" w:hAnsi="Times New Roman"/>
          <w:b w:val="1"/>
          <w:sz w:val="24"/>
          <w:szCs w:val="24"/>
          <w:rtl w:val="0"/>
        </w:rPr>
        <w:t xml:space="preserve">Relações civil-militares:</w:t>
      </w:r>
      <w:r w:rsidDel="00000000" w:rsidR="00000000" w:rsidRPr="00000000">
        <w:rPr>
          <w:rFonts w:ascii="Times New Roman" w:cs="Times New Roman" w:eastAsia="Times New Roman" w:hAnsi="Times New Roman"/>
          <w:sz w:val="24"/>
          <w:szCs w:val="24"/>
          <w:rtl w:val="0"/>
        </w:rPr>
        <w:t xml:space="preserve"> o legado autoritário da Constituição brasileira de 1988. In: TELES, Edson e SAFATLE, Vladimir (Org.). O que resta da ditadura: a exceção brasileira. São Paulo: Boitempo, p. 41-76, 2010.</w:t>
      </w:r>
    </w:p>
    <w:p w:rsidR="00000000" w:rsidDel="00000000" w:rsidP="00000000" w:rsidRDefault="00000000" w:rsidRPr="00000000" w14:paraId="000003A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0">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MULHERES E MEDIDAS DE SEGURANÇA: OS CAMINHOS PARA A DERRUBADA DOS MANICÔMIOS JUDICIÁRIOS À LUZ DA TEORIA CRÍTICA DOS DIREITOS HUMANOS</w:t>
      </w:r>
    </w:p>
    <w:p w:rsidR="00000000" w:rsidDel="00000000" w:rsidP="00000000" w:rsidRDefault="00000000" w:rsidRPr="00000000" w14:paraId="000003C1">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IGLESIAS, Júlia Machado</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tl w:val="0"/>
        </w:rPr>
      </w:r>
    </w:p>
    <w:p w:rsidR="00000000" w:rsidDel="00000000" w:rsidP="00000000" w:rsidRDefault="00000000" w:rsidRPr="00000000" w14:paraId="000003C2">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3C3">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C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Inserido no âmbito das produções acadêmicas acerca das políticas públicas a partir do marco das teorias críticas dos direitos humanos e dos estudos de gênero, o presente artigo busca traçar reflexões sobre a (não)concretização de garantias às pessoas com sofrimento psíquico em conflito com a lei que se encontram privadas de liberdade nos Hospitais de Custódia e Tratamento Psiquiátrico (HCTP) – os manicômios judiciários – em especial as mulheres. Em que pesem já existam normas nacionais e internacionais que se dirigem à proteção das pessoas com transtornos psicossociais e às mulheres privadas de liberdade, a realidade no chão da vida se demonstra descolada da letra fria da lei, o que ocasiona, como se pretende esmiuçar, na dificuldade desse grupo social de efetivamente gozar dos direitos humanos a ele destinado.</w:t>
      </w:r>
    </w:p>
    <w:p w:rsidR="00000000" w:rsidDel="00000000" w:rsidP="00000000" w:rsidRDefault="00000000" w:rsidRPr="00000000" w14:paraId="000003C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 um primeiro momento, o trabalho se destina a analisar as normativas existentes para a efetivação dos direitos das pessoas em sofrimento psíquico, em especial a Lei da Reforma Psiquiátrica (Lei nº 10.216/2001), no plano interno, e a Convenção Internacional sobre os Direitos das Pessoas com Deficiência, tratado internacional internalizado no Brasil com </w:t>
      </w:r>
      <w:r w:rsidDel="00000000" w:rsidR="00000000" w:rsidRPr="00000000">
        <w:rPr>
          <w:rFonts w:ascii="Times New Roman" w:cs="Times New Roman" w:eastAsia="Times New Roman" w:hAnsi="Times New Roman"/>
          <w:i w:val="1"/>
          <w:sz w:val="24"/>
          <w:szCs w:val="24"/>
          <w:rtl w:val="0"/>
        </w:rPr>
        <w:t xml:space="preserve">status</w:t>
      </w:r>
      <w:r w:rsidDel="00000000" w:rsidR="00000000" w:rsidRPr="00000000">
        <w:rPr>
          <w:rFonts w:ascii="Times New Roman" w:cs="Times New Roman" w:eastAsia="Times New Roman" w:hAnsi="Times New Roman"/>
          <w:sz w:val="24"/>
          <w:szCs w:val="24"/>
          <w:rtl w:val="0"/>
        </w:rPr>
        <w:t xml:space="preserve"> constitucional. Nesse bojo, são examinadas as contribuições da luta do Movimento Nacional da Luta Antimanicomial e sua disputa política e jurídica pela obtenção de garantias mínimas para os usuários dos serviços de saúde mental.</w:t>
      </w:r>
    </w:p>
    <w:p w:rsidR="00000000" w:rsidDel="00000000" w:rsidP="00000000" w:rsidRDefault="00000000" w:rsidRPr="00000000" w14:paraId="000003C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Ademais, entendendo que a seleção criminalizante contra os “loucos infratores” atua com base nos marcadores de raça e classe, mas também de gênero, são examinadas as normativas internacionais destinadas ao enfrentamento à violência de gênero – Convenção de Belém do Pará e Convenção Sobre a Eliminação de Todas as Formas de Discriminação Contra as Mulheres – que devem ser levadas em consideração em uma análise acerca das mulheres em cumprimento de medidas de segurança. Destaca-se, ainda, uma avaliação sobre as Regras de Bangkok, documento que se destina a dispor sobre o tratamento de mulheres privadas de liberdade.</w:t>
      </w:r>
    </w:p>
    <w:p w:rsidR="00000000" w:rsidDel="00000000" w:rsidP="00000000" w:rsidRDefault="00000000" w:rsidRPr="00000000" w14:paraId="000003C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Apesar dos avanços no sentido da construção de novas formas de tratamento em saúde mental, enfraquecendo-se o paradigma asilar-hospitalizante e fortalecendo-se as redes de atenção psicossocial, a lógica da manicomialização e medicalização da loucura ainda persiste em face de indivíduos que deveriam estar protegidos pelo Direito – mas que são, sistematicamente, estigmatizados pelas instituições jurídicas e políticas. Em especial, a ausência de real e efetiva proteção de direitos, particularmente das mulheres em sofrimento psíquico, é observada no âmbito dos HCTP, cujos muros continuam erguidos na imensa maioria dos estados brasileiros. </w:t>
      </w:r>
    </w:p>
    <w:p w:rsidR="00000000" w:rsidDel="00000000" w:rsidP="00000000" w:rsidRDefault="00000000" w:rsidRPr="00000000" w14:paraId="000003C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Como ficará evidenciado ao longo deste trabalho, as mulheres constituem-se como um grupo ainda mais estigmatizado, e que sofre maiores violências dentro dos manicômios judiciários. O desrespeito às previsões legais e convencionais de direitos humanos das mulheres e das pessoas em sofrimento psíquico é mais latente quando se observa a realidade das “loucas infratoras”, às quais é reservado um lugar de esquecimento no que tange à elaboração de políticas públicas em saúde mental. </w:t>
      </w:r>
    </w:p>
    <w:p w:rsidR="00000000" w:rsidDel="00000000" w:rsidP="00000000" w:rsidRDefault="00000000" w:rsidRPr="00000000" w14:paraId="000003C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Nesse sentido, no segundo tópico proposto neste artigo, busca-se tecer comentários acerca da recente Resolução nº 487 do Conselho Nacional de Justiça, que institui a Política Antimanicomial do Poder Judiciário e prevê o prazo de um ano para o fechamento de todos os HCTP brasileiros. Mesmo não se tratando de uma inovação jurídica – uma vez que apenas reproduz o que, há mais de vinte anos, a Lei da Reforma Psiquiátrica já preconiza – a resolução sofreu duros ataques de grupos que desejam a manutenção da exclusão social das pessoas em sofrimento psíquico e das estratégias de controle social veiculadas dentro dos manicômios judiciários. </w:t>
      </w:r>
    </w:p>
    <w:p w:rsidR="00000000" w:rsidDel="00000000" w:rsidP="00000000" w:rsidRDefault="00000000" w:rsidRPr="00000000" w14:paraId="000003C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Assim, questiona-se sobre os possíveis caminhos de desinstitucionalização que se apresentam para as “loucas infratoras” a partir da referida resolução, na busca pela garantia de direitos em meio à disputa das classes dominantes – racistas e patriarcais – pela manutenção da segregação e opressão desse grupo subalternizado. </w:t>
      </w:r>
    </w:p>
    <w:p w:rsidR="00000000" w:rsidDel="00000000" w:rsidP="00000000" w:rsidRDefault="00000000" w:rsidRPr="00000000" w14:paraId="000003C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C">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Luta Antimanicomial, Direitos Humanos e violência de gênero: a positivação de direitos para as loucas infratoras</w:t>
      </w:r>
    </w:p>
    <w:p w:rsidR="00000000" w:rsidDel="00000000" w:rsidP="00000000" w:rsidRDefault="00000000" w:rsidRPr="00000000" w14:paraId="000003CD">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C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Iniciado na década de 1970, o Movimento Nacional da Luta Antimanicomial (MNLA) – formado por usuários dos serviços de saúde mental e seus familiares e por profissionais das áreas da saúde e das ciências sociais – reposicionou as discussões sobre saúde mental para questionar a forma como a assistência psiquiátrica era prestada dentro dos manicômios brasileiros (Correia, 2006, p. 84). Desde sua origem, o MNLA dedicou-se a lutar pela efetivação de direitos para as pessoas em sofrimento psíquico, e, em especial, pela derrubada dos muros das instituições asilares e manicominais, além de aderir à luta anticapitalista, feminista, antirracista, antiLGBTfóbica e antiproibicionista.</w:t>
      </w:r>
    </w:p>
    <w:p w:rsidR="00000000" w:rsidDel="00000000" w:rsidP="00000000" w:rsidRDefault="00000000" w:rsidRPr="00000000" w14:paraId="000003C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Conforme exposto no Manifesto de Bauru</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Fonts w:ascii="Times New Roman" w:cs="Times New Roman" w:eastAsia="Times New Roman" w:hAnsi="Times New Roman"/>
          <w:sz w:val="24"/>
          <w:szCs w:val="24"/>
          <w:rtl w:val="0"/>
        </w:rPr>
        <w:t xml:space="preserve"> – documento produzido no bojo do II Congresso Nacional de Trabalhadores em Saúde Mental e que marca, oficialmente, a fundação do MNLA como um movimento social organizado – o Movimento se coloca contra a mercantilização da doença e por uma sociedade sem manicômios, buscando a ruptura com a exclusão e a violência institucionalizadas pelas quais os serviços de saúde mental são marcados, em aliança com o movimento popular e a classe trabalhadora organizada.</w:t>
      </w:r>
    </w:p>
    <w:p w:rsidR="00000000" w:rsidDel="00000000" w:rsidP="00000000" w:rsidRDefault="00000000" w:rsidRPr="00000000" w14:paraId="000003D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Movimento se opõe, assim, à construção de uma separação entre “loucos” e “normais” que produziu a exclusão social dos indivíduos que fugissem ao padrão de racionalidade engendrado na sociedade capitalista (Carvalho, 2013). Em uma perspectiva histórica, observa-se que a ideia veiculada pela psiquiatria tradicional de que é possível tratar a loucura por meio da privação de liberdade do sujeito escondeu e mascarou a verdadeira finalidade da internação, qual seja a de disciplinamento e docilização de pessoas descartáveis, que devem, aos olhos do Estado, serem apartadas do convívio social (Foucault, 2014). Em suma, o que o MNLA propõe é a ruptura com a lógica manicomializante que aprisiona corpos e mentes considerados desviantes – especialmente corpos femininos, negros e LGBTQIAPN+. </w:t>
      </w:r>
    </w:p>
    <w:p w:rsidR="00000000" w:rsidDel="00000000" w:rsidP="00000000" w:rsidRDefault="00000000" w:rsidRPr="00000000" w14:paraId="000003D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Entendendo os direitos humanos enquanto “resultados provisórios de lutas sociais por dignidade”, derivados da busca de bens pelos grupos marginalizados na sociedade capitalista (Flores, 2009, p. 28-31), foi a atuação incansável do MNLA que influenciou a edição e promulgação da Lei nº 10.216/2001, conhecida como Lei da Reforma Psiquiátrica ou Lei Antimanicomial. Utilizando-se do Direito enquanto uma das ferramentas para a restrição da atuação dos grupos dominantes (Thompson, 1997, p.356), o Movimento Antimanicomial foi bem sucedido em deixar expressas na legislação suas demandas para um tratamento digno em saúde mental. </w:t>
      </w:r>
    </w:p>
    <w:p w:rsidR="00000000" w:rsidDel="00000000" w:rsidP="00000000" w:rsidRDefault="00000000" w:rsidRPr="00000000" w14:paraId="000003D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esse diploma legal, restaram consagrados – ao menos no plano formal – diversos direitos para as pessoas loucas, no que tange à forma de tratamento e ao acesso aos serviços comunitários de saúde mental em meio livre, buscando-se a destruição da estrutura manicomial.</w:t>
      </w:r>
    </w:p>
    <w:p w:rsidR="00000000" w:rsidDel="00000000" w:rsidP="00000000" w:rsidRDefault="00000000" w:rsidRPr="00000000" w14:paraId="000003D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Dentre as normas elencadas pela supracitada lei, tem-se que é assegurado às pessoas atendidas em serviços de saúde mental o direito de serem tratadas em ambiente terapêutico e pelos meios menos invasivos possíveis, além da garantia de que devem ser tratadas, preferencialmente, em serviços comunitários. Dessa forma, o Estado passou a assumir o compromisso expresso de ampliar o modelo assistencial de saúde mental, tornando-se esse um direito de todas as pessoas em sofrimento psíquico.</w:t>
      </w:r>
    </w:p>
    <w:p w:rsidR="00000000" w:rsidDel="00000000" w:rsidP="00000000" w:rsidRDefault="00000000" w:rsidRPr="00000000" w14:paraId="000003D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Além disso, um importante marco da legislação foi deixar evidenciado que a internação de pacientes de saúde mental somente pode ser efetuada em casos excepcionais, quando os recursos extra-hospitalares não forem suficientes. E, nos termos da lei, ficou proibido que essa internação seja realizada em instituições com características asilares, ou seja, a existência dos manicômios se tornou absolutamente ilegal:</w:t>
      </w:r>
    </w:p>
    <w:p w:rsidR="00000000" w:rsidDel="00000000" w:rsidP="00000000" w:rsidRDefault="00000000" w:rsidRPr="00000000" w14:paraId="000003D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3º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É vedada a internação de pacientes portadores de transtornos mentais em instituições com características asilares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ou seja, aquelas desprovidas dos recursos mencionados no § 2º e que não assegurem aos pacientes os direitos enumerados no parágrafo único do art. 2º. (Brasil, 2001, grifos nossos)</w:t>
      </w:r>
    </w:p>
    <w:p w:rsidR="00000000" w:rsidDel="00000000" w:rsidP="00000000" w:rsidRDefault="00000000" w:rsidRPr="00000000" w14:paraId="000003D7">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Paralelamente, no plano internacional, foi editada a Convenção Internacional sobre os Direitos das Pessoas com Deficiência, a qual foi internalizada pelo Estado brasileiro sob o rito de emenda constitucional, adquirindo, portanto, força normativa de Constituição. Entendendo que as pessoas em sofrimento psíquico se enquadram como pessoas com deficiência psicossocial para fins de proteção de seus direitos humanos, o referido tratado também é norma a elas aplicável, sendo de observância obrigatória pelo Brasil.</w:t>
      </w:r>
    </w:p>
    <w:p w:rsidR="00000000" w:rsidDel="00000000" w:rsidP="00000000" w:rsidRDefault="00000000" w:rsidRPr="00000000" w14:paraId="000003D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Convenção estabelece diversas normas que asseguram às pessoas com deficiência o máximo de autonomia e plena capacidade de decisão. Os Estados-partes se comprometem a tomar todas as medidas para que pessoas com deficiência acessem os serviços de saúde da maior qualidade possível – o que, por óbvio, envolve a atenção psicossocial e é incompatível com a internação em um manicômio, local de privação de liberdade e que não é capaz de fornecer acesso a tratamento adequado em saúde mental.</w:t>
      </w:r>
    </w:p>
    <w:p w:rsidR="00000000" w:rsidDel="00000000" w:rsidP="00000000" w:rsidRDefault="00000000" w:rsidRPr="00000000" w14:paraId="000003D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que se refere ao Sistema Interamericano de Direitos Humanos, é relevante destacar o Caso Damião Ximenes Lopes vs. Brasil (2006), tramitado perante a Corte Interamericana. Trata-se de um caso emblemático para a luta antimanicomial, tendo ocasionado a condenação do Estado brasileiro em decorrência das violações de direitos humanos suportadas por um homem que foi internado em uma clínica psiquiátrica e sofreu tortura e maus tratos, vindo a ser morto. O caso evidenciou a necessidade de o Brasil criar políticas públicas efetivas para tratamentos humanizados e adequados às pessoas em sofrimento psíquico, e serviu de base para denunciar as condições degradantes as quais as pessoas manicomializadas estão submetidas.</w:t>
      </w:r>
    </w:p>
    <w:p w:rsidR="00000000" w:rsidDel="00000000" w:rsidP="00000000" w:rsidRDefault="00000000" w:rsidRPr="00000000" w14:paraId="000003D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Estabelecendo uma análise que leva em consideração os diferentes marcadores sociais, torna-se necessário também analisar as conquistas normativas relacionadas aos direitos das mulheres, para observar de que forma são aplicadas no âmbito do manicômio judiciário.</w:t>
      </w:r>
    </w:p>
    <w:p w:rsidR="00000000" w:rsidDel="00000000" w:rsidP="00000000" w:rsidRDefault="00000000" w:rsidRPr="00000000" w14:paraId="000003D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termos da Convenção de Belém do Pará (Convenção Interamericana para Prevenir, Punir e Erradicar a Violência contra a Mulher), toda mulher tem direito a não ser submetida a tortura, sendo dever do Estado abster-se de praticar qualquer ato ou prática de violência contra a mulher. Em previsão semelhante, a Convenção sobre a Eliminação de Todas as Formas de Discriminação contra a Mulher (CEDAW) dispõe que os Estados-Partes devem privar-se de incorrer em atos ou práticas de discriminação contra a mulher, zelando para que as autoridades e instituições públicas atuem em conformidade com tal obrigação.</w:t>
      </w:r>
    </w:p>
    <w:p w:rsidR="00000000" w:rsidDel="00000000" w:rsidP="00000000" w:rsidRDefault="00000000" w:rsidRPr="00000000" w14:paraId="000003D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Especificamente no que se refere às mulheres privadas de liberdade, as Regras de Bangkok são um importante documento internacional sobre o tratamento que deve ser dispensado às mulheres presas – o qual, apesar de não-mandatório, deve guiar a atuação dos Estados-membros da ONU. Nos termos da Regra 1, “deve-se ter em consideração as distintas necessidades das mulheres presas. A atenção a essas necessidades para atingir igualdade material entre os gêneros não deverá ser considerada discriminatória.”</w:t>
      </w:r>
    </w:p>
    <w:p w:rsidR="00000000" w:rsidDel="00000000" w:rsidP="00000000" w:rsidRDefault="00000000" w:rsidRPr="00000000" w14:paraId="000003D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Regra 12 traz especial disposição acerca da garantia do direito à saúde mental das custodiadas, prevendo, </w:t>
      </w:r>
      <w:r w:rsidDel="00000000" w:rsidR="00000000" w:rsidRPr="00000000">
        <w:rPr>
          <w:rFonts w:ascii="Times New Roman" w:cs="Times New Roman" w:eastAsia="Times New Roman" w:hAnsi="Times New Roman"/>
          <w:i w:val="1"/>
          <w:sz w:val="24"/>
          <w:szCs w:val="24"/>
          <w:rtl w:val="0"/>
        </w:rPr>
        <w:t xml:space="preserve">ipsis litteris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D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Deverão ser disponibilizados às mulheres presas com necessidades de atenção à saúde mental, na prisão ou fora dela, programas de atenção à saúde mental individualizados, abrangentes, sensíveis às questões de gênero e centrados na compreensão dos traumas, assim como programas de reabilitação (Conselho Nacional de Justiça, 2016).</w:t>
      </w:r>
    </w:p>
    <w:p w:rsidR="00000000" w:rsidDel="00000000" w:rsidP="00000000" w:rsidRDefault="00000000" w:rsidRPr="00000000" w14:paraId="000003E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2">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Mulheres em sofrimento psíquico em conflito com a lei: interseções entre patriarcado e manicomialização na disputa pela emancipação humana das loucas infratoras</w:t>
      </w:r>
    </w:p>
    <w:p w:rsidR="00000000" w:rsidDel="00000000" w:rsidP="00000000" w:rsidRDefault="00000000" w:rsidRPr="00000000" w14:paraId="000003E3">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E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analisado no tópico precedentes, diversas são as normas destinadas às pessoas em sofrimento psíquico, em geral, e às mulheres loucas infratoras, em específico. Contudo, apesar das conquistas e disputas no campo formal do Direito, – de inegável importância, mas ainda insuficientes – a violência do Estado burguês, racional, racista e patriarcal continuou a se impor perante as loucas e os loucos no campo material da vida, de modo que muitos dos direitos previstos em lei não são libertados do papel. </w:t>
      </w:r>
    </w:p>
    <w:p w:rsidR="00000000" w:rsidDel="00000000" w:rsidP="00000000" w:rsidRDefault="00000000" w:rsidRPr="00000000" w14:paraId="000003E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noção tradicional e hegemônica sobre os direitos humanos defende a sua universalidade e entende que a positivação de garantias nos ordenamentos jurídicos é apta, </w:t>
      </w:r>
      <w:r w:rsidDel="00000000" w:rsidR="00000000" w:rsidRPr="00000000">
        <w:rPr>
          <w:rFonts w:ascii="Times New Roman" w:cs="Times New Roman" w:eastAsia="Times New Roman" w:hAnsi="Times New Roman"/>
          <w:i w:val="1"/>
          <w:sz w:val="24"/>
          <w:szCs w:val="24"/>
          <w:rtl w:val="0"/>
        </w:rPr>
        <w:t xml:space="preserve">per se</w:t>
      </w:r>
      <w:r w:rsidDel="00000000" w:rsidR="00000000" w:rsidRPr="00000000">
        <w:rPr>
          <w:rFonts w:ascii="Times New Roman" w:cs="Times New Roman" w:eastAsia="Times New Roman" w:hAnsi="Times New Roman"/>
          <w:sz w:val="24"/>
          <w:szCs w:val="24"/>
          <w:rtl w:val="0"/>
        </w:rPr>
        <w:t xml:space="preserve">, a promover a dignidade e o bem-estar dos cidadãos (Pires, 2017, p.2). Segundo essa ideia, os direitos humanos seriam direcionados de maneira igualitária a todas as pessoas, de forma que a existência de convenções, tratados e estatutos que estabelecem um catálogo de direitos já seriam, em si mesmos, a concretização de conquistas para grupos historicamente vulnerabilizados. Os direitos, a partir do momento que se tornam leis, já estariam plenamente conquistados, não sendo mais necessário lutar por eles (Flores, 2009).</w:t>
      </w:r>
    </w:p>
    <w:p w:rsidR="00000000" w:rsidDel="00000000" w:rsidP="00000000" w:rsidRDefault="00000000" w:rsidRPr="00000000" w14:paraId="000003E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Porém, tendo-se por base leituras críticas dos direitos humanos, é possível delinear que a falácia da universalidade e igualdade dos direitos é, na verdade, instrumento das classes dominantes para a perpetuação da dominação e da exclusão (Pires, 2017, p.5). Garante-se, por meio desse discurso, a continuidade de estruturas institucionais opressoras, mas sob o manto de uma aparente preocupação com os direitos dos oprimidos.</w:t>
      </w:r>
    </w:p>
    <w:p w:rsidR="00000000" w:rsidDel="00000000" w:rsidP="00000000" w:rsidRDefault="00000000" w:rsidRPr="00000000" w14:paraId="000003E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Marx, em “Sobre a questão judaica”, já argumentava: nos marcos do capitalismo, o “homem” destinatário dos direitos e garantias sedimentados nas declarações de direitos humanos é o homem burguês e proprietário (Marx, 2008, p.26-28). Por trás da universalização dos direitos humanos e da ideia de que eles são destinados a todos os “cidadãos”, esconde-se o fato de que o homem universal é o homem burguês, e que as normas são pensadas para atender aos grupos dominantes. É por isso que a emancipação política – ou seja, a promulgação de direitos em diplomas legais – não é equivalente à emancipação humana – a verdadeira libertação dos homens e mulheres trabalhadores da opressão social. </w:t>
      </w:r>
    </w:p>
    <w:p w:rsidR="00000000" w:rsidDel="00000000" w:rsidP="00000000" w:rsidRDefault="00000000" w:rsidRPr="00000000" w14:paraId="000003E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observa a realidade das pessoas em sofrimento psíquico no Brasil, tal constatação fica patente, em especial no que se refere às mulheres que se encontram em conflito com a lei. Tendo-se como base a ideia de que as normas que definem direitos na ordem jurídica do capital são direcionadas ao sujeito universal do homem branco burguês e de que o Direito é também – ainda que não somente – instrumento das classes opressoras para sua legitimação, a luta pela concretização de direitos humanos aos grupos subalternizados, nos quais se incluem as mulheres com transtornos psicossociais, é ainda mais árdua. </w:t>
      </w:r>
    </w:p>
    <w:p w:rsidR="00000000" w:rsidDel="00000000" w:rsidP="00000000" w:rsidRDefault="00000000" w:rsidRPr="00000000" w14:paraId="000003E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apesar de a Lei da Reforma Psiquiátrica ter nascido, em boa medida, por pressão do Movimento Antimanicomial, a disputa institucional pela exclusão social das loucas e loucos infratores continuou a operar na prática, e a positivação de direitos não foi suficiente para a verdadeira emancipação humana desse grupo, para utilizar o termo marxiano. Se, por um lado, a luta do MNLA conseguiu produzir rupturas no Direito capitalista para avançar suas pautas e transformá-las em norma, as classes dominantes também prosseguiram a se utilizar das normas jurídicas para se legitimar e impor violência às pessoas em sofrimento psíquico.</w:t>
      </w:r>
    </w:p>
    <w:p w:rsidR="00000000" w:rsidDel="00000000" w:rsidP="00000000" w:rsidRDefault="00000000" w:rsidRPr="00000000" w14:paraId="000003E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referida lei, como visto, proíbe a internação de pessoas com transtornos psicossociais – incluindo as que entraram em conflito com a lei penal e cometeram fatos definidos como crimes – em manicômios, privilegiando o tratamento em meio livre e comunitário. No Brasil, entretanto, a realidade é outra: hoje, vinte e dois anos após a entrada em vigor da norma, ainda estão em pleno funcionamento 32 HCTP, situados em 21 estados brasileiros. </w:t>
      </w:r>
    </w:p>
    <w:p w:rsidR="00000000" w:rsidDel="00000000" w:rsidP="00000000" w:rsidRDefault="00000000" w:rsidRPr="00000000" w14:paraId="000003E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dados do SISDEPEN (ferramenta de coleta de dados estatísticos do Sistema Penitenciário), no ano de 2022, 1.917 pessoas encontravam-se internadas em manicômios judiciários, cumprindo medida de segurança.</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rtl w:val="0"/>
        </w:rPr>
        <w:t xml:space="preserve"> No Rio de Janeiro concentram-se dois manicômios judiciários, com mais de 100 pessoas internadas. </w:t>
      </w:r>
    </w:p>
    <w:p w:rsidR="00000000" w:rsidDel="00000000" w:rsidP="00000000" w:rsidRDefault="00000000" w:rsidRPr="00000000" w14:paraId="000003E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Paradoxalmente (ou não), o próprio Poder Judiciário – supostamente imparcial e igualitário, e destinado à promoção da justiça e dos direitos humanos – é quem continua a desrespeitar a legislação, destinando pessoas em sofrimento psíquico para manicômios judiciários em detrimento do tratamento ambulatorial nos serviços comunitários de saúde mental, ao arrepio do que determina a Lei Antimanicomial. Trata-se da verificação de que o Sistema de Justiça Criminal é utilizado como instrumento burguês de controle social, e de que o Direito é um campo de disputa entre dominantes e dominados.</w:t>
      </w:r>
    </w:p>
    <w:p w:rsidR="00000000" w:rsidDel="00000000" w:rsidP="00000000" w:rsidRDefault="00000000" w:rsidRPr="00000000" w14:paraId="000003E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constatações – que podem ser atribuídas a todo o grupo de pessoas em sofrimento psíquico em conflito com a lei – são ainda mais preocupantes em relação às mulheres. </w:t>
      </w:r>
    </w:p>
    <w:p w:rsidR="00000000" w:rsidDel="00000000" w:rsidP="00000000" w:rsidRDefault="00000000" w:rsidRPr="00000000" w14:paraId="000003E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estudos sobre encarceramento feminino vêm revelando que as práticas institucionais produzidas dentro do sistema penitenciário masculino, tais como a superlotação e a falta de higiene nos presídios, são sobremaneira acentuadas nas prisões femininas. Partindo-se da compreensão – alinhada às teorias críticas da pena – de que o Sistema de Justiça Criminal foi concebido como forma de controle social e a prisão como o local de domesticação e disciplinamento dos corpos marginalizados, reproduzindo e aprofundando as desigualdades da realidade social (Batista, 2011, p. 90), é necessário observar seu especial papel exercido em face das mulheres.</w:t>
      </w:r>
    </w:p>
    <w:p w:rsidR="00000000" w:rsidDel="00000000" w:rsidP="00000000" w:rsidRDefault="00000000" w:rsidRPr="00000000" w14:paraId="000003E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Quando colocados em sobreposição, o patriarcado e a criminalização seletiva geram questões delicadas no que tange ao encarceramento e as práticas institucionais sexistas que são implementadas dentro das unidades prisionais. De acordo com Luciana Boiteux, “se o sistema penal é estruturalmente seletivo no geral, verifica-se a especial (e perversa) seletividade com que se encarceram mulheres mães, negras e pobres” (Boiteux, 2016), isto é, aquelas que se encontram em uma situação ainda maior de vulnerabilidade quando comparadas aos homens. E dentro do cárcere, que as invisibiliza e estigmatiza com o rótulo de criminosas, são tratadas como homens: são “presos que menstruam” (Queiroz, 2015). </w:t>
      </w:r>
    </w:p>
    <w:p w:rsidR="00000000" w:rsidDel="00000000" w:rsidP="00000000" w:rsidRDefault="00000000" w:rsidRPr="00000000" w14:paraId="000003F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trata das mulheres em conflito com a lei internadas, o quadro é mais grave. Isso porque as instituições manicomiais e suas práticas sociais, em geral, priorizam homens e dispensam tratamentos desiguais e discriminatórios em relação às pessoas do gênero feminino (Magno, 2016). É nesse sentido que a vulnerabilidade das mulheres privadas de liberdade em razão da loucura é substancialmente superior à de outros grupos sociais, havendo um aprofundamento dos estereótipos de gênero, das violências contra a mulher e da estigmatização da loucura em comparação a um padrão de </w:t>
      </w:r>
      <w:r w:rsidDel="00000000" w:rsidR="00000000" w:rsidRPr="00000000">
        <w:rPr>
          <w:rFonts w:ascii="Times New Roman" w:cs="Times New Roman" w:eastAsia="Times New Roman" w:hAnsi="Times New Roman"/>
          <w:i w:val="1"/>
          <w:sz w:val="24"/>
          <w:szCs w:val="24"/>
          <w:rtl w:val="0"/>
        </w:rPr>
        <w:t xml:space="preserve">normalidade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F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Esses sujeitos carregam um somatório de rotulações discriminatórias que geram sua invisibilidade – são “as invisíveis dentre as invisíveis”, nas palavras de Patrícia Carlos Magno (Magno, 2016). Não é por outro motivo que as afirmações já veiculadas no presente estudo, relativas à total falta de efetivação dos direitos positivados para as pessoas em sofrimento psíquico em conflito com a lei, são ainda mais contundentes em relação às mulheres. Assim, as mulheres – principalmente aquelas pelas quais perpassam os marcadores de raça, classe e sexualidade – possuem maiores dificuldades de exerceram com plenitude os direitos reconhecidos no ordenamento jurídico. (Magno, 2016)</w:t>
      </w:r>
    </w:p>
    <w:p w:rsidR="00000000" w:rsidDel="00000000" w:rsidP="00000000" w:rsidRDefault="00000000" w:rsidRPr="00000000" w14:paraId="000003F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que se tem é a manutenção do paradigma asilar para o – suposto – tratamento de pessoas com sofrimento psíquico que entraram em conflito com a lei penal, mesmo com a existência de uma lei que proíbe a internação em manicômios. Em relação às mulheres, continua a operar na prática mecanismos institucionais que (re)produzem violências de gênero dentro do manicômio judiciário, fazendo com que o direito do papel fique ainda mais distante da realidade. </w:t>
      </w:r>
    </w:p>
    <w:p w:rsidR="00000000" w:rsidDel="00000000" w:rsidP="00000000" w:rsidRDefault="00000000" w:rsidRPr="00000000" w14:paraId="000003F3">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4">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Resolução nº 487 do CNJ e os caminhos para a derrubada dos manicômios judiciários no Brasil</w:t>
      </w:r>
    </w:p>
    <w:p w:rsidR="00000000" w:rsidDel="00000000" w:rsidP="00000000" w:rsidRDefault="00000000" w:rsidRPr="00000000" w14:paraId="000003F5">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F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Como visto, a Lei Antimanicomial e as normativas internacionais não foram suficientes para a efetiva emancipação humana das pessoas com sofrimento psíquico em conflito com a lei penal. No que tange às mulheres, as leis e tratados internacionais que buscam a erradicação da violência de gênero também não mostram efetivos impactos na realidade concreta. Os loucos infratores – e, em especial, as loucas – ainda vivem em uma situação de tortura institucionalizada dentro dos HCTP, cuja existência é flagrantemente ilegal e inconvencional.</w:t>
      </w:r>
    </w:p>
    <w:p w:rsidR="00000000" w:rsidDel="00000000" w:rsidP="00000000" w:rsidRDefault="00000000" w:rsidRPr="00000000" w14:paraId="000003F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luta antimanicomial, contudo, continuou a tentar avançar as pautas por uma sociedade sem manicômios que alcancem, também, as pessoas selecionadas pelo Sistema de Justiça Criminal. O MNLA, em articulação com instituições como a Defensoria Pública, busca, há anos, produzir pequenas mudanças no âmbito do Poder Judiciário – a exemplo de iniciativas como o PAILI-GO (Programa de Atenção Integral ao Louco Infrator do Estado de Goiás) e o PAI-PJ (Programa de Atenção Integral ao Paciente Judiciário), os quais conseguiram abolir os manicômios judiciários de Goiás e Minas Gerais, respectivamente.</w:t>
      </w:r>
    </w:p>
    <w:p w:rsidR="00000000" w:rsidDel="00000000" w:rsidP="00000000" w:rsidRDefault="00000000" w:rsidRPr="00000000" w14:paraId="000003F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Recentemente, como resultado da verificação do não-cumprimento da lei e da pressão promovida pela luta antimanicomial, foi editada a Resolução nº 487 do Conselho Nacional de Justiça, que instituiu a Política Antimanicomial do Poder Judiciário a nível nacional, de forma a implementar, na prática, a Convenção Internacional dos Direitos das Pessoas com Deficiência e a Lei n° 10.216/2001 no âmbito do processo penal. A resolução foi originada das discussões do Grupo de Trabalho Ximenes Lopes, formado por diversos atores do Sistema de Justiça comprometidos com o oferecimento de tratamento adequado às pessoas em sofrimento psíquico, fora dos muros do manicômio.</w:t>
      </w:r>
    </w:p>
    <w:p w:rsidR="00000000" w:rsidDel="00000000" w:rsidP="00000000" w:rsidRDefault="00000000" w:rsidRPr="00000000" w14:paraId="000003F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Dentre outras medidas, a Resolução nº 487 estabelece mecanismos para a desinstitucionalização das pessoas que se encontram internadas nos HCTP, de forma a, gradativamente, encerrar suas atividades em todos os estados brasileiros. A primeira determinação nesse sentido é a estipulação do prazo de seis meses, a contar da publicação da resolução, para a interdição parcial dos manicômios judiciários, com a consequente proibição de novas internações nesses espaços. Em segundo lugar, a normativa institui o prazo de doze meses para a interdição total e o fechamento dos hospitais de custódia:</w:t>
      </w:r>
    </w:p>
    <w:p w:rsidR="00000000" w:rsidDel="00000000" w:rsidP="00000000" w:rsidRDefault="00000000" w:rsidRPr="00000000" w14:paraId="000003F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Art. 18.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 prazo de 6 (seis) meses contados da publicação desta Resolução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autoridade judicial competente determinará a interdição parcial de estabelecimentos, alas ou instituições congêneres de custódia e tratamento psiquiátrico no Brasil,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com proibição de novas internações em suas dependências e, em até 12 (doze) meses a partir da entrada em vigor desta Resolução, a interdição total e o fechamento dessas instituições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(Conselho Nacional de Justiça, 2023, grifos nossos)</w:t>
      </w:r>
    </w:p>
    <w:p w:rsidR="00000000" w:rsidDel="00000000" w:rsidP="00000000" w:rsidRDefault="00000000" w:rsidRPr="00000000" w14:paraId="000003FC">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Apesar de não trazer propriamente uma inovação jurídica, mas tão somente estipular prazos para o cumprimento das determinações da Lei Antimanicomial, que já deveriam estar sendo observadas há mais de vinte anos, a Resolução nº 487 vem sofrendo ataques de setores da classe dominante que desejam impedir a concretização de direitos das pessoas com transtornos psicossociais que se encontram privadas de liberdade nos HCTP. </w:t>
      </w:r>
    </w:p>
    <w:p w:rsidR="00000000" w:rsidDel="00000000" w:rsidP="00000000" w:rsidRDefault="00000000" w:rsidRPr="00000000" w14:paraId="000003F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Associação Brasileira de Psiquiatria (ABP) lançou uma nota de repúdio à resolução, na qual dispõe que “repudia qualquer ato de autoridade judicial e/ou pública que determine a interdição parcial, total e/ou fechamento de estabelecimentos, alas ou instituições congêneres de custódia e tratamento psiquiátrico no Brasil” (Associação Brasileira de Psiquiatria, 2023). Em outro documento, intitulado “Alerta urgente à sociedade brasileira”, a ABP se utiliza de um discurso apelativo e populista penal para se colocar contra a resolução do CNJ, declarando que “faltam 7 dias para 5.800 criminosos (matadores em série, assassinos, pedófilos, latrocidas, dentre outros) sentenciados que cumprem penas em Hospitais Psiquiátricos de Custódia comecem a ser soltos” (Associação Brasileira de Psiquiatria, 2023).</w:t>
      </w:r>
    </w:p>
    <w:p w:rsidR="00000000" w:rsidDel="00000000" w:rsidP="00000000" w:rsidRDefault="00000000" w:rsidRPr="00000000" w14:paraId="000003F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Além disso, o partido Podemos ajuizou a Ação Direta de Inconstitucionalidade nº 7.389 em face da resolução. O partido político alegou, em síntese, que a normativa seria formalmente inconstitucional, por usurpar a competência legislativa dos entes federativos, e materialmente inconstitucional, pois atingiria direitos fundamentais das pessoas presas e submetidas a medidas de segurança, impedindo-as de ser internadas em estabelecimentos psiquiátricos e violando seu “direito de restaurar sua saúde”. Em decisão liminar datada de 18 de maio (Dia Nacional da Luta Antimanicomial), o Ministro Relator Edson Fachin negou a concessão de medida cautelar, estando a ADI ainda pendente de julgamento pelo Plenário do STF. </w:t>
      </w:r>
    </w:p>
    <w:p w:rsidR="00000000" w:rsidDel="00000000" w:rsidP="00000000" w:rsidRDefault="00000000" w:rsidRPr="00000000" w14:paraId="0000040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que se vislumbra, dessa forma, é uma reação das classes privilegiadas e opressoras – que se beneficiam das técnicas de controle social engendradas pelas “instituições totais”, nas palavras de Goffman (1974), como prisões e manicômios, – em face de conquistas de direitos por parte dos grupos subalternizados. É a demonstração do caráter dialético da lei trazido por Thompson (1997): se o Direito serviu, historicamente, para a exclusão social das pessoas com sofrimento psíquico, sendo instrumento do capital, ele também é utilizado por esse mesmo grupo para frear a ação dos opressores, por meio da garantia, na lei, do direito de não ser internado em um manicômio compulsoriamente. Essa garantia, porém, não consegue se impor sem ser duramente criticada pelos setores dominantes, que mesmo após diversas determinações legais e convencionais ainda defendem a existência de estruturas manicomiais.</w:t>
      </w:r>
    </w:p>
    <w:p w:rsidR="00000000" w:rsidDel="00000000" w:rsidP="00000000" w:rsidRDefault="00000000" w:rsidRPr="00000000" w14:paraId="0000040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Contudo, em que pese a existência de tais ataques, os caminhos para a desinstitucionalização das pessoas com transtornos psicossociais em conflito com a lei penal encontram-se abertos para serem trilhados, e a garantia do direito ao tratamento em saúde mental nos serviços comunitários em detrimento dos manicômios parece estar, finalmente, mais próxima de ocorrer na prática. Com os prazos delineados pela Resolução nº 487 do CNJ, que deve ser obrigatoriamente aplicada pelos juízes e pela administração penitenciária, espera-se que as normas da Lei Antimanicomial e da Convenção Internacional dos Direitos das Pessoas com Deficiência sejam, enfim, inteiramente cumpridas – ainda que as classes dominantes não queiram que isso ocorra.</w:t>
      </w:r>
    </w:p>
    <w:p w:rsidR="00000000" w:rsidDel="00000000" w:rsidP="00000000" w:rsidRDefault="00000000" w:rsidRPr="00000000" w14:paraId="0000040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3">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Conclusão</w:t>
      </w:r>
    </w:p>
    <w:p w:rsidR="00000000" w:rsidDel="00000000" w:rsidP="00000000" w:rsidRDefault="00000000" w:rsidRPr="00000000" w14:paraId="00000404">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0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presente artigo, buscou-se articular as reflexões trazidas pela teoria crítica dos direitos humanos e dos estudos de gênero com o debate acerca da efetivação de direitos para as pessoas com sofrimento psíquico em conflito com a lei, internadas em Hospitais de Custódia e Tratamento Psiquiátrico. Esse grupo, historicamente subalternizado e estigmatizado em razão do transtorno psicossocial e da criminalização, além dos marcadores de raça, classe, gênero e orientação sexual, sempre teve seus direitos negados na prática, ainda que eles estivessem positivados na ordem jurídica. </w:t>
      </w:r>
    </w:p>
    <w:p w:rsidR="00000000" w:rsidDel="00000000" w:rsidP="00000000" w:rsidRDefault="00000000" w:rsidRPr="00000000" w14:paraId="0000040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 especial, as mulheres privadas de liberdade nos manicômios judiciários enfrentam maiores dificuldades de acessar os direitos a elas assegurados não apenas por um, mas por vários documentos normativos nacionais e internacionais. O somatório de violências – associadas ao gênero, ao transtorno psicossocial e à criminalização – as colocam em um lugar de superior estigmatização.</w:t>
      </w:r>
    </w:p>
    <w:p w:rsidR="00000000" w:rsidDel="00000000" w:rsidP="00000000" w:rsidRDefault="00000000" w:rsidRPr="00000000" w14:paraId="0000040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luta antimanicomial, em especial do MNLA, foi essencial para a edição da Lei da Reforma Psiquiátrica que, hoje, vislumbra a possibilidade de ser finalmente aplicada às loucas e loucos infratores por meio da Resolução nº 487 do CNJ. </w:t>
      </w:r>
    </w:p>
    <w:p w:rsidR="00000000" w:rsidDel="00000000" w:rsidP="00000000" w:rsidRDefault="00000000" w:rsidRPr="00000000" w14:paraId="0000040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Entendendo, porém, assim como Herrera Flores (2009), que os direitos humanos são uma constante construção, instituindo-se como resultados sempre provisórios das lutas por dignidade, não estando garantidos pela simples redação em um papel, é necessário destacar que a luta antimanicomial precisa seguir avançando. A luta por uma sociedade sem manicômios continua, para a destruição de todo e qualquer muro que separe os subalternizados da emancipação humana e contra toda e qualquer forma de opressão, estigmatização e exploração.</w:t>
      </w:r>
    </w:p>
    <w:p w:rsidR="00000000" w:rsidDel="00000000" w:rsidP="00000000" w:rsidRDefault="00000000" w:rsidRPr="00000000" w14:paraId="00000409">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40B">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ASSOCIAÇÃO BRASILEIRA DE PSIQUIATRIA.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Alerta urgente à sociedade brasileira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2023.</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de repúdio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2023.</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BATISTA, Vera Malaguti. </w:t>
      </w:r>
      <w:r w:rsidDel="00000000" w:rsidR="00000000" w:rsidRPr="00000000">
        <w:rPr>
          <w:rFonts w:ascii="Times New Roman" w:cs="Times New Roman" w:eastAsia="Times New Roman" w:hAnsi="Times New Roman"/>
          <w:b w:val="1"/>
          <w:sz w:val="24"/>
          <w:szCs w:val="24"/>
          <w:rtl w:val="0"/>
        </w:rPr>
        <w:t xml:space="preserve">Introdução Crítica à Criminologia Brasileira</w:t>
      </w:r>
      <w:r w:rsidDel="00000000" w:rsidR="00000000" w:rsidRPr="00000000">
        <w:rPr>
          <w:rFonts w:ascii="Times New Roman" w:cs="Times New Roman" w:eastAsia="Times New Roman" w:hAnsi="Times New Roman"/>
          <w:sz w:val="24"/>
          <w:szCs w:val="24"/>
          <w:rtl w:val="0"/>
        </w:rPr>
        <w:t xml:space="preserve">. Rio de Janeiro: Revan, 2011.</w:t>
      </w:r>
    </w:p>
    <w:p w:rsidR="00000000" w:rsidDel="00000000" w:rsidP="00000000" w:rsidRDefault="00000000" w:rsidRPr="00000000" w14:paraId="000004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BOITEUX, Luciana. Encarceramento feminino e seletividade penal. </w:t>
      </w:r>
      <w:r w:rsidDel="00000000" w:rsidR="00000000" w:rsidRPr="00000000">
        <w:rPr>
          <w:rFonts w:ascii="Times New Roman" w:cs="Times New Roman" w:eastAsia="Times New Roman" w:hAnsi="Times New Roman"/>
          <w:b w:val="1"/>
          <w:sz w:val="24"/>
          <w:szCs w:val="24"/>
          <w:rtl w:val="0"/>
        </w:rPr>
        <w:t xml:space="preserve">Revista Rede Justiça Criminal</w:t>
      </w:r>
      <w:r w:rsidDel="00000000" w:rsidR="00000000" w:rsidRPr="00000000">
        <w:rPr>
          <w:rFonts w:ascii="Times New Roman" w:cs="Times New Roman" w:eastAsia="Times New Roman" w:hAnsi="Times New Roman"/>
          <w:sz w:val="24"/>
          <w:szCs w:val="24"/>
          <w:rtl w:val="0"/>
        </w:rPr>
        <w:t xml:space="preserve">, 9ª Ed., 2018. </w:t>
      </w:r>
    </w:p>
    <w:p w:rsidR="00000000" w:rsidDel="00000000" w:rsidP="00000000" w:rsidRDefault="00000000" w:rsidRPr="00000000" w14:paraId="0000041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Ministério da Saúde.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Lei nº 10.216, Lei da Reforma Psiquiátrica de 06 de abril de 2001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Diário Oficial da União.</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CARVALHO, Salo.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Penas e Medidas de Segurança no direito penal brasileiro: fundamentos e aplicação judicial</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Saraiva, 2013.</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CONSELHO NACIONAL DE JUSTIÇA. Regras de Bangkok: regras das Nações Unidas para o tratamento de mulheres presas e medidas não privativas de liberdade para mulheres infratoras. Brasília: CNJ, 2016.(Tratados Internacionais de Direitos Humanos).</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CONSELHO NACIONAL DE JUSTIÇA.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Resolução Nº 487 de 15/02/2023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Brasília: CNJ, 2023.</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CORREIA, Ludmila Cerqueira. O movimento antimanicomial: movimento social de luta pela garantia e defesa dos direitos humanos.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Prim Facie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5, n. 8, p. 83-97, 2006.</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Michel. </w:t>
      </w:r>
      <w:r w:rsidDel="00000000" w:rsidR="00000000" w:rsidRPr="00000000">
        <w:rPr>
          <w:rFonts w:ascii="Times New Roman" w:cs="Times New Roman" w:eastAsia="Times New Roman" w:hAnsi="Times New Roman"/>
          <w:b w:val="1"/>
          <w:sz w:val="24"/>
          <w:szCs w:val="24"/>
          <w:rtl w:val="0"/>
        </w:rPr>
        <w:t xml:space="preserve">História da Loucura: na idade clássica</w:t>
      </w:r>
      <w:r w:rsidDel="00000000" w:rsidR="00000000" w:rsidRPr="00000000">
        <w:rPr>
          <w:rFonts w:ascii="Times New Roman" w:cs="Times New Roman" w:eastAsia="Times New Roman" w:hAnsi="Times New Roman"/>
          <w:sz w:val="24"/>
          <w:szCs w:val="24"/>
          <w:rtl w:val="0"/>
        </w:rPr>
        <w:t xml:space="preserve">. Tradução de José Teixeira Coelho Neto. São Paulo: Perspectiva, 2014.</w:t>
      </w:r>
    </w:p>
    <w:p w:rsidR="00000000" w:rsidDel="00000000" w:rsidP="00000000" w:rsidRDefault="00000000" w:rsidRPr="00000000" w14:paraId="0000041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Joaquín Herrera. </w:t>
      </w:r>
      <w:r w:rsidDel="00000000" w:rsidR="00000000" w:rsidRPr="00000000">
        <w:rPr>
          <w:rFonts w:ascii="Times New Roman" w:cs="Times New Roman" w:eastAsia="Times New Roman" w:hAnsi="Times New Roman"/>
          <w:b w:val="1"/>
          <w:sz w:val="24"/>
          <w:szCs w:val="24"/>
          <w:rtl w:val="0"/>
        </w:rPr>
        <w:t xml:space="preserve">A reinvenção dos direitos humanos</w:t>
      </w:r>
      <w:r w:rsidDel="00000000" w:rsidR="00000000" w:rsidRPr="00000000">
        <w:rPr>
          <w:rFonts w:ascii="Times New Roman" w:cs="Times New Roman" w:eastAsia="Times New Roman" w:hAnsi="Times New Roman"/>
          <w:sz w:val="24"/>
          <w:szCs w:val="24"/>
          <w:rtl w:val="0"/>
        </w:rPr>
        <w:t xml:space="preserve">. Tradução de: Carlos Roberto Diogo Garcia; Antônio Henrique Graciano Suxberger; Jefferson Aparecido Dias. Florianópolis: Fundação Boiteux, 2009.</w:t>
      </w:r>
    </w:p>
    <w:p w:rsidR="00000000" w:rsidDel="00000000" w:rsidP="00000000" w:rsidRDefault="00000000" w:rsidRPr="00000000" w14:paraId="0000042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spacing w:after="0" w:line="240" w:lineRule="auto"/>
        <w:jc w:val="both"/>
        <w:rPr>
          <w:rFonts w:ascii="Times New Roman" w:cs="Times New Roman" w:eastAsia="Times New Roman" w:hAnsi="Times New Roman"/>
          <w:sz w:val="24"/>
          <w:szCs w:val="24"/>
        </w:rPr>
      </w:pPr>
      <w:bookmarkStart w:colFirst="0" w:colLast="0" w:name="_30j0zll" w:id="1"/>
      <w:bookmarkEnd w:id="1"/>
      <w:r w:rsidDel="00000000" w:rsidR="00000000" w:rsidRPr="00000000">
        <w:rPr>
          <w:rFonts w:ascii="Times New Roman" w:cs="Times New Roman" w:eastAsia="Times New Roman" w:hAnsi="Times New Roman"/>
          <w:sz w:val="24"/>
          <w:szCs w:val="24"/>
          <w:rtl w:val="0"/>
        </w:rPr>
        <w:t xml:space="preserve">GOFFMAN, Erving. </w:t>
      </w:r>
      <w:r w:rsidDel="00000000" w:rsidR="00000000" w:rsidRPr="00000000">
        <w:rPr>
          <w:rFonts w:ascii="Times New Roman" w:cs="Times New Roman" w:eastAsia="Times New Roman" w:hAnsi="Times New Roman"/>
          <w:b w:val="1"/>
          <w:sz w:val="24"/>
          <w:szCs w:val="24"/>
          <w:rtl w:val="0"/>
        </w:rPr>
        <w:t xml:space="preserve">Manicômios, prisões e conventos</w:t>
      </w:r>
      <w:r w:rsidDel="00000000" w:rsidR="00000000" w:rsidRPr="00000000">
        <w:rPr>
          <w:rFonts w:ascii="Times New Roman" w:cs="Times New Roman" w:eastAsia="Times New Roman" w:hAnsi="Times New Roman"/>
          <w:sz w:val="24"/>
          <w:szCs w:val="24"/>
          <w:rtl w:val="0"/>
        </w:rPr>
        <w:t xml:space="preserve">. São Paulo: Perspectiva, 1974. </w:t>
      </w:r>
    </w:p>
    <w:p w:rsidR="00000000" w:rsidDel="00000000" w:rsidP="00000000" w:rsidRDefault="00000000" w:rsidRPr="00000000" w14:paraId="000004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Karl. </w:t>
      </w:r>
      <w:r w:rsidDel="00000000" w:rsidR="00000000" w:rsidRPr="00000000">
        <w:rPr>
          <w:rFonts w:ascii="Times New Roman" w:cs="Times New Roman" w:eastAsia="Times New Roman" w:hAnsi="Times New Roman"/>
          <w:b w:val="1"/>
          <w:sz w:val="24"/>
          <w:szCs w:val="24"/>
          <w:rtl w:val="0"/>
        </w:rPr>
        <w:t xml:space="preserve">Sobre a questão judaica</w:t>
      </w:r>
      <w:r w:rsidDel="00000000" w:rsidR="00000000" w:rsidRPr="00000000">
        <w:rPr>
          <w:rFonts w:ascii="Times New Roman" w:cs="Times New Roman" w:eastAsia="Times New Roman" w:hAnsi="Times New Roman"/>
          <w:sz w:val="24"/>
          <w:szCs w:val="24"/>
          <w:rtl w:val="0"/>
        </w:rPr>
        <w:t xml:space="preserve">. São Paulo: Boitempo, 2009.</w:t>
      </w:r>
    </w:p>
    <w:p w:rsidR="00000000" w:rsidDel="00000000" w:rsidP="00000000" w:rsidRDefault="00000000" w:rsidRPr="00000000" w14:paraId="0000042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MAGNO, Patrícia Carlos. Encarceramento feminino: um olhar sobre mulheres e medidas de segurança. </w:t>
      </w:r>
      <w:r w:rsidDel="00000000" w:rsidR="00000000" w:rsidRPr="00000000">
        <w:rPr>
          <w:rFonts w:ascii="Times New Roman" w:cs="Times New Roman" w:eastAsia="Times New Roman" w:hAnsi="Times New Roman"/>
          <w:b w:val="1"/>
          <w:sz w:val="24"/>
          <w:szCs w:val="24"/>
          <w:rtl w:val="0"/>
        </w:rPr>
        <w:t xml:space="preserve">Revista da Defensoria Pública do Estado do Rio Grande do Sul</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Porto Alegre, n. 16, p. 225–260, 2016. Disponível em: </w:t>
      </w:r>
      <w:hyperlink r:id="rId57">
        <w:r w:rsidDel="00000000" w:rsidR="00000000" w:rsidRPr="00000000">
          <w:rPr>
            <w:rFonts w:ascii="Times New Roman" w:cs="Times New Roman" w:eastAsia="Times New Roman" w:hAnsi="Times New Roman"/>
            <w:color w:val="000000"/>
            <w:sz w:val="24"/>
            <w:szCs w:val="24"/>
            <w:u w:val="single"/>
            <w:rtl w:val="0"/>
          </w:rPr>
          <w:t xml:space="preserve">https://revistadpers.emnuvens.com.br/defensoria/article/view/198</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PIRES, Thula Rafaela de Oliveira. </w:t>
      </w:r>
      <w:r w:rsidDel="00000000" w:rsidR="00000000" w:rsidRPr="00000000">
        <w:rPr>
          <w:rFonts w:ascii="Times New Roman" w:cs="Times New Roman" w:eastAsia="Times New Roman" w:hAnsi="Times New Roman"/>
          <w:b w:val="1"/>
          <w:sz w:val="24"/>
          <w:szCs w:val="24"/>
          <w:rtl w:val="0"/>
        </w:rPr>
        <w:t xml:space="preserve">Direitos Humanos traduzidos em pretuguês</w:t>
      </w:r>
      <w:r w:rsidDel="00000000" w:rsidR="00000000" w:rsidRPr="00000000">
        <w:rPr>
          <w:rFonts w:ascii="Times New Roman" w:cs="Times New Roman" w:eastAsia="Times New Roman" w:hAnsi="Times New Roman"/>
          <w:sz w:val="24"/>
          <w:szCs w:val="24"/>
          <w:rtl w:val="0"/>
        </w:rPr>
        <w:t xml:space="preserve">. Seminário Interna Eletrônicos, Florianópolis, 2017. </w:t>
      </w:r>
    </w:p>
    <w:p w:rsidR="00000000" w:rsidDel="00000000" w:rsidP="00000000" w:rsidRDefault="00000000" w:rsidRPr="00000000" w14:paraId="0000042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THOMPSON. E.P. </w:t>
      </w:r>
      <w:r w:rsidDel="00000000" w:rsidR="00000000" w:rsidRPr="00000000">
        <w:rPr>
          <w:rFonts w:ascii="Times New Roman" w:cs="Times New Roman" w:eastAsia="Times New Roman" w:hAnsi="Times New Roman"/>
          <w:b w:val="1"/>
          <w:sz w:val="24"/>
          <w:szCs w:val="24"/>
          <w:rtl w:val="0"/>
        </w:rPr>
        <w:t xml:space="preserve">Senhores e Caçadores: a origem da Lei Negra</w:t>
      </w:r>
      <w:r w:rsidDel="00000000" w:rsidR="00000000" w:rsidRPr="00000000">
        <w:rPr>
          <w:rFonts w:ascii="Times New Roman" w:cs="Times New Roman" w:eastAsia="Times New Roman" w:hAnsi="Times New Roman"/>
          <w:sz w:val="24"/>
          <w:szCs w:val="24"/>
          <w:rtl w:val="0"/>
        </w:rPr>
        <w:t xml:space="preserve">. Rio de Janeiro: Paz e Terra, 1997.</w:t>
      </w:r>
    </w:p>
    <w:p w:rsidR="00000000" w:rsidDel="00000000" w:rsidP="00000000" w:rsidRDefault="00000000" w:rsidRPr="00000000" w14:paraId="0000042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C">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INTERSECCIONALIDADE, O JULGAMENTO TRABALHISTA COM PERSPECTIVA DE GÊNERO, O CONTROLE DE CONVENCIONALIDADE E A CONVENÇÃO 156 DA OIT</w:t>
      </w:r>
    </w:p>
    <w:p w:rsidR="00000000" w:rsidDel="00000000" w:rsidP="00000000" w:rsidRDefault="00000000" w:rsidRPr="00000000" w14:paraId="0000042D">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Celeste Simões Marques</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tl w:val="0"/>
        </w:rPr>
      </w:r>
    </w:p>
    <w:p w:rsidR="00000000" w:rsidDel="00000000" w:rsidP="00000000" w:rsidRDefault="00000000" w:rsidRPr="00000000" w14:paraId="0000042E">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Natália Queiroz Cabral Rodrigues</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tl w:val="0"/>
        </w:rPr>
      </w:r>
    </w:p>
    <w:p w:rsidR="00000000" w:rsidDel="00000000" w:rsidP="00000000" w:rsidRDefault="00000000" w:rsidRPr="00000000" w14:paraId="0000042F">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43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propomos neste ensaio é a reflexão sobre a necessária abordagem interseccional a partir da possível ratificação da Convenção 156 da Organização Internacional do Trabalho e a atuação jurisdicional trabalhista brasileira em perspectiva de gênero, apontando a importância do controle de convencionalidade. </w:t>
      </w:r>
    </w:p>
    <w:p w:rsidR="00000000" w:rsidDel="00000000" w:rsidP="00000000" w:rsidRDefault="00000000" w:rsidRPr="00000000" w14:paraId="0000043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interseccionalidade aparece, inicialmente, nas reflexões das mulheres feministas negras estadunidenses, cuja expressão e sentido foi utilizada por Angela Davis (2016), seguida de várias outras pensadoras críticas contemporâneas, como Patrícia Hill Collins (2021) e fora dos EUA, também com Lélia Gonzalez (2020), Danielle Kergoat (2010), Heleieth Saffioti (2001), Suely Almeida (2007), Lilia Pougy (2018), Ochy Curiel (2008), Carla Akotirene (2019), Conceição Nogueira (2017), Flávia Rios (2020), dentre tantas outras.</w:t>
      </w:r>
    </w:p>
    <w:p w:rsidR="00000000" w:rsidDel="00000000" w:rsidP="00000000" w:rsidRDefault="00000000" w:rsidRPr="00000000" w14:paraId="0000043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há consenso sobre tratar-se de uma ferramenta metodológica, uma chave analítica, uma categoria</w:t>
      </w:r>
      <w:r w:rsidDel="00000000" w:rsidR="00000000" w:rsidRPr="00000000">
        <w:rPr>
          <w:rFonts w:ascii="Times New Roman" w:cs="Times New Roman" w:eastAsia="Times New Roman" w:hAnsi="Times New Roman"/>
          <w:color w:val="000000"/>
          <w:sz w:val="24"/>
          <w:szCs w:val="24"/>
          <w:rtl w:val="0"/>
        </w:rPr>
        <w:t xml:space="preserve">, ou uma teoria, mas é fato que a sua proposta transcendeu a perspectiva de análise do movimento feminista negro. Seus princípios sistêmicos (multidimensionalidade, interdependência, construção histórica, relacional e antagônica</w:t>
      </w:r>
      <w:r w:rsidDel="00000000" w:rsidR="00000000" w:rsidRPr="00000000">
        <w:rPr>
          <w:rFonts w:ascii="Times New Roman" w:cs="Times New Roman" w:eastAsia="Times New Roman" w:hAnsi="Times New Roman"/>
          <w:sz w:val="24"/>
          <w:szCs w:val="24"/>
          <w:rtl w:val="0"/>
        </w:rPr>
        <w:t xml:space="preserve"> ao positivismo etc.)</w:t>
      </w:r>
      <w:r w:rsidDel="00000000" w:rsidR="00000000" w:rsidRPr="00000000">
        <w:rPr>
          <w:rFonts w:ascii="Times New Roman" w:cs="Times New Roman" w:eastAsia="Times New Roman" w:hAnsi="Times New Roman"/>
          <w:color w:val="000000"/>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nos permitem trazê-la para análises no âmbito da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olítica de combate às discriminações no trabalho e outros contextos </w:t>
      </w:r>
      <w:r w:rsidDel="00000000" w:rsidR="00000000" w:rsidRPr="00000000">
        <w:rPr>
          <w:rFonts w:ascii="Times New Roman" w:cs="Times New Roman" w:eastAsia="Times New Roman" w:hAnsi="Times New Roman"/>
          <w:sz w:val="24"/>
          <w:szCs w:val="24"/>
          <w:rtl w:val="0"/>
        </w:rPr>
        <w:t xml:space="preserve">socioeconômicos</w:t>
      </w:r>
      <w:r w:rsidDel="00000000" w:rsidR="00000000" w:rsidRPr="00000000">
        <w:rPr>
          <w:rFonts w:ascii="Times New Roman" w:cs="Times New Roman" w:eastAsia="Times New Roman" w:hAnsi="Times New Roman"/>
          <w:color w:val="000000"/>
          <w:sz w:val="24"/>
          <w:szCs w:val="24"/>
          <w:rtl w:val="0"/>
        </w:rPr>
        <w:t xml:space="preserve">-políticos, que envolvem os Direitos Humanos, eis que se pretende um “giro” no pensar científico que não hier</w:t>
      </w:r>
      <w:r w:rsidDel="00000000" w:rsidR="00000000" w:rsidRPr="00000000">
        <w:rPr>
          <w:rFonts w:ascii="Times New Roman" w:cs="Times New Roman" w:eastAsia="Times New Roman" w:hAnsi="Times New Roman"/>
          <w:sz w:val="24"/>
          <w:szCs w:val="24"/>
          <w:rtl w:val="0"/>
        </w:rPr>
        <w:t xml:space="preserve">arquiza nem compartimentaliza dimensões que estão em constante construções históricas relacionais e vão para além das análises de classe, gênero e raça, considerado o peculiar contexto do Sul Global e, especialmente, do Brasil. O pensamento interseccional trabalha com a complexidade que não parte somente do indivíduo/sujeito, mas com as interdependências que se compõem mutuamente e se pretende resistência epistêmica com compromisso e responsabilidade social de transformação na produção do conhecimento científico.</w:t>
      </w:r>
    </w:p>
    <w:p w:rsidR="00000000" w:rsidDel="00000000" w:rsidP="00000000" w:rsidRDefault="00000000" w:rsidRPr="00000000" w14:paraId="0000043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Convenção 156 da OIT foi gestada em reunião ocorrida em 03 de junho de 1981, e até março de 2023 não tinha sido encaminhada para ratificação pelo Estado Brasileiro, o que veio a acontecer por ocasião do corolário de medidas em comemoração ao dia internacional da mulher e não a contemplar todos os gêneros.</w:t>
      </w:r>
    </w:p>
    <w:p w:rsidR="00000000" w:rsidDel="00000000" w:rsidP="00000000" w:rsidRDefault="00000000" w:rsidRPr="00000000" w14:paraId="0000043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contexto propomos algumas reflexões: por que a Convenção 156 da OIT, que trata de responsabilidades de trabalhadores com encargos de família, só fez parte das medidas que tinham por finalidade impulsionar direitos das mulheres e não de todos os gêneros, num Brasil cujo governo se autoproclama progressista e social? Homenagear direitos das mulheres significa tão somente dividir os encargos familiares? Com que sujeitos? Lembremos que a comemoração do dia das mães, por exemplo, até bem pouco tempo, se traduzia em campanhas pró consumo que veiculavam presentes como: máquinas de lavar roupas ou batedeiras dentre outros utensílios domésticos identificando o “locus” das mulheres na divisão do trabalho e papeis sociais.</w:t>
      </w:r>
    </w:p>
    <w:p w:rsidR="00000000" w:rsidDel="00000000" w:rsidP="00000000" w:rsidRDefault="00000000" w:rsidRPr="00000000" w14:paraId="0000043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Partimos da premissa de que o patriarcado, o machismo, o sexismo, o colonialismo, o classismo, a homofobia e o racismo estruturam a sociedade brasileira e não deixam de estar presentes em todos os espaços, inclusive naqueles, cujas pautas mostram preocupação com os direitos sociais, como é o caso do judiciário trabalhista. Mas, e os tais direitos sociais, são para quem mesmo?</w:t>
      </w:r>
    </w:p>
    <w:p w:rsidR="00000000" w:rsidDel="00000000" w:rsidP="00000000" w:rsidRDefault="00000000" w:rsidRPr="00000000" w14:paraId="0000043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tese os encargos familiares seriam (ou deveriam ser) de responsabilidade dos adultos integrantes ou não das famílias constituídas das mais diversas formas, e as tarefas necessárias para a manutenção da vida divididas de modo que as escolhas de trabalho/profissionais de cada membro não fossem afetadas. Como a divisão de tarefas reproduzida pelo patriarcado capitalista jamais considerou valor à sobrecarga suportada pelas mulheres e integrantes da comunidade LGBTQIA+ no âmbito privado, foi preciso “comemorar” o tardio envio da Convenção 156 da OIT para possível ratificação pelo Brasil, no simbólico mês de março de 2023.</w:t>
      </w:r>
    </w:p>
    <w:p w:rsidR="00000000" w:rsidDel="00000000" w:rsidP="00000000" w:rsidRDefault="00000000" w:rsidRPr="00000000" w14:paraId="0000043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discriminação das mulheres e integrantes da comunidade LGBTQIA+ na sociedade brasileira atravessa o tempo histórico, acompanhada pela norma jurídica que sempre esteve a serviço da ideologia dominante, colonial e patriarcal e por décadas não reconheceu as mulheres e membros LGTQIA+ como sujeitos totalmente capazes, desprovidas que foram dos direitos civis ou políticos (Código Civil de 1916, por exemplo, no caso das mulheres cis e a dificuldade de conquista do direito ao nome social pelas pessoas trans).  </w:t>
      </w:r>
    </w:p>
    <w:p w:rsidR="00000000" w:rsidDel="00000000" w:rsidP="00000000" w:rsidRDefault="00000000" w:rsidRPr="00000000" w14:paraId="0000043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dados da Justiça Eleitoral (TSE – mulheres), o Brasil possuía 53% de mulheres eleitoras em 2022, 34% de candidatas mulheres nas últimas eleições e 18% candidatas eleitas. Mulheres são a maioria das eleitoras, mas ainda votam majoritariamente em homens. Porque talvez ainda acreditem em narrativas construídas de que política não é “coisa” de mulher</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ou, talvez, por absoluta ausência de tempo material pela necessária reprodução da vida ou prioridade de sobrevivência, já que raramente tem a oportunidade de dividir os encargos familiares com os demais membros, especialmente com os homens brancos, cis heteronormativos forjados no hetero patriarcado de raiz colonial. </w:t>
      </w:r>
    </w:p>
    <w:p w:rsidR="00000000" w:rsidDel="00000000" w:rsidP="00000000" w:rsidRDefault="00000000" w:rsidRPr="00000000" w14:paraId="0000043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país com baixa participação feminina e da comunidade LGBTQIA+ na política, no Judiciário, na Ciência e Tecnologia, não permite que a igualdade ou a equidade avance como política de Estado, que priorize a capacitação e a inserção nos espaços produtivos, com a mesma competitividade que os homens brancos, cis heteronormativos.</w:t>
      </w:r>
    </w:p>
    <w:p w:rsidR="00000000" w:rsidDel="00000000" w:rsidP="00000000" w:rsidRDefault="00000000" w:rsidRPr="00000000" w14:paraId="0000043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desta constatação, mais histórica sociológica e política do que jurídica positivista, ponderamos a interseccionalidade e a necessária ratificação da Convenção 156 da OIT e a discussão e compreensão do que venha a ser “o julgamento em perspectiva de gênero”.</w:t>
      </w:r>
      <w:r w:rsidDel="00000000" w:rsidR="00000000" w:rsidRPr="00000000">
        <w:rPr>
          <w:rFonts w:ascii="Times New Roman" w:cs="Times New Roman" w:eastAsia="Times New Roman" w:hAnsi="Times New Roman"/>
          <w:sz w:val="24"/>
          <w:szCs w:val="24"/>
          <w:vertAlign w:val="superscript"/>
        </w:rPr>
        <w:footnoteReference w:customMarkFollows="0" w:id="48"/>
      </w:r>
      <w:r w:rsidDel="00000000" w:rsidR="00000000" w:rsidRPr="00000000">
        <w:rPr>
          <w:rtl w:val="0"/>
        </w:rPr>
      </w:r>
    </w:p>
    <w:p w:rsidR="00000000" w:rsidDel="00000000" w:rsidP="00000000" w:rsidRDefault="00000000" w:rsidRPr="00000000" w14:paraId="0000043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Adotaremos tal nomenclatura “em perspectiva de gênero” por compreendermos que o julgamento parte de uma visão de mundo única e individual, não raras vezes autocentrada e universalista, daquele que profere uma sentença, uma construção própria a partir de suas matrizes e saberes teóricos e sociais, suas raízes étnicas e culturais e que julgar é escolher percorrer um caminho, ainda que somente alinhado pelas vias permitidas pelo texto constitucional positivo.</w:t>
      </w:r>
    </w:p>
    <w:p w:rsidR="00000000" w:rsidDel="00000000" w:rsidP="00000000" w:rsidRDefault="00000000" w:rsidRPr="00000000" w14:paraId="0000043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pessoa que julga, investida do poder-dever a ela atribuído pelo Estado, faz escolhas intrínsecas e muitas vezes impublicáveis, ainda que amparada pela legislação nacional e internacional, que se propõe ser capaz de atender ao princípio da igualdade.</w:t>
      </w:r>
    </w:p>
    <w:p w:rsidR="00000000" w:rsidDel="00000000" w:rsidP="00000000" w:rsidRDefault="00000000" w:rsidRPr="00000000" w14:paraId="0000043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Julgar em perspectiva de gênero é adotar um caminho ampliado, com as lentes próprias que visualizam as assimetrias estruturais postas na sociedade complexa, multidimensional, sistêmica, relacional e histórica e que, se não utilizadas como ferramenta, embaçam as matrizes e mente daqueles que aplicam as normas, pois propicia que fiquem ancorados tão somente nas diretrizes positivistas, na interpretação literal da legislação e no uso dos manuais jurídicos. </w:t>
      </w:r>
    </w:p>
    <w:p w:rsidR="00000000" w:rsidDel="00000000" w:rsidP="00000000" w:rsidRDefault="00000000" w:rsidRPr="00000000" w14:paraId="0000043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qual é o perfil dos integrantes do Congresso Nacional, do Poder Legislativo, que produzem as leis? Em sua maioria homens brancos, cis heteronormativos, cristãos, proprietários, e em boa parte oriundos de famílias tradicionais, algumas, inclusive, que participara da exploração do país desde o Brasil colônia. </w:t>
      </w:r>
    </w:p>
    <w:p w:rsidR="00000000" w:rsidDel="00000000" w:rsidP="00000000" w:rsidRDefault="00000000" w:rsidRPr="00000000" w14:paraId="0000044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neste ponto merece destaque a formação da sociedade brasileira e os estereótipos e vieses presentes que deslocam as pessoas para lugares específicos, com a construção de narrativas tais como: as mulheres são as primeiras responsáveis por cuidar de filhos, pessoas doentes e idosos, ocupando espaços profissionais em tempo parcial, preferencialmente em teletrabalho ou no trabalho em domicílio. E os argumentos biológicos servem a tal propósito, com ideários tais como: a mãe é a figura mais importante na vida de um ser humano, e a amamentação exclusiva no seio materno é recomendação da Sociedade Brasileira de Pediatria</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4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comunidade LGBTQIA+ se insere comumente no trabalho do cuidado ou no trabalho como profissionais do sexo, ainda que por ausência de opção, considerando-se que o Brasil é um dos maiores consumidores de pornografia do mundo.</w:t>
      </w:r>
    </w:p>
    <w:p w:rsidR="00000000" w:rsidDel="00000000" w:rsidP="00000000" w:rsidRDefault="00000000" w:rsidRPr="00000000" w14:paraId="0000044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Sociedade Brasileira de Pediatria elenca, dentre vários fatores, o porquê da importância de amamentar, dentre eles: o desenvolvimento e o crescimento da criança que mama exclusivamente no peito são melhores; o leite materno provê relativa proteção contra alergias, asma e diabete; e o aleitamento deve ser feito com livre demanda, ou seja, o ritmo da criança deve ser respeitado, quando e como ela quiser, e a mãe deve estar disponível.</w:t>
      </w:r>
    </w:p>
    <w:p w:rsidR="00000000" w:rsidDel="00000000" w:rsidP="00000000" w:rsidRDefault="00000000" w:rsidRPr="00000000" w14:paraId="0000044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um dos objetivos deste trabalho é discutir a importância da divisão dos encargos no ambiente doméstico e a percepção, por parte do sistema de justiça, com ênfase para o julgador, de que as pessoas são diferentes e precisam de um julgamento que considere o gênero (no sentido alargado do termo)</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Fonts w:ascii="Times New Roman" w:cs="Times New Roman" w:eastAsia="Times New Roman" w:hAnsi="Times New Roman"/>
          <w:sz w:val="24"/>
          <w:szCs w:val="24"/>
          <w:rtl w:val="0"/>
        </w:rPr>
        <w:t xml:space="preserve">, como estas premissas seriam compatíveis, por exemplo, com tais questões biologizantes e que a medicina alega esperar dos corpos? Dos corpos femininos quando procriam e da comunidade LGBTQI+ quanto ao seu utilitarismo?</w:t>
      </w:r>
    </w:p>
    <w:p w:rsidR="00000000" w:rsidDel="00000000" w:rsidP="00000000" w:rsidRDefault="00000000" w:rsidRPr="00000000" w14:paraId="0000044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 IBGE existem 11 milhões de mães solo no Brasil, chefes de família, muitas vezes em situação de vulnerabilidade social e essas não têm assegurados direitos diferenciados. Para as mulheres de classe social elevada (na sua maioria brancas), é possível se dedicar à maternidade integralmente, por um período, em razão da rede de apoio que a condição financeira lhe permite. Mas a vida pessoal não será preservada. A responsabilidade pela maternidade é considerada como exclusiva da mulher, durante a gravidez, já que o fenômeno acontece no seu corpo. Quanto aos integrantes da comunidade LGBTQIA+, a opção pela maternidade também não assegura quaisquer diferenciações que assegurem equidade. </w:t>
      </w:r>
    </w:p>
    <w:p w:rsidR="00000000" w:rsidDel="00000000" w:rsidP="00000000" w:rsidRDefault="00000000" w:rsidRPr="00000000" w14:paraId="0000044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além da percepção da criança e de suas necessidades desde a concepção, com as quais concordamos plenamente, a medicina como ciência que cuida da saúde bio-física e mental e a sociedade brasileira de pediatria deveriam compatibilizar os interesses dos bebês que mamam por livre demanda com as necessidades daqueles e daquelas que os amamentam. Este é um enorme e duradouro encargo familiar: cuidar de um recém-nascido, ainda amplamente delegada ao feminino corporificado.</w:t>
      </w:r>
    </w:p>
    <w:p w:rsidR="00000000" w:rsidDel="00000000" w:rsidP="00000000" w:rsidRDefault="00000000" w:rsidRPr="00000000" w14:paraId="0000044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maioria da população brasileira, segundo dados do PNAD Contínua, é composta por mulheres (51,1%), e a maioria delas são mulheres negras. E a realidade das mães brasileiras é lutar pela sobrevivência delas e de seus filhos. Com nenhuma possibilidade de dedicação exclusiva à maternidade ou escolhas sobre aleitamento materno. É preciso visibilizar as muitas mulheres/gêneros brasileiras/os: as pretas e pobres que nunca deixaram “de trabalhar fora” e “apenas” cuidar da sua vida doméstica e da sua própria prole; as mulheres brancas e pretas de classe média, que lutam para “equilibrar muitos pratos” e trabalhar no ambiente doméstico e fora dele; as migrantes e imigrantes que sofrem pela extrema vulnerabilidade e sequer são visíveis nas estatísticas; as mulheres da elite que sofrem violências silenciadas e mantém as aparências, mas que nunca  assumiram o trabalho doméstico ou cuidaram dos próprios filhos, a maternidade lésbica, a maternidade trans, a maternidade homoafetiva, etc.</w:t>
      </w:r>
    </w:p>
    <w:p w:rsidR="00000000" w:rsidDel="00000000" w:rsidP="00000000" w:rsidRDefault="00000000" w:rsidRPr="00000000" w14:paraId="0000044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baixa participação feminina cis e da população LBGTIA+ em espaços de poder que demandam dedicação exclusiva, poucas ocupando cargos de direção, chefia ou que necessitam de deslocamentos fora do ambiente doméstico e salários inferiores pagos com regularidade, são algumas das consequências do tratamento discriminatório que elas recebem da sociedade brasileira. </w:t>
      </w:r>
    </w:p>
    <w:p w:rsidR="00000000" w:rsidDel="00000000" w:rsidP="00000000" w:rsidRDefault="00000000" w:rsidRPr="00000000" w14:paraId="0000044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os lugares reservados ao masculino branco, cis heteronormativo são típicos, pois eles estão no ambiente produtivo, corporativo, viajando a trabalho, voltando para casa tarde e se ocupando em obter cada vez maior remuneração. Mas sem tempo e sem jeito com as “coisas da casa”, com o ambiente doméstico, com crianças e idosos, o trabalho do cuidado.</w:t>
      </w:r>
    </w:p>
    <w:p w:rsidR="00000000" w:rsidDel="00000000" w:rsidP="00000000" w:rsidRDefault="00000000" w:rsidRPr="00000000" w14:paraId="0000044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este ensaio é um convite para a releitura do texto constitucional, a partir da teoria da reprodução material do trabalho e do cuidado, dos papéis atribuídos ao binarismo de gênero: homem e mulher, no mundo do trabalho, de forma crítica. E a capacidade da sociedade brasileira de enfrentar a assimetria que hoje impede a implementação da igualdade material entre gêneros, em razão da divisão dos ditos papéis sociais.</w:t>
      </w:r>
    </w:p>
    <w:p w:rsidR="00000000" w:rsidDel="00000000" w:rsidP="00000000" w:rsidRDefault="00000000" w:rsidRPr="00000000" w14:paraId="0000044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B">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Protocolo de julgamento em perspectiva de gênero – Resolução 492 do CNJ</w:t>
      </w:r>
    </w:p>
    <w:p w:rsidR="00000000" w:rsidDel="00000000" w:rsidP="00000000" w:rsidRDefault="00000000" w:rsidRPr="00000000" w14:paraId="0000044C">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julgamento em perspectiva de gênero surge no Sistema de Justiça com a composição do Grupo de Trabalho instituído pela Portaria 27, de 2 de fevereiro de 2021, dando origem a Recomendação 128 de 2022 e recentemente à Resolução 492 do CNJ. A recomendação, agora revestida do caráter cogente de norma, determina o uso das lentes de gênero e, também, as lentes de raça e etnia, para a atuação jurisdicional. </w:t>
      </w:r>
    </w:p>
    <w:p w:rsidR="00000000" w:rsidDel="00000000" w:rsidP="00000000" w:rsidRDefault="00000000" w:rsidRPr="00000000" w14:paraId="0000044E">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Estabelece, para adoção de Perspectiva de Gênero nos julgamentos em todo o Poder Judiciário, as diretrizes do protocolo aprovado pelo Grupo de Trabalho constituído pela Portaria CNJ n. 27/2021, institui obrigatoriedade de capacitação de magistrados e magistradas, relacionada a direitos humanos, gênero, raça e etnia, em perspectiva interseccional, e cria o Comitê de Acompanhamento e Capacitação sobre Julgamento com Perspectiva de Gênero no Poder Judiciário e o Comitê de Incentivo à Participação Institucional Feminina no Poder Judiciário.</w:t>
      </w:r>
    </w:p>
    <w:p w:rsidR="00000000" w:rsidDel="00000000" w:rsidP="00000000" w:rsidRDefault="00000000" w:rsidRPr="00000000" w14:paraId="00000450">
      <w:pPr>
        <w:spacing w:after="0" w:line="360" w:lineRule="auto"/>
        <w:ind w:left="340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Conselho Nacional de Justiça já se dispunha a tratar das dificuldades suportadas pelas mulheres no âmbito do Poder Judiciário (Resolução 254-2020) e tentava compreender a baixa participação feminina neste ramo de Poder (Resolução 255-2020), o que facilitou a compreensão sobre a necessária atuação com a perspectiva de gênero. Porém sua dicção e interpretação ainda se encontram limitadas e circunscritas ao binarismo e às mulheres e meninas cis, ao mencionar instrumentos normativos, como referências, somente para às mulheres cis.</w:t>
      </w:r>
    </w:p>
    <w:p w:rsidR="00000000" w:rsidDel="00000000" w:rsidP="00000000" w:rsidRDefault="00000000" w:rsidRPr="00000000" w14:paraId="0000045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Episódios de violência sempre achacaram as mulheres cis ou LGBTQIA+, especialmente as negras e racializadas, e foram o estopim de normas internacionais que vinham alertando para a necessidade de tratar a violência de gênero de modo específico, como se percebe em alguns instrumentos jurídicos: a Convenção de Belém do Pará - Convenção interamericana para prevenir, punir e erradicar a violência contra a Mulher (1994), a Convenção Cedaw – Eliminação de todas as formas de discriminação contra a Mulher (1981), a Lei Maria da Penha (2006) e a ODS 05 da ONU, que propõe a igualdade de gênero a partir do empoderamento de meninas e mulheres em sentido amplo.</w:t>
      </w:r>
    </w:p>
    <w:p w:rsidR="00000000" w:rsidDel="00000000" w:rsidP="00000000" w:rsidRDefault="00000000" w:rsidRPr="00000000" w14:paraId="0000045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mundo começa a evidenciar que o fenômeno da violência doméstica suportada pelas mulheres e meninas precisava de uma política específica, eis que complexo e multifacetado, de ser pauta de discussões, de enfrentamentos específicos, pois o ambiente privado, a família nuclear - tão prestigiada pelas religiões cristãs e pelo capitalismo - o espaço doméstico, sempre foi </w:t>
      </w:r>
      <w:r w:rsidDel="00000000" w:rsidR="00000000" w:rsidRPr="00000000">
        <w:rPr>
          <w:rFonts w:ascii="Times New Roman" w:cs="Times New Roman" w:eastAsia="Times New Roman" w:hAnsi="Times New Roman"/>
          <w:i w:val="1"/>
          <w:sz w:val="24"/>
          <w:szCs w:val="24"/>
          <w:rtl w:val="0"/>
        </w:rPr>
        <w:t xml:space="preserve">locus</w:t>
      </w:r>
      <w:r w:rsidDel="00000000" w:rsidR="00000000" w:rsidRPr="00000000">
        <w:rPr>
          <w:rFonts w:ascii="Times New Roman" w:cs="Times New Roman" w:eastAsia="Times New Roman" w:hAnsi="Times New Roman"/>
          <w:sz w:val="24"/>
          <w:szCs w:val="24"/>
          <w:rtl w:val="0"/>
        </w:rPr>
        <w:t xml:space="preserve"> de ocorrências das maiores violências contra mulheres, crianças, idosos e população LGBTQIA+.</w:t>
      </w:r>
    </w:p>
    <w:p w:rsidR="00000000" w:rsidDel="00000000" w:rsidP="00000000" w:rsidRDefault="00000000" w:rsidRPr="00000000" w14:paraId="0000045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como de comum sabença, para combater as agressões e violências reais e simbólicas na seara do trabalho é necessário se pautar o princípio da não discriminação, o pagamento de salários iguais, para trabalhos iguais, o que ainda não é praticado no mundo do trabalho brasileiro.</w:t>
      </w:r>
    </w:p>
    <w:p w:rsidR="00000000" w:rsidDel="00000000" w:rsidP="00000000" w:rsidRDefault="00000000" w:rsidRPr="00000000" w14:paraId="0000045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paridade salarial permitiria enfrentar inúmeras violências: falta de liberdade de expressão, falta de liberdade política, falta de liberdade para consumir e falta de liberdade para constituir família. A discriminação torna o sujeito feminino uma cidadã subdimensionada.</w:t>
      </w:r>
    </w:p>
    <w:p w:rsidR="00000000" w:rsidDel="00000000" w:rsidP="00000000" w:rsidRDefault="00000000" w:rsidRPr="00000000" w14:paraId="0000045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complexa a tarefa de fazer a sociedade brasileira se perceber colonizada, racializada e classista, e indicar aos homens cis heteronormativos que reconhecer seus privilégios e aceitar as consequências do domínio por eles exercido é um importante passo para a mudança. O trabalho assalariado e a igualdade de oportunidades e de contraprestação pecuniária, bem como direito social, precisa encontrar novos caminhos. Afinal, o texto constitucional preceitua que a todo trabalho igual, deve ser pago salário igual.</w:t>
      </w:r>
    </w:p>
    <w:p w:rsidR="00000000" w:rsidDel="00000000" w:rsidP="00000000" w:rsidRDefault="00000000" w:rsidRPr="00000000" w14:paraId="0000045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artigo publicado sob o título “</w:t>
      </w:r>
      <w:r w:rsidDel="00000000" w:rsidR="00000000" w:rsidRPr="00000000">
        <w:rPr>
          <w:rFonts w:ascii="Times New Roman" w:cs="Times New Roman" w:eastAsia="Times New Roman" w:hAnsi="Times New Roman"/>
          <w:i w:val="1"/>
          <w:sz w:val="24"/>
          <w:szCs w:val="24"/>
          <w:rtl w:val="0"/>
        </w:rPr>
        <w:t xml:space="preserve">A lei da isonomia salarial e as interseccionalidades invisíveis”</w:t>
      </w:r>
      <w:r w:rsidDel="00000000" w:rsidR="00000000" w:rsidRPr="00000000">
        <w:rPr>
          <w:rFonts w:ascii="Times New Roman" w:cs="Times New Roman" w:eastAsia="Times New Roman" w:hAnsi="Times New Roman"/>
          <w:sz w:val="24"/>
          <w:szCs w:val="24"/>
          <w:rtl w:val="0"/>
        </w:rPr>
        <w:t xml:space="preserve">, (Rodrigues e Silva, 2023)</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Fonts w:ascii="Times New Roman" w:cs="Times New Roman" w:eastAsia="Times New Roman" w:hAnsi="Times New Roman"/>
          <w:sz w:val="24"/>
          <w:szCs w:val="24"/>
          <w:rtl w:val="0"/>
        </w:rPr>
        <w:t xml:space="preserve"> elencam os reais motivos que impedem a verdadeira isonomia salarial no Brasil, tais como os estereótipos de gênero, a divisão sexual do trabalho e o caráter sexuado da precarização.</w:t>
      </w:r>
    </w:p>
    <w:p w:rsidR="00000000" w:rsidDel="00000000" w:rsidP="00000000" w:rsidRDefault="00000000" w:rsidRPr="00000000" w14:paraId="0000045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breve análise dessas questões nos permite identificar que a publicação da Lei 14.611/2023 (Lei de isonomia salarial) não é capaz de promover uma igualdade salarial que já estava disposta na legislação pátria, sem, contudo, produzir os efeitos desejados, como explicaram as pesquisadoras.</w:t>
      </w:r>
    </w:p>
    <w:p w:rsidR="00000000" w:rsidDel="00000000" w:rsidP="00000000" w:rsidRDefault="00000000" w:rsidRPr="00000000" w14:paraId="0000045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mulheres começaram ocupando os espaços possíveis, mas as frestas sociais foram se alargando e onde antes havia uma mulher lutando por espaço e reconhecimento, hoje existem coletivos. A educação promove mudanças significativas e, atualmente, as mulheres são a maioria quantitativa nos bancos escolares e nas universidades</w:t>
      </w:r>
      <w:r w:rsidDel="00000000" w:rsidR="00000000" w:rsidRPr="00000000">
        <w:rPr>
          <w:rFonts w:ascii="Times New Roman" w:cs="Times New Roman" w:eastAsia="Times New Roman" w:hAnsi="Times New Roman"/>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5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compreensão da divisão sexual do trabalho é fundamental para que os homens atuem numa efetiva parceria na convivência com as mulheres, decidindo em conjunto quem será o responsável pelo cuidar, pelo vestir, pelo comprar, pelo alimentar, pelo ensinar, pelo ouvir, por contratar, pelo convencer, pelo curar, etc. Homens e mulheres devem dividir o trabalho árduo e, não remunerado, de cuidar da vida humana. </w:t>
      </w:r>
    </w:p>
    <w:p w:rsidR="00000000" w:rsidDel="00000000" w:rsidP="00000000" w:rsidRDefault="00000000" w:rsidRPr="00000000" w14:paraId="0000045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diretriz para o Judiciário, o protocolo de julgamento com perspectiva de gênero dispõe na sua parte introdutória que os conceitos de gênero, sexo, sexualidade e identidade de gênero sejam disseminados pelos operadores de justiça em todos os seus ramos, que os julgadores, advogados, defensores, promotores, procuradores e acadêmicos saibam com quem lidam, como as pessoas vulneráveis vivem (e sobrevivem), como as partes chegaram até o fórum, o que significa para elas esperar por quatro horas por uma audiência ou suportar sucessivos adiamentos e a espera por uma decisão.</w:t>
      </w:r>
    </w:p>
    <w:p w:rsidR="00000000" w:rsidDel="00000000" w:rsidP="00000000" w:rsidRDefault="00000000" w:rsidRPr="00000000" w14:paraId="0000045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que significa buscar a tutela do Estado e ser rejeitada, menosprezada, não ouvida ou revitimizada por ser uma trabalhadora grávida, vítima de violência sexual, que amamenta um bebê, que não tem rede de apoio para deixar os filhos, que é perseguida pelo ex-companheiro no ambiente de trabalho, que é uma mulher trans ou uma pessoa não binária...  </w:t>
      </w:r>
    </w:p>
    <w:p w:rsidR="00000000" w:rsidDel="00000000" w:rsidP="00000000" w:rsidRDefault="00000000" w:rsidRPr="00000000" w14:paraId="0000045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primeira necessidade que as partes desejam aplacar ao buscarem o Judiciário é a vontade de serem ouvidas, acolhidas e não serem prejulgadas antes do término do processo. E isso é um direito constitucional, da ampla defesa e do contraditório, que vão além de prazos para os advogados peticionarem nos autos. Permitir o contraditório é deixar a parte falar a sua versão dos fatos. É ouvir a vítima separada do agressor, pois ela buscou ajuda do sistema de justiça e não uma nova chance de sofrer.</w:t>
      </w:r>
    </w:p>
    <w:p w:rsidR="00000000" w:rsidDel="00000000" w:rsidP="00000000" w:rsidRDefault="00000000" w:rsidRPr="00000000" w14:paraId="0000045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ponto que merece destaque são os conceitos de imparcialidade e neutralidade, também mencionados no protocolo, capazes de desmistificar a ideia de que o juiz não possui preferências, sentimentos ou valores a ele arraigados.</w:t>
      </w:r>
    </w:p>
    <w:p w:rsidR="00000000" w:rsidDel="00000000" w:rsidP="00000000" w:rsidRDefault="00000000" w:rsidRPr="00000000" w14:paraId="0000045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Seres humanos não são neutros: escolhem cores, sabores, lugares, temperaturas, profissões, parcerias, em especial quando não são premidos pelas necessidades, que os impedem de fazer escolhas livres. Mas, mesmo assim, o desejo está latente, presente, pois brota do ser que julga, assim como do ser que é julgado.</w:t>
      </w:r>
    </w:p>
    <w:p w:rsidR="00000000" w:rsidDel="00000000" w:rsidP="00000000" w:rsidRDefault="00000000" w:rsidRPr="00000000" w14:paraId="0000046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 imparcialidade nos é ensinada nos cursos jurídicos como aquela segurança maior que nos autoriza a acreditar nas decisões, de mãos dadas com a fundamentação, uma decisão têm validade quando é proferida por juiz imparcial. Entretanto, talvez esteja na hora de aceitarmos que a imparcialidade disposta nos manuais jurídicos é uma quimera. </w:t>
      </w:r>
    </w:p>
    <w:p w:rsidR="00000000" w:rsidDel="00000000" w:rsidP="00000000" w:rsidRDefault="00000000" w:rsidRPr="00000000" w14:paraId="0000046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bem esclarece Ana Lia V. Almeida (Almeida, 2017), no texto “O Apartheid do direito: reflexões sobre o positivismo jurídico na periferia do capital.”  “..</w:t>
      </w:r>
      <w:r w:rsidDel="00000000" w:rsidR="00000000" w:rsidRPr="00000000">
        <w:rPr>
          <w:rFonts w:ascii="Times New Roman" w:cs="Times New Roman" w:eastAsia="Times New Roman" w:hAnsi="Times New Roman"/>
          <w:i w:val="1"/>
          <w:sz w:val="24"/>
          <w:szCs w:val="24"/>
          <w:rtl w:val="0"/>
        </w:rPr>
        <w:t xml:space="preserve">.o ensino do direito, ao difundir e reforçar a crença que o direito consiste num sistema “lógico”, “neutro” e “independente” dos demais âmbitos da vida social, cumpre com certas funções indispensáveis à reprodução da sociedade de classes…</w:t>
      </w:r>
      <w:r w:rsidDel="00000000" w:rsidR="00000000" w:rsidRPr="00000000">
        <w:rPr>
          <w:rFonts w:ascii="Times New Roman" w:cs="Times New Roman" w:eastAsia="Times New Roman" w:hAnsi="Times New Roman"/>
          <w:sz w:val="24"/>
          <w:szCs w:val="24"/>
          <w:rtl w:val="0"/>
        </w:rPr>
        <w:t xml:space="preserve">” e continua a promover as assimetrias e desigualdades dos sujeitos dentro da sociedade para além da classe, inclusive no que tange a reprodução material da vida pelo trabalho de mulheres.  </w:t>
      </w:r>
    </w:p>
    <w:p w:rsidR="00000000" w:rsidDel="00000000" w:rsidP="00000000" w:rsidRDefault="00000000" w:rsidRPr="00000000" w14:paraId="0000046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imparcialidade está disposta nos artigos 134 a137 no Código de Processo Civil de 1973 e artigos 144 a 148 do CPC 2015 como um rol taxativo de hipóteses que automaticamente retirariam do julgador a permissão concedida pelo Estado para proferir um julgamento válido.</w:t>
      </w:r>
    </w:p>
    <w:p w:rsidR="00000000" w:rsidDel="00000000" w:rsidP="00000000" w:rsidRDefault="00000000" w:rsidRPr="00000000" w14:paraId="0000046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é o propósito deste trabalho questionar a teoria jurídica, mas sim promover uma interpelação necessária: a ideia de imparcialidade está atrelada à democracia plena, à confiança que os cidadãos têm no Judiciário e a um dever. Então um julgamento parcial é uma fraude, um não julgamento, e como tal pode ter sua validade questionada (ainda que grande parte de seus efeitos já tenham ocorrido). Neste sentido, a imparcialidade se confunde ou se relaciona de maneira inversa com o ativismo judicial?</w:t>
      </w:r>
    </w:p>
    <w:p w:rsidR="00000000" w:rsidDel="00000000" w:rsidP="00000000" w:rsidRDefault="00000000" w:rsidRPr="00000000" w14:paraId="0000046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Juiz imparcial é aquele enquadrado nos artigos da lei processual civil e, pronto? E no processo do trabalho, quando o magistrado se depara com uma trabalhadora doméstica desacompanhada de advogado e, do outro lado, o empregador com advogado contratado? </w:t>
      </w:r>
    </w:p>
    <w:p w:rsidR="00000000" w:rsidDel="00000000" w:rsidP="00000000" w:rsidRDefault="00000000" w:rsidRPr="00000000" w14:paraId="0000046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conduta do magistrado em audiência pode caracterizar a tão temida quebra da imparcialidade? Como pensar na imparcialidade num contexto de partes hipossuficientes, como no processo do trabalho, como num processo de família ou numa vara de violência doméstica?</w:t>
      </w:r>
    </w:p>
    <w:p w:rsidR="00000000" w:rsidDel="00000000" w:rsidP="00000000" w:rsidRDefault="00000000" w:rsidRPr="00000000" w14:paraId="0000046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protocolo de julgamento com perspectiva de gênero é um marcador importantíssimo para o Direito, pois rompe com a estrutura que organizou as normas jurídicas e a epistemologia jurídica contemporânea, ao nos fazer repensar que o enquadramento da norma ao caso concreto nem sempre é suficiente. </w:t>
      </w:r>
    </w:p>
    <w:p w:rsidR="00000000" w:rsidDel="00000000" w:rsidP="00000000" w:rsidRDefault="00000000" w:rsidRPr="00000000" w14:paraId="0000046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inúmeras as hipóteses concretas que comprovam ser a aplicabilidade da norma como posta, sem a percepção dos marcadores sociais de raça, gênero, etnia, escolaridade, classe social, idade e tantos outros, uma ferramenta de tortura jurídica estatal para revitimizar pessoas que buscam atendimento jurídico do Estado. </w:t>
      </w:r>
    </w:p>
    <w:p w:rsidR="00000000" w:rsidDel="00000000" w:rsidP="00000000" w:rsidRDefault="00000000" w:rsidRPr="00000000" w14:paraId="0000046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Julgar com perspectiva de gênero é observar os ditames constitucionais, as normas de direitos humanos e efetivar o princípio da igualdade, com muita cautela quanto a necessária análise sistêmica, relacional, interseccional que informa um caso concreto.</w:t>
      </w:r>
    </w:p>
    <w:p w:rsidR="00000000" w:rsidDel="00000000" w:rsidP="00000000" w:rsidRDefault="00000000" w:rsidRPr="00000000" w14:paraId="00000469">
      <w:pPr>
        <w:spacing w:after="0" w:line="360" w:lineRule="auto"/>
        <w:jc w:val="both"/>
        <w:rPr>
          <w:rFonts w:ascii="Times New Roman" w:cs="Times New Roman" w:eastAsia="Times New Roman" w:hAnsi="Times New Roman"/>
          <w:sz w:val="24"/>
          <w:szCs w:val="24"/>
        </w:rPr>
      </w:pPr>
      <w:r w:rsidDel="00000000" w:rsidR="00000000" w:rsidRPr="00000000">
        <w:rPr>
          <w:rtl w:val="0"/>
        </w:rPr>
      </w:r>
    </w:p>
    <w:bookmarkStart w:colFirst="0" w:colLast="0" w:name="1fob9te" w:id="2"/>
    <w:bookmarkEnd w:id="2"/>
    <w:p w:rsidR="00000000" w:rsidDel="00000000" w:rsidP="00000000" w:rsidRDefault="00000000" w:rsidRPr="00000000" w14:paraId="0000046A">
      <w:pPr>
        <w:spacing w:after="0" w:line="360" w:lineRule="auto"/>
        <w:jc w:val="both"/>
        <w:rPr>
          <w:rFonts w:ascii="Times New Roman" w:cs="Times New Roman" w:eastAsia="Times New Roman" w:hAnsi="Times New Roman"/>
          <w:i w:val="1"/>
          <w:color w:val="000000"/>
          <w:sz w:val="24"/>
          <w:szCs w:val="24"/>
          <w:highlight w:val="white"/>
        </w:rPr>
      </w:pPr>
      <w:r w:rsidDel="00000000" w:rsidR="00000000" w:rsidRPr="00000000">
        <w:rPr>
          <w:rFonts w:ascii="Times New Roman" w:cs="Times New Roman" w:eastAsia="Times New Roman" w:hAnsi="Times New Roman"/>
          <w:i w:val="1"/>
          <w:color w:val="000000"/>
          <w:sz w:val="24"/>
          <w:szCs w:val="24"/>
          <w:highlight w:val="white"/>
          <w:rtl w:val="0"/>
        </w:rPr>
        <w:t xml:space="preserve">Convenção 156 OIT (Organização Internacional do Trabalho) e controle de convencionalidade</w:t>
      </w:r>
    </w:p>
    <w:p w:rsidR="00000000" w:rsidDel="00000000" w:rsidP="00000000" w:rsidRDefault="00000000" w:rsidRPr="00000000" w14:paraId="0000046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Convenção 156 da OIT propõe a promoção da igualdade de oportunidades e de tratamento para homens e mulheres trabalhadores com encargos de família, qual seja, preocupa-se efetivamente com a implementação do princípio da igualdade, no mundo das relações de trabalho, emprego e família. Ela foi gestada em reunião ocorrida em 03 de junho de 1981 e até março de 2023 não tinha sido encaminhada para ratificação pelo Estado Brasileiro, o que veio a acontecer por ocasião do pacote de medidas em comemoração ao “dia internacional da mulher”.</w:t>
      </w:r>
    </w:p>
    <w:p w:rsidR="00000000" w:rsidDel="00000000" w:rsidP="00000000" w:rsidRDefault="00000000" w:rsidRPr="00000000" w14:paraId="0000046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ratificação da Convenção 156 da OIT se torna, no cenário brasileiro, mais um instrumento de reconhecimento de direitos das mulheres trabalhadoras e uma tentativa de inibir a violação dos direitos atribuídos constitucionalmente, ainda que não cumpridos.</w:t>
      </w:r>
    </w:p>
    <w:p w:rsidR="00000000" w:rsidDel="00000000" w:rsidP="00000000" w:rsidRDefault="00000000" w:rsidRPr="00000000" w14:paraId="0000046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uma vez ratificada, o controle de seu conteúdo e a inserção de suas regras na vida prática daquelas que trabalham será de extrema importância para a implementação do princípio da igualdade de oportunidades no mundo do trabalho.</w:t>
      </w:r>
    </w:p>
    <w:p w:rsidR="00000000" w:rsidDel="00000000" w:rsidP="00000000" w:rsidRDefault="00000000" w:rsidRPr="00000000" w14:paraId="0000046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que pese o binarismo biologizante que ainda permeia o Direito como ciência, operadores jurídicos têm o dever constitucional de atender a todas as pessoas, independentemente de sexo, identidades de gênero, exercício da sexualidade ou outros marcadores sociais, como etnia e religião. </w:t>
      </w:r>
    </w:p>
    <w:p w:rsidR="00000000" w:rsidDel="00000000" w:rsidP="00000000" w:rsidRDefault="00000000" w:rsidRPr="00000000" w14:paraId="0000047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contexto, o que importa é identificar a pessoa que esteja responsável pelo trabalho reprodutivo e de cuidado, ostentando ou não um corpo, nome ou caracteres femininos. E os tais encargos familiares podem estar sob a responsabilidade de qualquer pessoa, do sexo feminino ou não. Mas é importante ressaltar que majoritariamente são mulheres as pessoas que se ocupam dos encargos familiares.</w:t>
      </w:r>
    </w:p>
    <w:p w:rsidR="00000000" w:rsidDel="00000000" w:rsidP="00000000" w:rsidRDefault="00000000" w:rsidRPr="00000000" w14:paraId="0000047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tese da professora Regina Stela (Vieira, 2018), cujo título é </w:t>
      </w:r>
      <w:r w:rsidDel="00000000" w:rsidR="00000000" w:rsidRPr="00000000">
        <w:rPr>
          <w:rFonts w:ascii="Times New Roman" w:cs="Times New Roman" w:eastAsia="Times New Roman" w:hAnsi="Times New Roman"/>
          <w:i w:val="1"/>
          <w:sz w:val="24"/>
          <w:szCs w:val="24"/>
          <w:rtl w:val="0"/>
        </w:rPr>
        <w:t xml:space="preserve">O Cuidado como trabalho – uma interpelação do Direito do trabalho a partir da perspectiva de gênero</w:t>
      </w:r>
      <w:r w:rsidDel="00000000" w:rsidR="00000000" w:rsidRPr="00000000">
        <w:rPr>
          <w:rFonts w:ascii="Times New Roman" w:cs="Times New Roman" w:eastAsia="Times New Roman" w:hAnsi="Times New Roman"/>
          <w:sz w:val="24"/>
          <w:szCs w:val="24"/>
          <w:rtl w:val="0"/>
        </w:rPr>
        <w:t xml:space="preserve"> faz uma excelente abordagem a respeito de como o Direito do Trabalho lida com o trabalho de cuidado, seja remunerado ou não, e desconsidera o trabalho que ele demanda.</w:t>
      </w:r>
    </w:p>
    <w:p w:rsidR="00000000" w:rsidDel="00000000" w:rsidP="00000000" w:rsidRDefault="00000000" w:rsidRPr="00000000" w14:paraId="0000047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Invisibilizar o trabalho de cuidado, não dispor sobre os direitos de quem exerce o trabalho doméstico como profissão na Consolidação das Leis do Trabalho, promulgar a Emenda Constitucional 72 (em abril de 2013) desconsiderando por completo a ratificação da Convenção 189 da OIT (que não exige quantidade mínima de dias trabalhados para formalizar o trabalho doméstico) são alguns exemplos de como o sistema jurídico e econômico brasileiro se apropria da força de trabalho de mulheres e meninas sem a devida contraprestação.</w:t>
      </w:r>
    </w:p>
    <w:p w:rsidR="00000000" w:rsidDel="00000000" w:rsidP="00000000" w:rsidRDefault="00000000" w:rsidRPr="00000000" w14:paraId="0000047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chamados encargos familiares apontados na Convenção 156 da OIT são a expressão do trabalho de cuidado: trabalho com as crianças, com a alimentação, com a limpeza, com a saúde, com o pagamento de contas, cuidado com os idosos. E para muitas mulheres a assunção de todas estas tarefas e, também, o exercício do trabalho produtivo. </w:t>
      </w:r>
    </w:p>
    <w:p w:rsidR="00000000" w:rsidDel="00000000" w:rsidP="00000000" w:rsidRDefault="00000000" w:rsidRPr="00000000" w14:paraId="0000047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é no espaço da família que todas as tarefas são realizadas e multiplicadas e o trabalho realizado é invisível e não remunerado, também porque está atrelado ao afeto e a uma suposta responsabilidade nata do feminino. </w:t>
      </w:r>
    </w:p>
    <w:p w:rsidR="00000000" w:rsidDel="00000000" w:rsidP="00000000" w:rsidRDefault="00000000" w:rsidRPr="00000000" w14:paraId="0000047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texto constitucional, a família é a base da sociedade e o Estado privilegia esses laços, que deveriam ser duradouros, numa nítida simbiose entre o público e o privado, o jurídico e o não jurídico, reprivatizando a perspectiva das violências perpetradas no ambiente familístico. Tanto assim que o casamento se mantém como um dos principais institutos jurídicos e religiosos. Vejamos os termos da Constituição Federal:</w:t>
      </w:r>
    </w:p>
    <w:p w:rsidR="00000000" w:rsidDel="00000000" w:rsidP="00000000" w:rsidRDefault="00000000" w:rsidRPr="00000000" w14:paraId="0000047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bookmarkStart w:colFirst="0" w:colLast="0" w:name="3znysh7" w:id="3"/>
    <w:bookmarkEnd w:id="3"/>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Art. 226. A família, base da sociedade, tem especial proteção do Estado.</w:t>
      </w:r>
    </w:p>
    <w:bookmarkStart w:colFirst="0" w:colLast="0" w:name="2et92p0" w:id="4"/>
    <w:bookmarkEnd w:id="4"/>
    <w:bookmarkStart w:colFirst="0" w:colLast="0" w:name="tyjcwt" w:id="5"/>
    <w:bookmarkEnd w:id="5"/>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1º O casamento é civil, e é gratuita a sua celebração.</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2º O casamento religioso tem efeito civil, nos termos da lei.</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3º Para efeito da proteção do Estado, é reconhecida a união estável entre o homem e a mulher como entidade familiar, devendo a lei facilitar sua conversão em casamento.</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4º Entende-se, também, como entidade familiar a comunidade formada por qualquer dos pais e seus descendentes.</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5º Os direitos e deveres referentes à sociedade conjugal são exercidos igualmente pelo homem e pela mulher.</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6º O casamento civil pode ser dissolvido pelo divórcio. (Redação da EC 66/2010)</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7º Fundado nos princípios da dignidade da pessoa humana e da paternidade responsável, o planejamento familiar é livre decisão do casal, competindo ao Estado propiciar recursos educacionais e científicos para o exercício desse direito, vedada qualquer forma coercitiva por parte de instituições oficiais ou privadas.</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8º O Estado assegurará a assistência à família na pessoa de cada um dos que a integram, criando mecanismos para coibir a violência no âmbito de suas relações.</w:t>
      </w:r>
    </w:p>
    <w:p w:rsidR="00000000" w:rsidDel="00000000" w:rsidP="00000000" w:rsidRDefault="00000000" w:rsidRPr="00000000" w14:paraId="00000480">
      <w:pPr>
        <w:spacing w:after="0" w:line="360" w:lineRule="auto"/>
        <w:ind w:left="57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que se verifica é a centralidade do conceito de família tradicional como base da sociedade brasileira, constituída através do casamento e o modelo tradicional, o que nos remete ao que foi mencionado anteriormente: a prevalência da perspectiva da “importância” da figura feminina cis, como cuidadora e mãe.</w:t>
      </w:r>
      <w:r w:rsidDel="00000000" w:rsidR="00000000" w:rsidRPr="00000000">
        <w:rPr>
          <w:rtl w:val="0"/>
        </w:rPr>
      </w:r>
    </w:p>
    <w:p w:rsidR="00000000" w:rsidDel="00000000" w:rsidP="00000000" w:rsidRDefault="00000000" w:rsidRPr="00000000" w14:paraId="0000048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É evidente como a ciência médica e a ciência jurídica estão unidas na construção da narrativa e da ideia da figura da “mulher-mãe” e do homem permanece como um coadjuvante que observa o cuidado sendo prestado pela mulher, exercendo uma participação mínima, quando existe.</w:t>
      </w:r>
      <w:r w:rsidDel="00000000" w:rsidR="00000000" w:rsidRPr="00000000">
        <w:rPr>
          <w:rtl w:val="0"/>
        </w:rPr>
      </w:r>
    </w:p>
    <w:p w:rsidR="00000000" w:rsidDel="00000000" w:rsidP="00000000" w:rsidRDefault="00000000" w:rsidRPr="00000000" w14:paraId="0000048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Por outro lado, também é o texto constitucional, nos seus artigos 7º e 170, em que se menciona a promoção do pleno emprego, a igualdade de oportunidades, o princípio da não discriminação e a igualdade entre homens e mulheres.</w:t>
      </w:r>
      <w:r w:rsidDel="00000000" w:rsidR="00000000" w:rsidRPr="00000000">
        <w:rPr>
          <w:rtl w:val="0"/>
        </w:rPr>
      </w:r>
    </w:p>
    <w:p w:rsidR="00000000" w:rsidDel="00000000" w:rsidP="00000000" w:rsidRDefault="00000000" w:rsidRPr="00000000" w14:paraId="0000048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Convenção 156 da OIT demonstra evidente preocupação com a realização dos encargos familiares, com o princípio da igualdade entre homens e mulheres e as dificuldades que as responsabilidades imputadas a quem cuida de membros da família, quando necessita ingressar ou progredir numa carreira. E o Estado que ratificar a referida convenção precisará dar condições as pessoas trabalhadoras, e incluir nos objetivos de sua política pública mecanismos que impeçam a discriminação das pessoas que estejam trabalhando com subordinação ou que desejam estar.</w:t>
      </w:r>
      <w:r w:rsidDel="00000000" w:rsidR="00000000" w:rsidRPr="00000000">
        <w:rPr>
          <w:rtl w:val="0"/>
        </w:rPr>
      </w:r>
    </w:p>
    <w:p w:rsidR="00000000" w:rsidDel="00000000" w:rsidP="00000000" w:rsidRDefault="00000000" w:rsidRPr="00000000" w14:paraId="0000048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que nos leva a concluir que se tal política existisse no Brasil, a discriminação entre homens e mulheres teria potência de diminuir, quiçá poderia chegar à extinção, no acesso ao trabalho remunerado e no pagamento de salários e benefícios.</w:t>
      </w:r>
      <w:r w:rsidDel="00000000" w:rsidR="00000000" w:rsidRPr="00000000">
        <w:rPr>
          <w:rtl w:val="0"/>
        </w:rPr>
      </w:r>
    </w:p>
    <w:p w:rsidR="00000000" w:rsidDel="00000000" w:rsidP="00000000" w:rsidRDefault="00000000" w:rsidRPr="00000000" w14:paraId="0000048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controle de convencionalidade, uma vez ratificada a Convenção 156 da OIT, demandará do operador jurídico a verificação da coerência entre as regras dispostas pela organização internacional do trabalho e as normas internas. </w:t>
      </w:r>
    </w:p>
    <w:p w:rsidR="00000000" w:rsidDel="00000000" w:rsidP="00000000" w:rsidRDefault="00000000" w:rsidRPr="00000000" w14:paraId="0000048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Ocorre que como já foi mencionado, os ditos encargos familiares, a responsabilidade pela manutenção da família, no texto constitucional, é de todos, assim como a Constituição Federal Brasileira tem como base a igualdade entre homens e mulheres e a não discriminação no acesso ao emprego por motivo de sexo, ainda que numa abordagem binária.</w:t>
      </w:r>
    </w:p>
    <w:p w:rsidR="00000000" w:rsidDel="00000000" w:rsidP="00000000" w:rsidRDefault="00000000" w:rsidRPr="00000000" w14:paraId="0000048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inclusive, lei infraconstitucional que penaliza o empregador que deixar de contratar ou que dispensar uma trabalhadora por exigir atestado de gravidez ou esterilização, para efeitos admissionais ou de permanência no emprego (Lei 9020/95).</w:t>
      </w:r>
    </w:p>
    <w:p w:rsidR="00000000" w:rsidDel="00000000" w:rsidP="00000000" w:rsidRDefault="00000000" w:rsidRPr="00000000" w14:paraId="0000048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Verifica-se, assim, que já existe compatibilidade entre a Convenção 156 da OIT e o conjunto de normas internas brasileiras, sendo factível a acomodação e a inserção da norma internacional.</w:t>
      </w:r>
    </w:p>
    <w:p w:rsidR="00000000" w:rsidDel="00000000" w:rsidP="00000000" w:rsidRDefault="00000000" w:rsidRPr="00000000" w14:paraId="0000048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B">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Teoria da reprodução social</w:t>
      </w:r>
    </w:p>
    <w:p w:rsidR="00000000" w:rsidDel="00000000" w:rsidP="00000000" w:rsidRDefault="00000000" w:rsidRPr="00000000" w14:paraId="0000048C">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8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debate sobre a teoria da reprodução social se organiza a partir das décadas de 50/60 nos Estados Unidos e na Europa Ocidental, diante de uma necessária tensão entre o sistema capitalista e a ausência direta de preocupação de feministas com a desvalorização do trabalho desenvolvido pelas mulheres. Afinal, a luta de classes e a preocupação dos trabalhadores se estendia ao trabalho realizado nas décadas de 50/60 pelas mulheres, que já reivindicavam compensações considerada a sobrecarga de uma dupla jornada. </w:t>
      </w:r>
      <w:r w:rsidDel="00000000" w:rsidR="00000000" w:rsidRPr="00000000">
        <w:rPr>
          <w:rtl w:val="0"/>
        </w:rPr>
      </w:r>
    </w:p>
    <w:p w:rsidR="00000000" w:rsidDel="00000000" w:rsidP="00000000" w:rsidRDefault="00000000" w:rsidRPr="00000000" w14:paraId="0000048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professora de história e ativista da justiça social nos EUA Tithi Bhattacharya (Bhattacharya, 2013</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define de modo didático e simplista, uma das ideias centrais do que é a teoria da reprodução social: “A ideia mais importante da teoria da reprodução social é que o capitalismo é um sistema unitário que pode integrar com </w:t>
      </w:r>
      <w:r w:rsidDel="00000000" w:rsidR="00000000" w:rsidRPr="00000000">
        <w:rPr>
          <w:rFonts w:ascii="Times New Roman" w:cs="Times New Roman" w:eastAsia="Times New Roman" w:hAnsi="Times New Roman"/>
          <w:sz w:val="24"/>
          <w:szCs w:val="24"/>
          <w:rtl w:val="0"/>
        </w:rPr>
        <w:t xml:space="preserve">êxito, ainda que de maneira desigual, a esfera da reprodução e a esfera da produção. Salários baixos e a tendência neoliberal a redução dos custos no trabalho podem gerar execuções hipotecárias e violência doméstica no lar.” </w:t>
      </w:r>
    </w:p>
    <w:p w:rsidR="00000000" w:rsidDel="00000000" w:rsidP="00000000" w:rsidRDefault="00000000" w:rsidRPr="00000000" w14:paraId="0000048F">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capitalismo patriarcal entende como trabalho produtivo, que gera riqueza econômica, tão somente o que é produzido fora de casa, no ambiente público, o que contribui ainda mais para a desnaturação do trabalho reprodutivo, num constante invisibilizar do labor cotidiano que favorece o fenômeno da violência e o surgimento de condições propícias à escravização e condições degradantes de trabalho.</w:t>
      </w:r>
      <w:r w:rsidDel="00000000" w:rsidR="00000000" w:rsidRPr="00000000">
        <w:rPr>
          <w:rFonts w:ascii="Times New Roman" w:cs="Times New Roman" w:eastAsia="Times New Roman" w:hAnsi="Times New Roman"/>
          <w:sz w:val="24"/>
          <w:szCs w:val="24"/>
          <w:vertAlign w:val="superscript"/>
        </w:rPr>
        <w:footnoteReference w:customMarkFollows="0" w:id="53"/>
      </w:r>
      <w:r w:rsidDel="00000000" w:rsidR="00000000" w:rsidRPr="00000000">
        <w:rPr>
          <w:rtl w:val="0"/>
        </w:rPr>
      </w:r>
    </w:p>
    <w:p w:rsidR="00000000" w:rsidDel="00000000" w:rsidP="00000000" w:rsidRDefault="00000000" w:rsidRPr="00000000" w14:paraId="00000490">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 contemporaneidade, o avanço tecnológico e as descobertas científicas não vieram acompanhadas de avanços sociais no campo do trabalho humano, com especial ênfase no trabalho desempenhado por mulheres. O sistema capitalista se moldou às novas tecnologias e permanece usufruindo da mão de obra da classe trabalhadora, lucrando com a necessidade que as pessoas têm de subsistir. E permanece a “cultura” da não retribuição e reconhecimento, o não pagamento do trabalho de cuidado prestado pelas mulheres.</w:t>
      </w:r>
    </w:p>
    <w:p w:rsidR="00000000" w:rsidDel="00000000" w:rsidP="00000000" w:rsidRDefault="00000000" w:rsidRPr="00000000" w14:paraId="00000491">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que o Judiciário reproduz é a ideia de obrigação moral das mulheres em prestar o trabalho de cuidado, tanto assim que não trabalhar em atividade produtiva, com recebimento de salários, destina a mulher para o lugar social da pessoa que é “do lar”, que não trabalha e, assim, pode ser explorada e demandada a cuidar dos familiares.</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tl w:val="0"/>
        </w:rPr>
      </w:r>
    </w:p>
    <w:p w:rsidR="00000000" w:rsidDel="00000000" w:rsidP="00000000" w:rsidRDefault="00000000" w:rsidRPr="00000000" w14:paraId="00000492">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Ao se estudar a formação e o desenvolvimento do Direito do Trabalho no Brasil, verifica-se que a mão de obra começa escrava, passa para a mão de obra servil e depois para formalmente livre. Além da população indígena e das pessoas pretas que chegam ao Brasil por tráfico humano e são escravizadas, ambas exploradas e tratadas como não humanas, se reconhece a opressão suportada pelas mulheres desde os tempos da colonização. </w:t>
      </w:r>
    </w:p>
    <w:p w:rsidR="00000000" w:rsidDel="00000000" w:rsidP="00000000" w:rsidRDefault="00000000" w:rsidRPr="00000000" w14:paraId="00000493">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Ou seja, a formação da classe trabalhadora brasileira nasce escrava, tornou-se servil, avançou lentamente em busca de um modelo contratual, mas jamais se afastou do modelo capitalista exploratório próprio do sistema colonial.</w:t>
      </w:r>
    </w:p>
    <w:p w:rsidR="00000000" w:rsidDel="00000000" w:rsidP="00000000" w:rsidRDefault="00000000" w:rsidRPr="00000000" w14:paraId="00000494">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 neste cenário, as mulheres não ocuparam espaços de dignidade como trabalhadoras, nem mesmo como lideranças colonizadoras, mas apenas como esposas dos colonizadores e, nesta condição, mesmo brancas e de famílias abastadas, também não eram livres para exercer nenhum ofício remunerado. Apenas o de mãe (como se fosse pouca coisa).</w:t>
      </w:r>
    </w:p>
    <w:p w:rsidR="00000000" w:rsidDel="00000000" w:rsidP="00000000" w:rsidRDefault="00000000" w:rsidRPr="00000000" w14:paraId="00000495">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importância da teoria da reprodução social e da constatação de como a divisão sexual do trabalho determina em quais espaços a mão de obra feminina está inserida e até onde ela pode chegar, nos remete a reflexões de emancipação.</w:t>
      </w:r>
    </w:p>
    <w:p w:rsidR="00000000" w:rsidDel="00000000" w:rsidP="00000000" w:rsidRDefault="00000000" w:rsidRPr="00000000" w14:paraId="00000496">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Convenção 156 da OIT reúne muitas destas preocupações ao determinar que a pessoa que se ocupa dos encargos familiares precisa de tutela do Estado e da sociedade para ser capaz de também exercer a função de trabalhador ou trabalhadora. </w:t>
      </w:r>
    </w:p>
    <w:p w:rsidR="00000000" w:rsidDel="00000000" w:rsidP="00000000" w:rsidRDefault="00000000" w:rsidRPr="00000000" w14:paraId="00000497">
      <w:pPr>
        <w:tabs>
          <w:tab w:val="left" w:leader="none" w:pos="456"/>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mesmo sentido, como mencionado no título anterior, a Constituição da República convoca a família e o Estado para se encarregarem da educação e do cuidado de crianças, adolescentes e idosos.</w:t>
      </w:r>
    </w:p>
    <w:p w:rsidR="00000000" w:rsidDel="00000000" w:rsidP="00000000" w:rsidRDefault="00000000" w:rsidRPr="00000000" w14:paraId="0000049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 Maria da Penha é um exemplo de reconhecimento de direitos específicos, mas que sozinha no tempo e no espaço não surtiu os efeitos pretendidos. É preciso ir além e obter também reconhecimento político e representação para permitir uma redistribuição de bens, serviços, direitos e renda.</w:t>
      </w:r>
    </w:p>
    <w:p w:rsidR="00000000" w:rsidDel="00000000" w:rsidP="00000000" w:rsidRDefault="00000000" w:rsidRPr="00000000" w14:paraId="0000049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ponto de partida para a reflexão: quais os motivos de a sociedade brasileira reconhecer nas mulheres as pessoas responsáveis pelos ditos encargos familiares? Seria a tradição judaica-cristã eurocentrada como herança colonial irmanada ao capitalismo? Ao longo da reflexão proposta discorremos sobre inúmeras variáveis que ensejam essa “cultura” ou mecanismos ou dispositivos de apropriação da força de trabalho do sujeito feminino com viesses discriminatórios.</w:t>
      </w:r>
    </w:p>
    <w:p w:rsidR="00000000" w:rsidDel="00000000" w:rsidP="00000000" w:rsidRDefault="00000000" w:rsidRPr="00000000" w14:paraId="0000049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demora na ratificação da norma internacional Convenção 156 da OIT, pelo Brasil, que prima pela i</w:t>
      </w:r>
      <w:r w:rsidDel="00000000" w:rsidR="00000000" w:rsidRPr="00000000">
        <w:rPr>
          <w:rFonts w:ascii="Times New Roman" w:cs="Times New Roman" w:eastAsia="Times New Roman" w:hAnsi="Times New Roman"/>
          <w:color w:val="000000"/>
          <w:sz w:val="24"/>
          <w:szCs w:val="24"/>
          <w:highlight w:val="white"/>
          <w:rtl w:val="0"/>
        </w:rPr>
        <w:t xml:space="preserve">gualdade de oportunidades e de tratamento para os trabalhadores com encargos familiares, qual seja: “</w:t>
      </w:r>
      <w:r w:rsidDel="00000000" w:rsidR="00000000" w:rsidRPr="00000000">
        <w:rPr>
          <w:rFonts w:ascii="Times New Roman" w:cs="Times New Roman" w:eastAsia="Times New Roman" w:hAnsi="Times New Roman"/>
          <w:i w:val="1"/>
          <w:color w:val="000000"/>
          <w:sz w:val="24"/>
          <w:szCs w:val="24"/>
          <w:highlight w:val="white"/>
          <w:rtl w:val="0"/>
        </w:rPr>
        <w:t xml:space="preserve">Sobre a Igualdade de Oportunidades e de Tratamento para Homens e Mulheres Trabalhadores: Trabalhadores com Encargos de Família” </w:t>
      </w:r>
      <w:r w:rsidDel="00000000" w:rsidR="00000000" w:rsidRPr="00000000">
        <w:rPr>
          <w:rFonts w:ascii="Times New Roman" w:cs="Times New Roman" w:eastAsia="Times New Roman" w:hAnsi="Times New Roman"/>
          <w:color w:val="000000"/>
          <w:sz w:val="24"/>
          <w:szCs w:val="24"/>
          <w:highlight w:val="white"/>
          <w:rtl w:val="0"/>
        </w:rPr>
        <w:t xml:space="preserve">é um sintoma de que o problema tem matizes políticos, sociológicos e, não somente jurídicos</w:t>
      </w:r>
      <w:r w:rsidDel="00000000" w:rsidR="00000000" w:rsidRPr="00000000">
        <w:rPr>
          <w:rFonts w:ascii="Times New Roman" w:cs="Times New Roman" w:eastAsia="Times New Roman" w:hAnsi="Times New Roman"/>
          <w:i w:val="1"/>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49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conceito de família conforme previsão nos artigos 226 – família como base da sociedade; art. 227 – família como local de exercício dos direitos fundamentais da criança e do adolescente e artigo 230 - responsabilidade da família, do Estado e da sociedade pelo amparo aos idosos da Constituição Federal do Brasil, privilegia o patriarcado.</w:t>
      </w:r>
    </w:p>
    <w:p w:rsidR="00000000" w:rsidDel="00000000" w:rsidP="00000000" w:rsidRDefault="00000000" w:rsidRPr="00000000" w14:paraId="0000049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primado constitucional do pleno emprego previsto nos artigos 1º, 6º e 170 da Constituição Federal, no capítulo da Ordem Econômica, assim como o princípio da igualdade na perspectiva da igualdade de oportunidades e o princípio da não discriminação (artigos 6º e 7º) se aplicados na perspectiva dos direitos humanos a homens e mulheres, convergiriam à Convenção 156 da OIT.</w:t>
      </w:r>
    </w:p>
    <w:p w:rsidR="00000000" w:rsidDel="00000000" w:rsidP="00000000" w:rsidRDefault="00000000" w:rsidRPr="00000000" w14:paraId="0000049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a teórica feminista Simone de Beauvoir (Beauvoir, apud </w:t>
      </w:r>
      <w:r w:rsidDel="00000000" w:rsidR="00000000" w:rsidRPr="00000000">
        <w:rPr>
          <w:rFonts w:ascii="Times New Roman" w:cs="Times New Roman" w:eastAsia="Times New Roman" w:hAnsi="Times New Roman"/>
          <w:color w:val="111111"/>
          <w:sz w:val="24"/>
          <w:szCs w:val="24"/>
          <w:rtl w:val="0"/>
        </w:rPr>
        <w:t xml:space="preserve">Rovere,</w:t>
      </w:r>
      <w:r w:rsidDel="00000000" w:rsidR="00000000" w:rsidRPr="00000000">
        <w:rPr>
          <w:rFonts w:ascii="Times New Roman" w:cs="Times New Roman" w:eastAsia="Times New Roman" w:hAnsi="Times New Roman"/>
          <w:sz w:val="24"/>
          <w:szCs w:val="24"/>
          <w:rtl w:val="0"/>
        </w:rPr>
        <w:t xml:space="preserve"> 2019), para explicar como a norma jurídica analisada de forma isolada não é suficiente para entender a discriminação suportada pelas mulheres: “Todavia, em muitos países, ainda hoje, apesar das evoluções legislativas, a opressão das mulheres ocorre mais pelo rigor dos costumes do que pelo rigor das leis. Isso ocorre porque o direito e os costumes nem sempre coincidem e, entre eles o equilíbrio sempre se estabeleceu de forma que a mulher nunca fosse concretamente livre (Beauvoir, apud </w:t>
      </w:r>
      <w:r w:rsidDel="00000000" w:rsidR="00000000" w:rsidRPr="00000000">
        <w:rPr>
          <w:rFonts w:ascii="Times New Roman" w:cs="Times New Roman" w:eastAsia="Times New Roman" w:hAnsi="Times New Roman"/>
          <w:color w:val="111111"/>
          <w:sz w:val="24"/>
          <w:szCs w:val="24"/>
          <w:rtl w:val="0"/>
        </w:rPr>
        <w:t xml:space="preserve">Rovere,</w:t>
      </w:r>
      <w:r w:rsidDel="00000000" w:rsidR="00000000" w:rsidRPr="00000000">
        <w:rPr>
          <w:rFonts w:ascii="Times New Roman" w:cs="Times New Roman" w:eastAsia="Times New Roman" w:hAnsi="Times New Roman"/>
          <w:sz w:val="24"/>
          <w:szCs w:val="24"/>
          <w:rtl w:val="0"/>
        </w:rPr>
        <w:t xml:space="preserve"> 2019).”</w:t>
      </w:r>
    </w:p>
    <w:p w:rsidR="00000000" w:rsidDel="00000000" w:rsidP="00000000" w:rsidRDefault="00000000" w:rsidRPr="00000000" w14:paraId="0000049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Atualmente, no Brasil, na França, no mundo ocidental em geral, existem leis que determinam a igualdade de salários e de oportunidades, mas permanecem as dificuldades de se ocuparem os mesmos espaços e perceberem os mesmos salários pagos aos homens cis hetero normativos.</w:t>
      </w:r>
    </w:p>
    <w:p w:rsidR="00000000" w:rsidDel="00000000" w:rsidP="00000000" w:rsidRDefault="00000000" w:rsidRPr="00000000" w14:paraId="0000049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se verifica a presença do reconhecimento de todos os trabalhos desempenhados pelo feminino pois o doméstico é gratuito e revestido de afeto e o realizado fora do lar é mal pago. Ausente o reconhecimento, a distribuição de direitos não se perfaz.  </w:t>
      </w:r>
    </w:p>
    <w:p w:rsidR="00000000" w:rsidDel="00000000" w:rsidP="00000000" w:rsidRDefault="00000000" w:rsidRPr="00000000" w14:paraId="000004A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liberdade feminina permanece reduzida e o sistema capitalista continua usufruindo da força de trabalho que se ocupa das tarefas domésticas sem nada receber por isso. A distribuição é desigual, porque a representação é desigual.</w:t>
      </w:r>
    </w:p>
    <w:p w:rsidR="00000000" w:rsidDel="00000000" w:rsidP="00000000" w:rsidRDefault="00000000" w:rsidRPr="00000000" w14:paraId="000004A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cabe refletir, portanto, a partir da teoria da reprodução social, que o sistema capitalista se estruturou assim desde as origens do Estado moderno, desde a ideia de liberdade, fraternidade e igualdade propagada na Revolução Francesa, mas considerando o homem branco e burguês. </w:t>
      </w:r>
    </w:p>
    <w:p w:rsidR="00000000" w:rsidDel="00000000" w:rsidP="00000000" w:rsidRDefault="00000000" w:rsidRPr="00000000" w14:paraId="000004A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as mulheres caminham suportando violências também nas ruas, nas escolas e no trabalho (e continuam ganhando salários inferiores), fatos que também se relacionam com o aumento da violência e misoginia estrutural, para além da doméstica. </w:t>
      </w:r>
    </w:p>
    <w:p w:rsidR="00000000" w:rsidDel="00000000" w:rsidP="00000000" w:rsidRDefault="00000000" w:rsidRPr="00000000" w14:paraId="000004A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4">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Conclusões</w:t>
      </w:r>
    </w:p>
    <w:p w:rsidR="00000000" w:rsidDel="00000000" w:rsidP="00000000" w:rsidRDefault="00000000" w:rsidRPr="00000000" w14:paraId="000004A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expectativa, e com grande esperança na ratificação da Convenção 156 da OIT, propomos o necessário controle de convencionalidade pelos juízes e juízas do trabalho, na certeza de que a Resolução 492 do CNJ é uma potente primeira ferramenta de direitos humanos aplicável diretamente ao Judiciário que todo operador jurídico há muito almejava.</w:t>
      </w:r>
    </w:p>
    <w:p w:rsidR="00000000" w:rsidDel="00000000" w:rsidP="00000000" w:rsidRDefault="00000000" w:rsidRPr="00000000" w14:paraId="000004A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meios jurídicos disponíveis para que as diversas mulheres trabalhadoras sejam mais visibilizadas e respeitadas, para que o trabalho não remunerado que sempre executaram seja notado, considerado e reconhecido pelo Poder Judiciário ao recepcionar as ações e pleitos e proferir decisões que versem sobre pedidos relacionados ao trabalho produtivo e, ao reprodutivo, que não eventualmente também exercem.</w:t>
      </w:r>
    </w:p>
    <w:p w:rsidR="00000000" w:rsidDel="00000000" w:rsidP="00000000" w:rsidRDefault="00000000" w:rsidRPr="00000000" w14:paraId="000004A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Convenção 156 da OIT nos leva a refletir sobre como políticas de Estado, tais como creches, escolas, assistência social e médica, licença parental, planejamento familiar e educação integral são fundamentais a permitirem que as mulheres disputem em aproximadas condições com os homens no mundo do trabalho produtivo. </w:t>
      </w:r>
    </w:p>
    <w:p w:rsidR="00000000" w:rsidDel="00000000" w:rsidP="00000000" w:rsidRDefault="00000000" w:rsidRPr="00000000" w14:paraId="000004A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teoria da reprodução é essencial para compreendermos que trabalho doméstico não remunerado e trabalho de cuidado naturalizado, como “coisa” de mulher (mãe, filha e companheira, esposa), o que significa perpetuação do modelo patriarcal, colonial e escravizador do qual somos integrantes e sua ruptura é urgente.</w:t>
      </w:r>
    </w:p>
    <w:p w:rsidR="00000000" w:rsidDel="00000000" w:rsidP="00000000" w:rsidRDefault="00000000" w:rsidRPr="00000000" w14:paraId="000004A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poder exercido pelo patriarca se espraia da casa à rua, da rua à empresa, da empresa volta à casa e modela os contornos das relações sociais, permitindo que o capitalismo permaneça explorando os corpos femininos sem mesmo dar a chance de que as mulheres, cis ou não cis, compreendam que os costumes sociais são os seus verdadeiros inimigos. </w:t>
      </w:r>
    </w:p>
    <w:p w:rsidR="00000000" w:rsidDel="00000000" w:rsidP="00000000" w:rsidRDefault="00000000" w:rsidRPr="00000000" w14:paraId="000004A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Temos a expectativa que o sistema de justiça seja capaz de usar as ferramentas que estão disponíveis, para além das garantias normativas pré-existentes: o protocolo de julgamento em perspectiva de gênero (e raça e etnia) e o controle de convencionalidade, assim que a Convenção 156 da OIT seja ratificada.</w:t>
      </w:r>
    </w:p>
    <w:p w:rsidR="00000000" w:rsidDel="00000000" w:rsidP="00000000" w:rsidRDefault="00000000" w:rsidRPr="00000000" w14:paraId="000004A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que os operadores do sistema de justiça não se acomodem com a existência da norma posta, pois a máxima da igualdade formal está presente desde a Constituição Federal de 1988 e não foi suficiente. É preciso confrontar a lei com a realidade social e o mundo dos fatos, considerada a complexidade do tema, na abordagem interseccional que autoriza o olhar sistêmico, multifacetado, relacional e histórico que se faz mister.</w:t>
      </w:r>
    </w:p>
    <w:p w:rsidR="00000000" w:rsidDel="00000000" w:rsidP="00000000" w:rsidRDefault="00000000" w:rsidRPr="00000000" w14:paraId="000004A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E">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4A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AKOTIRENE, Carla. </w:t>
      </w:r>
      <w:r w:rsidDel="00000000" w:rsidR="00000000" w:rsidRPr="00000000">
        <w:rPr>
          <w:rFonts w:ascii="Times New Roman" w:cs="Times New Roman" w:eastAsia="Times New Roman" w:hAnsi="Times New Roman"/>
          <w:b w:val="1"/>
          <w:sz w:val="24"/>
          <w:szCs w:val="24"/>
          <w:rtl w:val="0"/>
        </w:rPr>
        <w:t xml:space="preserve">Interseccionalidade</w:t>
      </w:r>
      <w:r w:rsidDel="00000000" w:rsidR="00000000" w:rsidRPr="00000000">
        <w:rPr>
          <w:rFonts w:ascii="Times New Roman" w:cs="Times New Roman" w:eastAsia="Times New Roman" w:hAnsi="Times New Roman"/>
          <w:sz w:val="24"/>
          <w:szCs w:val="24"/>
          <w:rtl w:val="0"/>
        </w:rPr>
        <w:t xml:space="preserve">. São Paulo: Jandaíra, 2019. </w:t>
      </w:r>
    </w:p>
    <w:p w:rsidR="00000000" w:rsidDel="00000000" w:rsidP="00000000" w:rsidRDefault="00000000" w:rsidRPr="00000000" w14:paraId="000004B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Ana Lia Vanderlei</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 Apartheid do direito: </w:t>
      </w:r>
      <w:r w:rsidDel="00000000" w:rsidR="00000000" w:rsidRPr="00000000">
        <w:rPr>
          <w:rFonts w:ascii="Times New Roman" w:cs="Times New Roman" w:eastAsia="Times New Roman" w:hAnsi="Times New Roman"/>
          <w:sz w:val="24"/>
          <w:szCs w:val="24"/>
          <w:rtl w:val="0"/>
        </w:rPr>
        <w:t xml:space="preserve">reflexões sobre o positivismo jurídico na periferia do capital</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Rev. Direito práx., Rio de Janeiro, v. 8, n.2, p. 869-904, junho de 2017.</w:t>
      </w:r>
    </w:p>
    <w:p w:rsidR="00000000" w:rsidDel="00000000" w:rsidP="00000000" w:rsidRDefault="00000000" w:rsidRPr="00000000" w14:paraId="000004B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Suely 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Essa violência mal-dita.</w:t>
      </w:r>
      <w:r w:rsidDel="00000000" w:rsidR="00000000" w:rsidRPr="00000000">
        <w:rPr>
          <w:rFonts w:ascii="Times New Roman" w:cs="Times New Roman" w:eastAsia="Times New Roman" w:hAnsi="Times New Roman"/>
          <w:i w:val="1"/>
          <w:sz w:val="24"/>
          <w:szCs w:val="24"/>
          <w:rtl w:val="0"/>
        </w:rPr>
        <w:t xml:space="preserve"> In: </w:t>
      </w:r>
      <w:r w:rsidDel="00000000" w:rsidR="00000000" w:rsidRPr="00000000">
        <w:rPr>
          <w:rFonts w:ascii="Times New Roman" w:cs="Times New Roman" w:eastAsia="Times New Roman" w:hAnsi="Times New Roman"/>
          <w:b w:val="1"/>
          <w:sz w:val="24"/>
          <w:szCs w:val="24"/>
          <w:rtl w:val="0"/>
        </w:rPr>
        <w:t xml:space="preserve">Violência de gênero e políticas públicas</w:t>
      </w:r>
      <w:r w:rsidDel="00000000" w:rsidR="00000000" w:rsidRPr="00000000">
        <w:rPr>
          <w:rFonts w:ascii="Times New Roman" w:cs="Times New Roman" w:eastAsia="Times New Roman" w:hAnsi="Times New Roman"/>
          <w:sz w:val="24"/>
          <w:szCs w:val="24"/>
          <w:rtl w:val="0"/>
        </w:rPr>
        <w:t xml:space="preserve">. Rio de Janeiro, Ed. UFRJ, 2007, p. 23-41.</w:t>
      </w:r>
    </w:p>
    <w:p w:rsidR="00000000" w:rsidDel="00000000" w:rsidP="00000000" w:rsidRDefault="00000000" w:rsidRPr="00000000" w14:paraId="000004B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AGÊNCIA BRASIL. https://agenciabrasil.ebc.com.br/geral/noticia/2022-08/mais-de-100-mil-criancas-nao-receberam-o-nome-do-pai-este-ano. Acessado em 15.07.2023.</w:t>
      </w:r>
    </w:p>
    <w:p w:rsidR="00000000" w:rsidDel="00000000" w:rsidP="00000000" w:rsidRDefault="00000000" w:rsidRPr="00000000" w14:paraId="000004B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TENDA DAS CANDIDATAS. </w:t>
      </w:r>
      <w:hyperlink r:id="rId58">
        <w:r w:rsidDel="00000000" w:rsidR="00000000" w:rsidRPr="00000000">
          <w:rPr>
            <w:rFonts w:ascii="Times New Roman" w:cs="Times New Roman" w:eastAsia="Times New Roman" w:hAnsi="Times New Roman"/>
            <w:color w:val="000000"/>
            <w:sz w:val="24"/>
            <w:szCs w:val="24"/>
            <w:u w:val="single"/>
            <w:rtl w:val="0"/>
          </w:rPr>
          <w:t xml:space="preserve">https://atendadascandidatas.org/</w:t>
        </w:r>
      </w:hyperlink>
      <w:r w:rsidDel="00000000" w:rsidR="00000000" w:rsidRPr="00000000">
        <w:rPr>
          <w:rFonts w:ascii="Times New Roman" w:cs="Times New Roman" w:eastAsia="Times New Roman" w:hAnsi="Times New Roman"/>
          <w:sz w:val="24"/>
          <w:szCs w:val="24"/>
          <w:rtl w:val="0"/>
        </w:rPr>
        <w:t xml:space="preserve">. Acesso em 15.07.2023.</w:t>
      </w:r>
    </w:p>
    <w:p w:rsidR="00000000" w:rsidDel="00000000" w:rsidP="00000000" w:rsidRDefault="00000000" w:rsidRPr="00000000" w14:paraId="000004B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AZEVEDO, Liz Corrêa de </w:t>
      </w:r>
      <w:r w:rsidDel="00000000" w:rsidR="00000000" w:rsidRPr="00000000">
        <w:rPr>
          <w:rFonts w:ascii="Times New Roman" w:cs="Times New Roman" w:eastAsia="Times New Roman" w:hAnsi="Times New Roman"/>
          <w:i w:val="1"/>
          <w:sz w:val="24"/>
          <w:szCs w:val="24"/>
          <w:rtl w:val="0"/>
        </w:rPr>
        <w:t xml:space="preserve">et al. </w:t>
      </w:r>
      <w:r w:rsidDel="00000000" w:rsidR="00000000" w:rsidRPr="00000000">
        <w:rPr>
          <w:rFonts w:ascii="Times New Roman" w:cs="Times New Roman" w:eastAsia="Times New Roman" w:hAnsi="Times New Roman"/>
          <w:b w:val="1"/>
          <w:sz w:val="24"/>
          <w:szCs w:val="24"/>
          <w:rtl w:val="0"/>
        </w:rPr>
        <w:t xml:space="preserve">Julgamento com perspectiva de gênero: uma análise comparada entre o sistema interamericano e europeu</w:t>
      </w:r>
      <w:r w:rsidDel="00000000" w:rsidR="00000000" w:rsidRPr="00000000">
        <w:rPr>
          <w:rFonts w:ascii="Times New Roman" w:cs="Times New Roman" w:eastAsia="Times New Roman" w:hAnsi="Times New Roman"/>
          <w:sz w:val="24"/>
          <w:szCs w:val="24"/>
          <w:rtl w:val="0"/>
        </w:rPr>
        <w:t xml:space="preserve">. 2023. Dissertação de Mestrado. disponível em: </w:t>
      </w:r>
      <w:hyperlink r:id="rId59">
        <w:r w:rsidDel="00000000" w:rsidR="00000000" w:rsidRPr="00000000">
          <w:rPr>
            <w:rFonts w:ascii="Times New Roman" w:cs="Times New Roman" w:eastAsia="Times New Roman" w:hAnsi="Times New Roman"/>
            <w:color w:val="000000"/>
            <w:sz w:val="24"/>
            <w:szCs w:val="24"/>
            <w:u w:val="single"/>
            <w:rtl w:val="0"/>
          </w:rPr>
          <w:t xml:space="preserve">http://repositorio.uportu.pt/jspui/handle/11328/4678</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B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BATHATTACGARYA, Tithi. </w:t>
      </w:r>
      <w:r w:rsidDel="00000000" w:rsidR="00000000" w:rsidRPr="00000000">
        <w:rPr>
          <w:rFonts w:ascii="Times New Roman" w:cs="Times New Roman" w:eastAsia="Times New Roman" w:hAnsi="Times New Roman"/>
          <w:b w:val="1"/>
          <w:sz w:val="24"/>
          <w:szCs w:val="24"/>
          <w:rtl w:val="0"/>
        </w:rPr>
        <w:t xml:space="preserve">O que é a teoria da reprodução social?</w:t>
      </w:r>
      <w:r w:rsidDel="00000000" w:rsidR="00000000" w:rsidRPr="00000000">
        <w:rPr>
          <w:rFonts w:ascii="Times New Roman" w:cs="Times New Roman" w:eastAsia="Times New Roman" w:hAnsi="Times New Roman"/>
          <w:sz w:val="24"/>
          <w:szCs w:val="24"/>
          <w:rtl w:val="0"/>
        </w:rPr>
        <w:t xml:space="preserve"> Disponível em </w:t>
      </w:r>
      <w:hyperlink r:id="rId60">
        <w:r w:rsidDel="00000000" w:rsidR="00000000" w:rsidRPr="00000000">
          <w:rPr>
            <w:rFonts w:ascii="Times New Roman" w:cs="Times New Roman" w:eastAsia="Times New Roman" w:hAnsi="Times New Roman"/>
            <w:color w:val="000000"/>
            <w:sz w:val="24"/>
            <w:szCs w:val="24"/>
            <w:u w:val="single"/>
            <w:rtl w:val="0"/>
          </w:rPr>
          <w:t xml:space="preserve">https://esquerdaonline.com.br/2019/03/08/tithi-bhattacharya-o-que-e-a-teoria-da-reproducao-social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B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Lei 11.340 de 07 de agosto de 2006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Lei Maria da Penha.</w:t>
      </w:r>
      <w:r w:rsidDel="00000000" w:rsidR="00000000" w:rsidRPr="00000000">
        <w:rPr>
          <w:rFonts w:ascii="Times New Roman" w:cs="Times New Roman" w:eastAsia="Times New Roman" w:hAnsi="Times New Roman"/>
          <w:sz w:val="24"/>
          <w:szCs w:val="24"/>
          <w:rtl w:val="0"/>
        </w:rPr>
        <w:t xml:space="preserve"> Disponível em: </w:t>
      </w:r>
      <w:hyperlink r:id="rId61">
        <w:r w:rsidDel="00000000" w:rsidR="00000000" w:rsidRPr="00000000">
          <w:rPr>
            <w:rFonts w:ascii="Times New Roman" w:cs="Times New Roman" w:eastAsia="Times New Roman" w:hAnsi="Times New Roman"/>
            <w:sz w:val="24"/>
            <w:szCs w:val="24"/>
            <w:rtl w:val="0"/>
          </w:rPr>
          <w:t xml:space="preserve">Lei nº 11.340 (planalto.gov.br)</w:t>
        </w:r>
      </w:hyperlink>
      <w:r w:rsidDel="00000000" w:rsidR="00000000" w:rsidRPr="00000000">
        <w:rPr>
          <w:rFonts w:ascii="Times New Roman" w:cs="Times New Roman" w:eastAsia="Times New Roman" w:hAnsi="Times New Roman"/>
          <w:sz w:val="24"/>
          <w:szCs w:val="24"/>
          <w:rtl w:val="0"/>
        </w:rPr>
        <w:t xml:space="preserve">. Acesso em Acesso em 23.09.2023</w:t>
      </w:r>
    </w:p>
    <w:p w:rsidR="00000000" w:rsidDel="00000000" w:rsidP="00000000" w:rsidRDefault="00000000" w:rsidRPr="00000000" w14:paraId="000004B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Lei 14.611/2023</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Lei de isonomia salarial.</w:t>
      </w:r>
      <w:r w:rsidDel="00000000" w:rsidR="00000000" w:rsidRPr="00000000">
        <w:rPr>
          <w:rFonts w:ascii="Times New Roman" w:cs="Times New Roman" w:eastAsia="Times New Roman" w:hAnsi="Times New Roman"/>
          <w:sz w:val="24"/>
          <w:szCs w:val="24"/>
          <w:rtl w:val="0"/>
        </w:rPr>
        <w:t xml:space="preserve"> Acesso em Acesso em 23.09.2023</w:t>
      </w:r>
    </w:p>
    <w:p w:rsidR="00000000" w:rsidDel="00000000" w:rsidP="00000000" w:rsidRDefault="00000000" w:rsidRPr="00000000" w14:paraId="000004C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Lei 9.020/95. Disponível em: </w:t>
      </w:r>
      <w:hyperlink r:id="rId62">
        <w:r w:rsidDel="00000000" w:rsidR="00000000" w:rsidRPr="00000000">
          <w:rPr>
            <w:rFonts w:ascii="Times New Roman" w:cs="Times New Roman" w:eastAsia="Times New Roman" w:hAnsi="Times New Roman"/>
            <w:sz w:val="24"/>
            <w:szCs w:val="24"/>
            <w:rtl w:val="0"/>
          </w:rPr>
          <w:t xml:space="preserve">Lei nº 9.020 (planalto.gov.br)</w:t>
        </w:r>
      </w:hyperlink>
      <w:r w:rsidDel="00000000" w:rsidR="00000000" w:rsidRPr="00000000">
        <w:rPr>
          <w:rFonts w:ascii="Times New Roman" w:cs="Times New Roman" w:eastAsia="Times New Roman" w:hAnsi="Times New Roman"/>
          <w:sz w:val="24"/>
          <w:szCs w:val="24"/>
          <w:rtl w:val="0"/>
        </w:rPr>
        <w:t xml:space="preserve">. Acesso em Acesso em 23.09.2023</w:t>
      </w:r>
    </w:p>
    <w:p w:rsidR="00000000" w:rsidDel="00000000" w:rsidP="00000000" w:rsidRDefault="00000000" w:rsidRPr="00000000" w14:paraId="000004C3">
      <w:pPr>
        <w:spacing w:after="0"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4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Constituição Federal do Brasil,</w:t>
      </w:r>
      <w:r w:rsidDel="00000000" w:rsidR="00000000" w:rsidRPr="00000000">
        <w:rPr>
          <w:rFonts w:ascii="Times New Roman" w:cs="Times New Roman" w:eastAsia="Times New Roman" w:hAnsi="Times New Roman"/>
          <w:sz w:val="24"/>
          <w:szCs w:val="24"/>
          <w:rtl w:val="0"/>
        </w:rPr>
        <w:t xml:space="preserve"> de 08 de outubro de 1988. Disponível em Senado Federal. Acesso em Acesso em 23.09.2023</w:t>
      </w:r>
    </w:p>
    <w:p w:rsidR="00000000" w:rsidDel="00000000" w:rsidP="00000000" w:rsidRDefault="00000000" w:rsidRPr="00000000" w14:paraId="000004C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Resoluções 254-2020 e 255-2020 e 492-2023 – </w:t>
      </w:r>
      <w:r w:rsidDel="00000000" w:rsidR="00000000" w:rsidRPr="00000000">
        <w:rPr>
          <w:rFonts w:ascii="Times New Roman" w:cs="Times New Roman" w:eastAsia="Times New Roman" w:hAnsi="Times New Roman"/>
          <w:b w:val="1"/>
          <w:sz w:val="24"/>
          <w:szCs w:val="24"/>
          <w:rtl w:val="0"/>
        </w:rPr>
        <w:t xml:space="preserve">Conselho Nacional de Justiça. </w:t>
      </w:r>
      <w:hyperlink r:id="rId63">
        <w:r w:rsidDel="00000000" w:rsidR="00000000" w:rsidRPr="00000000">
          <w:rPr>
            <w:rFonts w:ascii="Times New Roman" w:cs="Times New Roman" w:eastAsia="Times New Roman" w:hAnsi="Times New Roman"/>
            <w:color w:val="000000"/>
            <w:sz w:val="24"/>
            <w:szCs w:val="24"/>
            <w:u w:val="single"/>
            <w:rtl w:val="0"/>
          </w:rPr>
          <w:t xml:space="preserve">https://atos.cnj.jus.br/files</w:t>
        </w:r>
      </w:hyperlink>
      <w:r w:rsidDel="00000000" w:rsidR="00000000" w:rsidRPr="00000000">
        <w:rPr>
          <w:rFonts w:ascii="Times New Roman" w:cs="Times New Roman" w:eastAsia="Times New Roman" w:hAnsi="Times New Roman"/>
          <w:sz w:val="24"/>
          <w:szCs w:val="24"/>
          <w:rtl w:val="0"/>
        </w:rPr>
        <w:t xml:space="preserve"> Acesso em Acesso em 23.09.2023</w:t>
      </w:r>
    </w:p>
    <w:p w:rsidR="00000000" w:rsidDel="00000000" w:rsidP="00000000" w:rsidRDefault="00000000" w:rsidRPr="00000000" w14:paraId="000004C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Portaria 27, de 2 de fevereiro de 2021. </w:t>
      </w:r>
      <w:r w:rsidDel="00000000" w:rsidR="00000000" w:rsidRPr="00000000">
        <w:rPr>
          <w:rFonts w:ascii="Times New Roman" w:cs="Times New Roman" w:eastAsia="Times New Roman" w:hAnsi="Times New Roman"/>
          <w:b w:val="1"/>
          <w:sz w:val="24"/>
          <w:szCs w:val="24"/>
          <w:rtl w:val="0"/>
        </w:rPr>
        <w:t xml:space="preserve">Conselho Nacional de Justiça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hyperlink r:id="rId64">
        <w:r w:rsidDel="00000000" w:rsidR="00000000" w:rsidRPr="00000000">
          <w:rPr>
            <w:rFonts w:ascii="Times New Roman" w:cs="Times New Roman" w:eastAsia="Times New Roman" w:hAnsi="Times New Roman"/>
            <w:color w:val="000000"/>
            <w:sz w:val="24"/>
            <w:szCs w:val="24"/>
            <w:u w:val="single"/>
            <w:rtl w:val="0"/>
          </w:rPr>
          <w:t xml:space="preserve">https://atos.cnj.jus.br/files</w:t>
        </w:r>
      </w:hyperlink>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Acesso em Acesso em 23.09.2023</w:t>
      </w:r>
    </w:p>
    <w:p w:rsidR="00000000" w:rsidDel="00000000" w:rsidP="00000000" w:rsidRDefault="00000000" w:rsidRPr="00000000" w14:paraId="000004C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ODS 05 da ONU. </w:t>
      </w:r>
      <w:hyperlink r:id="rId65">
        <w:r w:rsidDel="00000000" w:rsidR="00000000" w:rsidRPr="00000000">
          <w:rPr>
            <w:rFonts w:ascii="Times New Roman" w:cs="Times New Roman" w:eastAsia="Times New Roman" w:hAnsi="Times New Roman"/>
            <w:color w:val="000000"/>
            <w:sz w:val="24"/>
            <w:szCs w:val="24"/>
            <w:u w:val="single"/>
            <w:rtl w:val="0"/>
          </w:rPr>
          <w:t xml:space="preserve">https://www.ipea.gov.br/ods/ods5.html</w:t>
        </w:r>
      </w:hyperlink>
      <w:r w:rsidDel="00000000" w:rsidR="00000000" w:rsidRPr="00000000">
        <w:rPr>
          <w:rFonts w:ascii="Times New Roman" w:cs="Times New Roman" w:eastAsia="Times New Roman" w:hAnsi="Times New Roman"/>
          <w:sz w:val="24"/>
          <w:szCs w:val="24"/>
          <w:rtl w:val="0"/>
        </w:rPr>
        <w:t xml:space="preserve">. Acesso em 15.07.2023</w:t>
      </w:r>
    </w:p>
    <w:p w:rsidR="00000000" w:rsidDel="00000000" w:rsidP="00000000" w:rsidRDefault="00000000" w:rsidRPr="00000000" w14:paraId="000004C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IBGE. </w:t>
      </w:r>
      <w:r w:rsidDel="00000000" w:rsidR="00000000" w:rsidRPr="00000000">
        <w:rPr>
          <w:rFonts w:ascii="Times New Roman" w:cs="Times New Roman" w:eastAsia="Times New Roman" w:hAnsi="Times New Roman"/>
          <w:b w:val="1"/>
          <w:sz w:val="24"/>
          <w:szCs w:val="24"/>
          <w:rtl w:val="0"/>
        </w:rPr>
        <w:t xml:space="preserve">PNAD Contínua. </w:t>
      </w:r>
      <w:hyperlink r:id="rId66">
        <w:r w:rsidDel="00000000" w:rsidR="00000000" w:rsidRPr="00000000">
          <w:rPr>
            <w:rFonts w:ascii="Times New Roman" w:cs="Times New Roman" w:eastAsia="Times New Roman" w:hAnsi="Times New Roman"/>
            <w:color w:val="000000"/>
            <w:sz w:val="24"/>
            <w:szCs w:val="24"/>
            <w:u w:val="single"/>
            <w:rtl w:val="0"/>
          </w:rPr>
          <w:t xml:space="preserve">https://www.ibge.gov.br/estatisticas/sociais/populacao/9127-pesquisa-nacional-por-amostra-de-domicilios.html</w:t>
        </w:r>
      </w:hyperlink>
      <w:r w:rsidDel="00000000" w:rsidR="00000000" w:rsidRPr="00000000">
        <w:rPr>
          <w:rFonts w:ascii="Times New Roman" w:cs="Times New Roman" w:eastAsia="Times New Roman" w:hAnsi="Times New Roman"/>
          <w:sz w:val="24"/>
          <w:szCs w:val="24"/>
          <w:rtl w:val="0"/>
        </w:rPr>
        <w:t xml:space="preserve">. Acessado em 15.07.2023.</w:t>
      </w:r>
    </w:p>
    <w:p w:rsidR="00000000" w:rsidDel="00000000" w:rsidP="00000000" w:rsidRDefault="00000000" w:rsidRPr="00000000" w14:paraId="000004C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w:t>
        <w:tab/>
      </w:r>
      <w:r w:rsidDel="00000000" w:rsidR="00000000" w:rsidRPr="00000000">
        <w:rPr>
          <w:rFonts w:ascii="Times New Roman" w:cs="Times New Roman" w:eastAsia="Times New Roman" w:hAnsi="Times New Roman"/>
          <w:b w:val="1"/>
          <w:sz w:val="24"/>
          <w:szCs w:val="24"/>
          <w:rtl w:val="0"/>
        </w:rPr>
        <w:t xml:space="preserve">TSE MULHERES</w:t>
      </w:r>
      <w:r w:rsidDel="00000000" w:rsidR="00000000" w:rsidRPr="00000000">
        <w:rPr>
          <w:rFonts w:ascii="Times New Roman" w:cs="Times New Roman" w:eastAsia="Times New Roman" w:hAnsi="Times New Roman"/>
          <w:sz w:val="24"/>
          <w:szCs w:val="24"/>
          <w:rtl w:val="0"/>
        </w:rPr>
        <w:t xml:space="preserve">. </w:t>
      </w:r>
      <w:hyperlink r:id="rId67">
        <w:r w:rsidDel="00000000" w:rsidR="00000000" w:rsidRPr="00000000">
          <w:rPr>
            <w:rFonts w:ascii="Times New Roman" w:cs="Times New Roman" w:eastAsia="Times New Roman" w:hAnsi="Times New Roman"/>
            <w:color w:val="0563c1"/>
            <w:sz w:val="24"/>
            <w:szCs w:val="24"/>
            <w:u w:val="single"/>
            <w:rtl w:val="0"/>
          </w:rPr>
          <w:t xml:space="preserve">https://www.tse.jus.br/comunicacao/noticias/2023/Janeiro/tse-mulheres-portal-reune-estatisticas-sobre-eleitorado-e-participacao-feminina-na-politica</w:t>
        </w:r>
      </w:hyperlink>
      <w:r w:rsidDel="00000000" w:rsidR="00000000" w:rsidRPr="00000000">
        <w:rPr>
          <w:rFonts w:ascii="Times New Roman" w:cs="Times New Roman" w:eastAsia="Times New Roman" w:hAnsi="Times New Roman"/>
          <w:sz w:val="24"/>
          <w:szCs w:val="24"/>
          <w:rtl w:val="0"/>
        </w:rPr>
        <w:t xml:space="preserve"> . Acesso em 23.09.2023.</w:t>
      </w:r>
    </w:p>
    <w:p w:rsidR="00000000" w:rsidDel="00000000" w:rsidP="00000000" w:rsidRDefault="00000000" w:rsidRPr="00000000" w14:paraId="000004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BUTLER, Judith.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Corpos que importam. Os limites discursivos do “sexo”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ed. Crocodilo edições, São Paulo, 2019.</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COLLINS, Patricia Hill; BILGE, Sirma. </w:t>
      </w:r>
      <w:r w:rsidDel="00000000" w:rsidR="00000000" w:rsidRPr="00000000">
        <w:rPr>
          <w:rFonts w:ascii="Times New Roman" w:cs="Times New Roman" w:eastAsia="Times New Roman" w:hAnsi="Times New Roman"/>
          <w:b w:val="1"/>
          <w:sz w:val="24"/>
          <w:szCs w:val="24"/>
          <w:rtl w:val="0"/>
        </w:rPr>
        <w:t xml:space="preserve">Interseccionalidade</w:t>
      </w:r>
      <w:r w:rsidDel="00000000" w:rsidR="00000000" w:rsidRPr="00000000">
        <w:rPr>
          <w:rFonts w:ascii="Times New Roman" w:cs="Times New Roman" w:eastAsia="Times New Roman" w:hAnsi="Times New Roman"/>
          <w:sz w:val="24"/>
          <w:szCs w:val="24"/>
          <w:rtl w:val="0"/>
        </w:rPr>
        <w:t xml:space="preserve">. Boitempo Editorial, 2021.</w:t>
      </w:r>
    </w:p>
    <w:p w:rsidR="00000000" w:rsidDel="00000000" w:rsidP="00000000" w:rsidRDefault="00000000" w:rsidRPr="00000000" w14:paraId="000004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CONVENÇÃO de Belém do Pará - </w:t>
      </w:r>
      <w:r w:rsidDel="00000000" w:rsidR="00000000" w:rsidRPr="00000000">
        <w:rPr>
          <w:rFonts w:ascii="Times New Roman" w:cs="Times New Roman" w:eastAsia="Times New Roman" w:hAnsi="Times New Roman"/>
          <w:b w:val="1"/>
          <w:sz w:val="24"/>
          <w:szCs w:val="24"/>
          <w:rtl w:val="0"/>
        </w:rPr>
        <w:t xml:space="preserve">Convenção interamericana para prevenir, punir e erradicar a violência contra a Mulher</w:t>
      </w:r>
      <w:r w:rsidDel="00000000" w:rsidR="00000000" w:rsidRPr="00000000">
        <w:rPr>
          <w:rFonts w:ascii="Times New Roman" w:cs="Times New Roman" w:eastAsia="Times New Roman" w:hAnsi="Times New Roman"/>
          <w:sz w:val="24"/>
          <w:szCs w:val="24"/>
          <w:rtl w:val="0"/>
        </w:rPr>
        <w:t xml:space="preserve">, 1994.</w:t>
      </w:r>
    </w:p>
    <w:p w:rsidR="00000000" w:rsidDel="00000000" w:rsidP="00000000" w:rsidRDefault="00000000" w:rsidRPr="00000000" w14:paraId="000004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CONVENÇÃO CEDAW – </w:t>
      </w:r>
      <w:r w:rsidDel="00000000" w:rsidR="00000000" w:rsidRPr="00000000">
        <w:rPr>
          <w:rFonts w:ascii="Times New Roman" w:cs="Times New Roman" w:eastAsia="Times New Roman" w:hAnsi="Times New Roman"/>
          <w:b w:val="1"/>
          <w:sz w:val="24"/>
          <w:szCs w:val="24"/>
          <w:rtl w:val="0"/>
        </w:rPr>
        <w:t xml:space="preserve">Eliminação de todas as formas de discriminação contra a Mulher</w:t>
      </w:r>
      <w:r w:rsidDel="00000000" w:rsidR="00000000" w:rsidRPr="00000000">
        <w:rPr>
          <w:rFonts w:ascii="Times New Roman" w:cs="Times New Roman" w:eastAsia="Times New Roman" w:hAnsi="Times New Roman"/>
          <w:sz w:val="24"/>
          <w:szCs w:val="24"/>
          <w:rtl w:val="0"/>
        </w:rPr>
        <w:t xml:space="preserve">, 1981. </w:t>
      </w:r>
    </w:p>
    <w:p w:rsidR="00000000" w:rsidDel="00000000" w:rsidP="00000000" w:rsidRDefault="00000000" w:rsidRPr="00000000" w14:paraId="000004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CONVENÇÃO 156 da OIT (1981) - </w:t>
      </w:r>
      <w:r w:rsidDel="00000000" w:rsidR="00000000" w:rsidRPr="00000000">
        <w:rPr>
          <w:rFonts w:ascii="Times New Roman" w:cs="Times New Roman" w:eastAsia="Times New Roman" w:hAnsi="Times New Roman"/>
          <w:b w:val="1"/>
          <w:sz w:val="24"/>
          <w:szCs w:val="24"/>
          <w:rtl w:val="0"/>
        </w:rPr>
        <w:t xml:space="preserve">Sobre a Igualdade de Oportunidades e de Tratamento para Homens e Mulheres Trabalhadores: Trabalhadores com Encargos de Família</w:t>
      </w:r>
      <w:r w:rsidDel="00000000" w:rsidR="00000000" w:rsidRPr="00000000">
        <w:rPr>
          <w:rFonts w:ascii="Times New Roman" w:cs="Times New Roman" w:eastAsia="Times New Roman" w:hAnsi="Times New Roman"/>
          <w:sz w:val="24"/>
          <w:szCs w:val="24"/>
          <w:rtl w:val="0"/>
        </w:rPr>
        <w:t xml:space="preserve">. Disponível em:</w:t>
      </w:r>
      <w:hyperlink r:id="rId68">
        <w:r w:rsidDel="00000000" w:rsidR="00000000" w:rsidRPr="00000000">
          <w:rPr>
            <w:rFonts w:ascii="Times New Roman" w:cs="Times New Roman" w:eastAsia="Times New Roman" w:hAnsi="Times New Roman"/>
            <w:color w:val="000000"/>
            <w:sz w:val="24"/>
            <w:szCs w:val="24"/>
            <w:u w:val="single"/>
            <w:rtl w:val="0"/>
          </w:rPr>
          <w:t xml:space="preserve">https://www.ilo.org/brasilia/convencoes/WCMS_242709/lang--pt/index.htm</w:t>
        </w:r>
      </w:hyperlink>
      <w:r w:rsidDel="00000000" w:rsidR="00000000" w:rsidRPr="00000000">
        <w:rPr>
          <w:rFonts w:ascii="Times New Roman" w:cs="Times New Roman" w:eastAsia="Times New Roman" w:hAnsi="Times New Roman"/>
          <w:sz w:val="24"/>
          <w:szCs w:val="24"/>
          <w:rtl w:val="0"/>
        </w:rPr>
        <w:t xml:space="preserve"> . Acessado em 13 Jul 2023. </w:t>
      </w:r>
    </w:p>
    <w:p w:rsidR="00000000" w:rsidDel="00000000" w:rsidP="00000000" w:rsidRDefault="00000000" w:rsidRPr="00000000" w14:paraId="000004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CONVENÇÃO 189 da OIT. Disponível em:</w:t>
      </w:r>
      <w:hyperlink r:id="rId69">
        <w:r w:rsidDel="00000000" w:rsidR="00000000" w:rsidRPr="00000000">
          <w:rPr>
            <w:rFonts w:ascii="Times New Roman" w:cs="Times New Roman" w:eastAsia="Times New Roman" w:hAnsi="Times New Roman"/>
            <w:color w:val="000000"/>
            <w:sz w:val="24"/>
            <w:szCs w:val="24"/>
            <w:u w:val="single"/>
            <w:rtl w:val="0"/>
          </w:rPr>
          <w:t xml:space="preserve">https://www.ilo.org/brasilia/convencoes/WCMS_242709/lang--pt/index.htm</w:t>
        </w:r>
      </w:hyperlink>
      <w:r w:rsidDel="00000000" w:rsidR="00000000" w:rsidRPr="00000000">
        <w:rPr>
          <w:rFonts w:ascii="Times New Roman" w:cs="Times New Roman" w:eastAsia="Times New Roman" w:hAnsi="Times New Roman"/>
          <w:sz w:val="24"/>
          <w:szCs w:val="24"/>
          <w:rtl w:val="0"/>
        </w:rPr>
        <w:t xml:space="preserve"> . Acessado em 13 Jul 2023. </w:t>
      </w:r>
    </w:p>
    <w:p w:rsidR="00000000" w:rsidDel="00000000" w:rsidP="00000000" w:rsidRDefault="00000000" w:rsidRPr="00000000" w14:paraId="000004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CUNHA, José Ricardo. </w:t>
      </w:r>
      <w:r w:rsidDel="00000000" w:rsidR="00000000" w:rsidRPr="00000000">
        <w:rPr>
          <w:rFonts w:ascii="Times New Roman" w:cs="Times New Roman" w:eastAsia="Times New Roman" w:hAnsi="Times New Roman"/>
          <w:b w:val="1"/>
          <w:sz w:val="24"/>
          <w:szCs w:val="24"/>
          <w:rtl w:val="0"/>
        </w:rPr>
        <w:t xml:space="preserve">Direitos Humanos e Poder Judiciário no Brasil</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FGV, 2009. </w:t>
      </w:r>
    </w:p>
    <w:p w:rsidR="00000000" w:rsidDel="00000000" w:rsidP="00000000" w:rsidRDefault="00000000" w:rsidRPr="00000000" w14:paraId="000004D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CURIEL, Ochy. </w:t>
      </w:r>
      <w:r w:rsidDel="00000000" w:rsidR="00000000" w:rsidRPr="00000000">
        <w:rPr>
          <w:rFonts w:ascii="Times New Roman" w:cs="Times New Roman" w:eastAsia="Times New Roman" w:hAnsi="Times New Roman"/>
          <w:b w:val="1"/>
          <w:sz w:val="24"/>
          <w:szCs w:val="24"/>
          <w:rtl w:val="0"/>
        </w:rPr>
        <w:t xml:space="preserve">"Superando la interseccionalidad de categorías por la construcción de un proyecto político feminista radical. Reflexiones en torno a las estrategias políticas de las mujeres afrodescendientes".</w:t>
      </w:r>
      <w:r w:rsidDel="00000000" w:rsidR="00000000" w:rsidRPr="00000000">
        <w:rPr>
          <w:rFonts w:ascii="Times New Roman" w:cs="Times New Roman" w:eastAsia="Times New Roman" w:hAnsi="Times New Roman"/>
          <w:sz w:val="24"/>
          <w:szCs w:val="24"/>
          <w:rtl w:val="0"/>
        </w:rPr>
        <w:t xml:space="preserve"> In Wade, Peter; Giraldo, Fernando Urrea; Viveros, Mara. Raza, etnicidad y sexualidades: ciudadanía y multiculturalismo en América Latina. Bogotá, Colombia: Universidad Nacional de Colombia, Facultad de Ciencias Humanas, Instituto CES, Escuela de Estudios de Género.</w:t>
      </w:r>
      <w:hyperlink r:id="rId70">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Fonts w:ascii="Times New Roman" w:cs="Times New Roman" w:eastAsia="Times New Roman" w:hAnsi="Times New Roman"/>
          <w:sz w:val="24"/>
          <w:szCs w:val="24"/>
          <w:rtl w:val="0"/>
        </w:rPr>
        <w:t xml:space="preserve">2008.</w:t>
      </w:r>
    </w:p>
    <w:p w:rsidR="00000000" w:rsidDel="00000000" w:rsidP="00000000" w:rsidRDefault="00000000" w:rsidRPr="00000000" w14:paraId="000004D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0">
      <w:pPr>
        <w:spacing w:after="0" w:line="240" w:lineRule="auto"/>
        <w:jc w:val="both"/>
        <w:rPr>
          <w:rFonts w:ascii="Times New Roman" w:cs="Times New Roman" w:eastAsia="Times New Roman" w:hAnsi="Times New Roman"/>
          <w:sz w:val="24"/>
          <w:szCs w:val="24"/>
        </w:rPr>
      </w:pPr>
      <w:bookmarkStart w:colFirst="0" w:colLast="0" w:name="_3dy6vkm" w:id="6"/>
      <w:bookmarkEnd w:id="6"/>
      <w:r w:rsidDel="00000000" w:rsidR="00000000" w:rsidRPr="00000000">
        <w:rPr>
          <w:rFonts w:ascii="Times New Roman" w:cs="Times New Roman" w:eastAsia="Times New Roman" w:hAnsi="Times New Roman"/>
          <w:sz w:val="24"/>
          <w:szCs w:val="24"/>
          <w:rtl w:val="0"/>
        </w:rPr>
        <w:t xml:space="preserve">GONZALEZ, Lélia. Racismo e sexismo na cultura brasileira. In: </w:t>
      </w:r>
      <w:r w:rsidDel="00000000" w:rsidR="00000000" w:rsidRPr="00000000">
        <w:rPr>
          <w:rFonts w:ascii="Times New Roman" w:cs="Times New Roman" w:eastAsia="Times New Roman" w:hAnsi="Times New Roman"/>
          <w:b w:val="1"/>
          <w:sz w:val="24"/>
          <w:szCs w:val="24"/>
          <w:rtl w:val="0"/>
        </w:rPr>
        <w:t xml:space="preserve">Por um feminismo afro-latino-americano</w:t>
      </w:r>
      <w:r w:rsidDel="00000000" w:rsidR="00000000" w:rsidRPr="00000000">
        <w:rPr>
          <w:rFonts w:ascii="Times New Roman" w:cs="Times New Roman" w:eastAsia="Times New Roman" w:hAnsi="Times New Roman"/>
          <w:sz w:val="24"/>
          <w:szCs w:val="24"/>
          <w:rtl w:val="0"/>
        </w:rPr>
        <w:t xml:space="preserve">: ensaios, intervenções e diálogos. Organizado por Flávia Rios, Márcia Lima.  – Iª ed. – Rio de Janeiro: Zahar, 2020. P.75-93.</w:t>
      </w:r>
    </w:p>
    <w:p w:rsidR="00000000" w:rsidDel="00000000" w:rsidP="00000000" w:rsidRDefault="00000000" w:rsidRPr="00000000" w14:paraId="000004E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HIRATA, Helena; KERGOAT, Danièle. </w:t>
      </w:r>
      <w:r w:rsidDel="00000000" w:rsidR="00000000" w:rsidRPr="00000000">
        <w:rPr>
          <w:rFonts w:ascii="Times New Roman" w:cs="Times New Roman" w:eastAsia="Times New Roman" w:hAnsi="Times New Roman"/>
          <w:b w:val="1"/>
          <w:sz w:val="24"/>
          <w:szCs w:val="24"/>
          <w:rtl w:val="0"/>
        </w:rPr>
        <w:t xml:space="preserve">Novas configurações da divisão sexual do trabalho</w:t>
      </w:r>
      <w:r w:rsidDel="00000000" w:rsidR="00000000" w:rsidRPr="00000000">
        <w:rPr>
          <w:rFonts w:ascii="Times New Roman" w:cs="Times New Roman" w:eastAsia="Times New Roman" w:hAnsi="Times New Roman"/>
          <w:sz w:val="24"/>
          <w:szCs w:val="24"/>
          <w:rtl w:val="0"/>
        </w:rPr>
        <w:t xml:space="preserve">. Cadernos de pesquisa, v. 37, p. 595-609, 2007. </w:t>
      </w:r>
    </w:p>
    <w:p w:rsidR="00000000" w:rsidDel="00000000" w:rsidP="00000000" w:rsidRDefault="00000000" w:rsidRPr="00000000" w14:paraId="000004E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KERGOAT, Danielle. </w:t>
      </w:r>
      <w:r w:rsidDel="00000000" w:rsidR="00000000" w:rsidRPr="00000000">
        <w:rPr>
          <w:rFonts w:ascii="Times New Roman" w:cs="Times New Roman" w:eastAsia="Times New Roman" w:hAnsi="Times New Roman"/>
          <w:b w:val="1"/>
          <w:sz w:val="24"/>
          <w:szCs w:val="24"/>
          <w:rtl w:val="0"/>
        </w:rPr>
        <w:t xml:space="preserve">Dinâmica e consubstancialidade das relações sociais.</w:t>
      </w:r>
      <w:r w:rsidDel="00000000" w:rsidR="00000000" w:rsidRPr="00000000">
        <w:rPr>
          <w:rFonts w:ascii="Times New Roman" w:cs="Times New Roman" w:eastAsia="Times New Roman" w:hAnsi="Times New Roman"/>
          <w:sz w:val="24"/>
          <w:szCs w:val="24"/>
          <w:rtl w:val="0"/>
        </w:rPr>
        <w:t xml:space="preserve"> Novos Estudos CEBRAP (86): 93-103, 2010.</w:t>
      </w:r>
    </w:p>
    <w:p w:rsidR="00000000" w:rsidDel="00000000" w:rsidP="00000000" w:rsidRDefault="00000000" w:rsidRPr="00000000" w14:paraId="000004E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MAEDA, Patrícia. </w:t>
      </w:r>
      <w:r w:rsidDel="00000000" w:rsidR="00000000" w:rsidRPr="00000000">
        <w:rPr>
          <w:rFonts w:ascii="Times New Roman" w:cs="Times New Roman" w:eastAsia="Times New Roman" w:hAnsi="Times New Roman"/>
          <w:b w:val="1"/>
          <w:sz w:val="24"/>
          <w:szCs w:val="24"/>
          <w:rtl w:val="0"/>
        </w:rPr>
        <w:t xml:space="preserve">Trabalhadoras do Brasil, Uni-vos! - Participação das mulheres na construção dos direitos sociais inscritos na Constituição Federal de 1988.</w:t>
      </w:r>
      <w:r w:rsidDel="00000000" w:rsidR="00000000" w:rsidRPr="00000000">
        <w:rPr>
          <w:rFonts w:ascii="Times New Roman" w:cs="Times New Roman" w:eastAsia="Times New Roman" w:hAnsi="Times New Roman"/>
          <w:sz w:val="24"/>
          <w:szCs w:val="24"/>
          <w:rtl w:val="0"/>
        </w:rPr>
        <w:t xml:space="preserve"> Belo Horizonte: Casa do Direito, 2021. </w:t>
      </w:r>
    </w:p>
    <w:p w:rsidR="00000000" w:rsidDel="00000000" w:rsidP="00000000" w:rsidRDefault="00000000" w:rsidRPr="00000000" w14:paraId="000004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MARQUES, M. Celeste S. VARGAS, Juliana C. </w:t>
      </w:r>
      <w:r w:rsidDel="00000000" w:rsidR="00000000" w:rsidRPr="00000000">
        <w:rPr>
          <w:rFonts w:ascii="Times New Roman" w:cs="Times New Roman" w:eastAsia="Times New Roman" w:hAnsi="Times New Roman"/>
          <w:b w:val="1"/>
          <w:sz w:val="24"/>
          <w:szCs w:val="24"/>
          <w:rtl w:val="0"/>
        </w:rPr>
        <w:t xml:space="preserve">Mulheres em situação de violência e trabalhos domésticos: vulnerabilidades e escravização.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Trabalho Escravo contemporâneo e resistência em tempos de pandemia.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Organizado por FIGUEIRA, Ricardo Rezende, MOURA, Flávia de Almeida, SUDANO, Suliane. – São Luís: EDFMA, 2022. p. 251-272.</w:t>
      </w:r>
    </w:p>
    <w:p w:rsidR="00000000" w:rsidDel="00000000" w:rsidP="00000000" w:rsidRDefault="00000000" w:rsidRPr="00000000" w14:paraId="000004E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MELO, Cecília Vieira; AUGUSTO, Cristiane Brandão; QUINTANS, Mariana Trotta Dallalana. </w:t>
      </w:r>
      <w:r w:rsidDel="00000000" w:rsidR="00000000" w:rsidRPr="00000000">
        <w:rPr>
          <w:rFonts w:ascii="Times New Roman" w:cs="Times New Roman" w:eastAsia="Times New Roman" w:hAnsi="Times New Roman"/>
          <w:b w:val="1"/>
          <w:sz w:val="24"/>
          <w:szCs w:val="24"/>
          <w:rtl w:val="0"/>
        </w:rPr>
        <w:t xml:space="preserve">Endividar-se para viver: olhares e resistências feministas ao neoliberalismo. In: Novas direitas e genocídio no Brasil [recurso eletrônico]: pandemias e pandemônio - vol. II</w:t>
      </w:r>
      <w:r w:rsidDel="00000000" w:rsidR="00000000" w:rsidRPr="00000000">
        <w:rPr>
          <w:rFonts w:ascii="Times New Roman" w:cs="Times New Roman" w:eastAsia="Times New Roman" w:hAnsi="Times New Roman"/>
          <w:sz w:val="24"/>
          <w:szCs w:val="24"/>
          <w:rtl w:val="0"/>
        </w:rPr>
        <w:t xml:space="preserve"> / Bárbara L.C.V. Dias ...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 organização Cristiane Brandão Augusto ...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 [2. ed.] - São Paulo : Tirant Lo Blanch, 2021.  pp. 292-307</w:t>
      </w:r>
    </w:p>
    <w:p w:rsidR="00000000" w:rsidDel="00000000" w:rsidP="00000000" w:rsidRDefault="00000000" w:rsidRPr="00000000" w14:paraId="000004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NOGUEIRA, Conceição. </w:t>
      </w:r>
      <w:r w:rsidDel="00000000" w:rsidR="00000000" w:rsidRPr="00000000">
        <w:rPr>
          <w:rFonts w:ascii="Times New Roman" w:cs="Times New Roman" w:eastAsia="Times New Roman" w:hAnsi="Times New Roman"/>
          <w:b w:val="1"/>
          <w:sz w:val="24"/>
          <w:szCs w:val="24"/>
          <w:rtl w:val="0"/>
        </w:rPr>
        <w:t xml:space="preserve">Interseccionalidade e Psicologia Feminista.</w:t>
      </w:r>
      <w:r w:rsidDel="00000000" w:rsidR="00000000" w:rsidRPr="00000000">
        <w:rPr>
          <w:rFonts w:ascii="Times New Roman" w:cs="Times New Roman" w:eastAsia="Times New Roman" w:hAnsi="Times New Roman"/>
          <w:sz w:val="24"/>
          <w:szCs w:val="24"/>
          <w:rtl w:val="0"/>
        </w:rPr>
        <w:t xml:space="preserve"> Salvador: Devires, 2017.</w:t>
      </w:r>
    </w:p>
    <w:p w:rsidR="00000000" w:rsidDel="00000000" w:rsidP="00000000" w:rsidRDefault="00000000" w:rsidRPr="00000000" w14:paraId="000004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POUGY, Lilia Guimarães</w:t>
      </w:r>
      <w:r w:rsidDel="00000000" w:rsidR="00000000" w:rsidRPr="00000000">
        <w:rPr>
          <w:rFonts w:ascii="Times New Roman" w:cs="Times New Roman" w:eastAsia="Times New Roman" w:hAnsi="Times New Roman"/>
          <w:b w:val="1"/>
          <w:sz w:val="24"/>
          <w:szCs w:val="24"/>
          <w:rtl w:val="0"/>
        </w:rPr>
        <w:t xml:space="preserve">. O conceito em perspectiva: gênero, raça e classe. In: Maia, R. Cruz, V. Saberes plurais</w:t>
      </w:r>
      <w:r w:rsidDel="00000000" w:rsidR="00000000" w:rsidRPr="00000000">
        <w:rPr>
          <w:rFonts w:ascii="Times New Roman" w:cs="Times New Roman" w:eastAsia="Times New Roman" w:hAnsi="Times New Roman"/>
          <w:sz w:val="24"/>
          <w:szCs w:val="24"/>
          <w:rtl w:val="0"/>
        </w:rPr>
        <w:t xml:space="preserve">: Produção acadêmica em Sociedade, Cultura e Serviço Social.  Coleção Carlos Nelson Coutinho. Vol. VI. PPGSS/UFRJ, 2018.</w:t>
      </w:r>
    </w:p>
    <w:p w:rsidR="00000000" w:rsidDel="00000000" w:rsidP="00000000" w:rsidRDefault="00000000" w:rsidRPr="00000000" w14:paraId="000004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ROVERE, Maxime (org.), </w:t>
      </w:r>
      <w:r w:rsidDel="00000000" w:rsidR="00000000" w:rsidRPr="00000000">
        <w:rPr>
          <w:rFonts w:ascii="Times New Roman" w:cs="Times New Roman" w:eastAsia="Times New Roman" w:hAnsi="Times New Roman"/>
          <w:b w:val="1"/>
          <w:sz w:val="24"/>
          <w:szCs w:val="24"/>
          <w:rtl w:val="0"/>
        </w:rPr>
        <w:t xml:space="preserve">Arquive o feminismo Mulheres Filósofas e Filósofos feministas Séculos XVII-XVIII</w:t>
      </w:r>
      <w:r w:rsidDel="00000000" w:rsidR="00000000" w:rsidRPr="00000000">
        <w:rPr>
          <w:rFonts w:ascii="Times New Roman" w:cs="Times New Roman" w:eastAsia="Times New Roman" w:hAnsi="Times New Roman"/>
          <w:sz w:val="24"/>
          <w:szCs w:val="24"/>
          <w:rtl w:val="0"/>
        </w:rPr>
        <w:t xml:space="preserve">, São Paulo, 2. ed.: N-1 edições, 2019.</w:t>
      </w:r>
    </w:p>
    <w:p w:rsidR="00000000" w:rsidDel="00000000" w:rsidP="00000000" w:rsidRDefault="00000000" w:rsidRPr="00000000" w14:paraId="000004F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Adriana Manta da. RODRIGUES, Joana Rêgo Silva. </w:t>
      </w:r>
      <w:r w:rsidDel="00000000" w:rsidR="00000000" w:rsidRPr="00000000">
        <w:rPr>
          <w:rFonts w:ascii="Times New Roman" w:cs="Times New Roman" w:eastAsia="Times New Roman" w:hAnsi="Times New Roman"/>
          <w:b w:val="1"/>
          <w:sz w:val="24"/>
          <w:szCs w:val="24"/>
          <w:rtl w:val="0"/>
        </w:rPr>
        <w:t xml:space="preserve">A lei da isonomia salarial e as interseccionalidades invisíveis.</w:t>
      </w:r>
      <w:r w:rsidDel="00000000" w:rsidR="00000000" w:rsidRPr="00000000">
        <w:rPr>
          <w:rFonts w:ascii="Times New Roman" w:cs="Times New Roman" w:eastAsia="Times New Roman" w:hAnsi="Times New Roman"/>
          <w:sz w:val="24"/>
          <w:szCs w:val="24"/>
          <w:rtl w:val="0"/>
        </w:rPr>
        <w:t xml:space="preserve"> </w:t>
      </w:r>
      <w:hyperlink r:id="rId71">
        <w:r w:rsidDel="00000000" w:rsidR="00000000" w:rsidRPr="00000000">
          <w:rPr>
            <w:rFonts w:ascii="Times New Roman" w:cs="Times New Roman" w:eastAsia="Times New Roman" w:hAnsi="Times New Roman"/>
            <w:color w:val="000000"/>
            <w:sz w:val="24"/>
            <w:szCs w:val="24"/>
            <w:u w:val="single"/>
            <w:rtl w:val="0"/>
          </w:rPr>
          <w:t xml:space="preserve">Https://www.conjur.com.br/2023-jul-12/silva-rodrigues-isonomia-salarial-interseccionalidades</w:t>
        </w:r>
      </w:hyperlink>
      <w:r w:rsidDel="00000000" w:rsidR="00000000" w:rsidRPr="00000000">
        <w:rPr>
          <w:rFonts w:ascii="Times New Roman" w:cs="Times New Roman" w:eastAsia="Times New Roman" w:hAnsi="Times New Roman"/>
          <w:sz w:val="24"/>
          <w:szCs w:val="24"/>
          <w:rtl w:val="0"/>
        </w:rPr>
        <w:t xml:space="preserve">. Acessado em 13.07.2023.</w:t>
      </w:r>
    </w:p>
    <w:p w:rsidR="00000000" w:rsidDel="00000000" w:rsidP="00000000" w:rsidRDefault="00000000" w:rsidRPr="00000000" w14:paraId="000004F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SCOTT, Joan, </w:t>
      </w:r>
      <w:r w:rsidDel="00000000" w:rsidR="00000000" w:rsidRPr="00000000">
        <w:rPr>
          <w:rFonts w:ascii="Times New Roman" w:cs="Times New Roman" w:eastAsia="Times New Roman" w:hAnsi="Times New Roman"/>
          <w:b w:val="1"/>
          <w:sz w:val="24"/>
          <w:szCs w:val="24"/>
          <w:rtl w:val="0"/>
        </w:rPr>
        <w:t xml:space="preserve">O conceito de gênero por Joan Scott: gênero enquanto categoria de análise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w:t>
      </w:r>
      <w:hyperlink r:id="rId72">
        <w:r w:rsidDel="00000000" w:rsidR="00000000" w:rsidRPr="00000000">
          <w:rPr>
            <w:rFonts w:ascii="Times New Roman" w:cs="Times New Roman" w:eastAsia="Times New Roman" w:hAnsi="Times New Roman"/>
            <w:color w:val="000000"/>
            <w:sz w:val="24"/>
            <w:szCs w:val="24"/>
            <w:u w:val="single"/>
            <w:rtl w:val="0"/>
          </w:rPr>
          <w:t xml:space="preserve">https: www.portalgeledes.com.br</w:t>
        </w:r>
      </w:hyperlink>
      <w:r w:rsidDel="00000000" w:rsidR="00000000" w:rsidRPr="00000000">
        <w:rPr>
          <w:rFonts w:ascii="Times New Roman" w:cs="Times New Roman" w:eastAsia="Times New Roman" w:hAnsi="Times New Roman"/>
          <w:sz w:val="24"/>
          <w:szCs w:val="24"/>
          <w:rtl w:val="0"/>
        </w:rPr>
        <w:t xml:space="preserve">. Acesso em: 07 de jul. de 2022.</w:t>
      </w:r>
    </w:p>
    <w:p w:rsidR="00000000" w:rsidDel="00000000" w:rsidP="00000000" w:rsidRDefault="00000000" w:rsidRPr="00000000" w14:paraId="000004F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SOCIEDADE BRASILEIRA DE PEDIATRIA. Disponível em htpps://www.sbp.com.br/imprensa/detalhe/nid/aleitamento-materno-uma-forma-muito-especial-de-comunicação. Acesso em 28-07-2023.</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SOUSA-LOBO, Elizabeth. </w:t>
      </w:r>
      <w:r w:rsidDel="00000000" w:rsidR="00000000" w:rsidRPr="00000000">
        <w:rPr>
          <w:rFonts w:ascii="Times New Roman" w:cs="Times New Roman" w:eastAsia="Times New Roman" w:hAnsi="Times New Roman"/>
          <w:b w:val="1"/>
          <w:sz w:val="24"/>
          <w:szCs w:val="24"/>
          <w:rtl w:val="0"/>
        </w:rPr>
        <w:t xml:space="preserve">A Classe operária tem dois sexos – trabalho, dominação e resistência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3.ed. São Paulo: Expressão Popular, 2021.</w:t>
      </w:r>
    </w:p>
    <w:p w:rsidR="00000000" w:rsidDel="00000000" w:rsidP="00000000" w:rsidRDefault="00000000" w:rsidRPr="00000000" w14:paraId="000004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TOMAZONI</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Larissa e BARBOZA, Estefânia Coordenação: Christine Oliveira Peter da Silva, Estefânia Maria de Queiroz Barboza, Melina Girardi Fachin; Org.</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Bruna Nowak, </w:t>
      </w:r>
      <w:r w:rsidDel="00000000" w:rsidR="00000000" w:rsidRPr="00000000">
        <w:rPr>
          <w:rFonts w:ascii="Times New Roman" w:cs="Times New Roman" w:eastAsia="Times New Roman" w:hAnsi="Times New Roman"/>
          <w:b w:val="1"/>
          <w:sz w:val="24"/>
          <w:szCs w:val="24"/>
          <w:rtl w:val="0"/>
        </w:rPr>
        <w:t xml:space="preserve">Constitucionalismo feminista. </w:t>
      </w:r>
      <w:r w:rsidDel="00000000" w:rsidR="00000000" w:rsidRPr="00000000">
        <w:rPr>
          <w:rFonts w:ascii="Times New Roman" w:cs="Times New Roman" w:eastAsia="Times New Roman" w:hAnsi="Times New Roman"/>
          <w:sz w:val="24"/>
          <w:szCs w:val="24"/>
          <w:rtl w:val="0"/>
        </w:rPr>
        <w:t xml:space="preserve">São Paulo: Juspodivm, 2019.</w:t>
      </w:r>
    </w:p>
    <w:p w:rsidR="00000000" w:rsidDel="00000000" w:rsidP="00000000" w:rsidRDefault="00000000" w:rsidRPr="00000000" w14:paraId="000004F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Regina Stela Corrêa. </w:t>
      </w:r>
      <w:r w:rsidDel="00000000" w:rsidR="00000000" w:rsidRPr="00000000">
        <w:rPr>
          <w:rFonts w:ascii="Times New Roman" w:cs="Times New Roman" w:eastAsia="Times New Roman" w:hAnsi="Times New Roman"/>
          <w:b w:val="1"/>
          <w:sz w:val="24"/>
          <w:szCs w:val="24"/>
          <w:rtl w:val="0"/>
        </w:rPr>
        <w:t xml:space="preserve">Cuidado como trabalho; uma interpelação do Direito do Trabalho a partir da perspectiva de gênero. </w:t>
      </w:r>
      <w:r w:rsidDel="00000000" w:rsidR="00000000" w:rsidRPr="00000000">
        <w:rPr>
          <w:rFonts w:ascii="Times New Roman" w:cs="Times New Roman" w:eastAsia="Times New Roman" w:hAnsi="Times New Roman"/>
          <w:sz w:val="24"/>
          <w:szCs w:val="24"/>
          <w:rtl w:val="0"/>
        </w:rPr>
        <w:t xml:space="preserve">Orientador Homero Batista Mateus da Silva, São Paulo, 2018. Tese de Doutorado. Acessado em 15.07.2023 </w:t>
      </w:r>
      <w:hyperlink r:id="rId73">
        <w:r w:rsidDel="00000000" w:rsidR="00000000" w:rsidRPr="00000000">
          <w:rPr>
            <w:rFonts w:ascii="Times New Roman" w:cs="Times New Roman" w:eastAsia="Times New Roman" w:hAnsi="Times New Roman"/>
            <w:color w:val="000000"/>
            <w:sz w:val="24"/>
            <w:szCs w:val="24"/>
            <w:u w:val="single"/>
            <w:rtl w:val="0"/>
          </w:rPr>
          <w:t xml:space="preserve">https://www.teses.usp.br/teses/disponiveis/2/2138/tde-30102020-143919/publico/5953743</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F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6">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DESVENDANDO PADRÕES DE OPRESSÃO: CONTRIBUIÇÕES FEMINISTAS NA COMPREENSÃO DA RELAÇÃO ENTRE VIOLÊNCIA DE GÊNERO E VIOLÊNCIA CONTRA CRIANÇAS E ADOLESCENTES.</w:t>
      </w:r>
    </w:p>
    <w:p w:rsidR="00000000" w:rsidDel="00000000" w:rsidP="00000000" w:rsidRDefault="00000000" w:rsidRPr="00000000" w14:paraId="00000517">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Mariana Nicolau Oliveira</w:t>
      </w:r>
      <w:r w:rsidDel="00000000" w:rsidR="00000000" w:rsidRPr="00000000">
        <w:rPr>
          <w:rFonts w:ascii="Times New Roman" w:cs="Times New Roman" w:eastAsia="Times New Roman" w:hAnsi="Times New Roman"/>
          <w:sz w:val="24"/>
          <w:szCs w:val="24"/>
          <w:vertAlign w:val="superscript"/>
        </w:rPr>
        <w:footnoteReference w:customMarkFollows="0" w:id="55"/>
      </w:r>
      <w:r w:rsidDel="00000000" w:rsidR="00000000" w:rsidRPr="00000000">
        <w:rPr>
          <w:rtl w:val="0"/>
        </w:rPr>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Estima-se que em todo o mundo, um terço das mulheres foi vítima de violência de gênero e mais de 1 bilhão de crianças sofreram alguma forma de violência em 2016. Outro dado alarmante é que um quarto de todos os adultos relata ter sido vítima de abuso físico quando criança e um quinto das mulheres relata ter sido vítima de abuso sexual infantil.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(Guedes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2020)</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Frequentemente, a violência contra as mulheres e a violência contra as crianças ocorrem na mesma casa ou na mesma família. Essas violências estão relacionadas com relações desiguais de poder de dentro da família, com a exposição à violência desde uma idade precoce e as masculinidades nocivas e violentas.</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norma técnica da ONU de 2020 intitulada “A Inter-relação entre violência contra as mulheres e violência contra as crianças”, conclui-se que as pessoas e as famílias são, frequentemente, expostas a múltiplas formas de violência que podem ser difíceis de abordar isoladamente.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entanto, historicamente, os esforços para combater a violência contra mulheres e crianças têm sido desenvolvidos como campos paralelos e separados, com diferentes fluxos de estudo, financiamento e estratégias de abordagem.</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exemplo concreto dos riscos dessa perspectiva que trata como violências isoladas foi noticiado pelo veículo de comunicação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Intercept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julho de 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Durante uma audiência de guarda de uma criança, em uma Vara de Família da Comarca do Rio de Janeiro, a mãe -vítima de violência doméstica - foi confrontada pela promotora que afirmou que ela também era culpada por apanhar do ex-marido, enquanto a juíza colocou que mulher pode apanhar do marido, “mas ele ser excelente pai”. O pai da criança ainda alegou ser vítima de alienação parental, argumentando que a mãe não permitia as visitas paternas por caprichos.</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Diante disso, surge o questionamento: a suposta aplicação do princípio do superior interesse da criança pode desconsiderar totalmente as violências ocorridas no âmbito desse lar em detrimento da garantia ao direito </w:t>
      </w:r>
      <w:r w:rsidDel="00000000" w:rsidR="00000000" w:rsidRPr="00000000">
        <w:rPr>
          <w:rFonts w:ascii="Times New Roman" w:cs="Times New Roman" w:eastAsia="Times New Roman" w:hAnsi="Times New Roman"/>
          <w:sz w:val="24"/>
          <w:szCs w:val="24"/>
          <w:rtl w:val="0"/>
        </w:rPr>
        <w:t xml:space="preserve">à convivência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familiar a qualquer custo? A partir dessa questão, desdobram-se outras inquietações, essa preocupação em garantir a convivência familiar se aplicaria também no caso das mães do mesmo modo? A hipótese aqui colocada é que, considerando os papéis de gênero, qualquer pretexto é suficiente para que a mulher perca a guarda, a exemplo do episódio em que um juiz alegou que o município do Rio de Janeiro era muito perigoso e que a criança deveria viver com o pai em outro município.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9"/>
      </w:r>
      <w:r w:rsidDel="00000000" w:rsidR="00000000" w:rsidRPr="00000000">
        <w:rPr>
          <w:rtl w:val="0"/>
        </w:rPr>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relatório da ONU de 2023 “Custódia, violência contra as mulheres e violência contra as crianças” destaca que os tribunais têm uma tendência a subestimar a gravidade das acusações de violência doméstica. A crença de que a violência causa pouco dano à mãe ou à criança e que cessa com a separação do casal está presente nas suposições assumidas pelos magistrados. Essa postura leva os tribunais a tendência de priorizar o contato com o pai e conceder a ele acesso não supervisionado aos filhos, mesmo em casos em que foi comprovada violência física ou sexual contra a mulher.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normativa que define alienação parental e prevê sanções para o genitor alienador, como advertência, retirada do poder parental, aplicação de multas e inversão de guarda ao outro genitor, está vigente no Brasil desde 2010 com a Lei nº 12.318. A acusação de alienação parental tem um componente de gênero elevado, sendo mais frequentemente usada contra as mães, segundo o estudo de 2016 Análise das Propriedades Psicométricas da Escala de Alienação Parental, homens fazem acusações infundadas de alienação parental com mais frequência do que as mulheres. Já as mulheres são acusadas de alienação parental em 66% dos casos, enquanto os homens são acusados em apenas 17% dos casos, o que representa um impacto significativo nas decisões de guarda.</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experiência dos Estados Unidos, os dados revelam uma diferença considerável entre as percentagens de mães e pais que perdem a guarda devido a alegações de alienação parental. Quando o pai acusa a mãe de alienação parental, a guarda é revertida em 44% das vezes, enquanto, quando a situação é inversa, o pai perde a guarda em apenas 28% das vezes. Na prática, isso pode levar a situações de risco para as crianças ao serem designadas todos os anos para ambientes familiares inseguros. O documento enfatiza que a falta de consideração da violência doméstica e familiar, bem como da violência contra as crianças, nas decisões sobre o regime de guarda e visitas, constitui uma violação dos direitos da criança e do princípio dos melhores interesses da criança. (ONU, 2023)</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w:t>
      </w:r>
      <w:hyperlink r:id="rId7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mapeamento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realizado pela Defensoria Pública do Estado do Ceará, com base em processos originados no Nudem em Fortaleza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só a violência doméstica, mas também seu potencial ofensivo à integridade da mulher são esquecidos pelo Judiciário”. Em todas as 630 ações analisadas, as vítimas mencionam a violência doméstica nos autos, no entanto, em apenas uma das 205 ações em que houve acordo entre as partes, o juiz formalmente mencionou o abuso no termo de homologação. Além disso, em 71,7% das ações, foram solicitadas medidas protetivas, indicando que mesmo após a separação, a mulher ainda temia a possibilidade de sofrer algum mal do agressor.</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direção, em 2019, uma pesquisa do Conselho Nacional de Justiça (CNJ) em parceria com o Instituto de Pesquisa Econômica Aplicada (IPEA)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analisou o atendimento oferecido pelo Judiciário às mulheres em situação de violência doméstica e familiar. A partir da observação de audiências, concluiu-se que as vítimas têm pouco espaço para se expressar, e seus relatos são frequentemente ignorados.</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Pesquisas têm apontado que crianças que vivem em lares onde ocorre violência contra a mulher têm maior probabilidade de sofrer punição física, ou seja, serem vítimas de violência. Estudos realizados em diversos contextos mostram que a punição física severa de crianças é mais comum em lares onde as mulheres sofrem violência por parte de parceiros íntimos do que em outros lares. Além disso, evidências indicam que a exposição à violência na infância - seja como vítima ou testemunha de abuso físico ou sexual - pode aumentar o risco de sofrer ou perpetrar violência mais tarde na vida. (Guedes, 2013)</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Existem evidências que mostram que “a igualdade de gênero e a promoção de normas sociais equitativas são fatores protetores tanto para a violência contra a mulher quanto para a violência contra as crianças.”, conforme exposto na nota técnica: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Inter-relação entre violência contra as mulheres e violência contra as crianças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ONU de 2020. Diante disso, a presente pesquisa visa superar a abordagem fragmentada que trata de forma isolada a ocorrência dessas violências, partindo das categorias patriarcado e totalidade para compreender de forma integrada como essas violências estão relacionadas.</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Outro aspecto em comum é a normalização que faz com que determinadas violências passem a ser consideradas aceitáveis culturalmente pela existência de normas sociais de “permissividade da agressão corporal; padrões de masculinidade que são baseados no controle e na violência; priorizar a reputação da família em relação ao cuidado das pessoas que sofrem violência; repudiar a igualdade de gênero” (ONU, 2020). Portanto, no escopo deste trabalho se faz fundamental adotar a dimensão de gênero não só para o enfrentamento da violência contra mulheres, mas também contra crianças e adolescentes.</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Patriarcado e violência</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violência de gênero é uma condição sistêmica do capitalismo que está enraizada nessa ordem social que subordina as mulheres à organização do trabalho com base em gênero e à acumulação de capital (Arruzza; Bhattacharya; Fraser, 2019). É derivada das relações contraditórias de exploração e dominação de classe, gênero e raça que essa violência reforça a manutenção do status quo (Saffioti, 1987).</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Optar pela categoria de gênero associada ao conceito de patriarcado implica pensar em  como se dão as relações de submissão e dominação associadas aos papéis de gênero.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dominação masculina legitima-se em contraposição à inferiorização da mulher. Para Lerner (2019), o patriarcado descreve o sistema institucionalizado de dominância masculina, é um sistema histórico, portanto, não é natural e, logo, pode ser derrubado pelo processo histórico.</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Patriarcado, em sua definição mais ampla, significa a manifestação e institucionalização da dominância masculina sobre as mulheres e crianças na família e a extensão da dominância masculina sobre a dominância masculina em geral. A definição sugere que homens têm o poder em todas as instituições importantes da sociedade e que mulheres são privadas de acesso a esse poder. Mas não significa que mulheres sejam totalmente impotentes ou privadas de direitos, influência e recursos. (Lerner, 2019, p.290)</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patriarcado mantém e sustenta a dominação masculina, baseando-se em instituições como a família, as religiões, a escola e as leis. São ideologias que nos ensinam que as mulheres são naturalmente inferiores. Foi, por exemplo, por meio do patriarcado que se estabeleceu que o trabalho doméstico deve ser exercido por mulheres e que não deve ser remunerado, sequer reconhecido como trabalho. Trata-se de algo visto de modo tão natural e instintivo, que muitas e muitos de nós sequer nos damos conta. Portanto, ler e falar sobre o patriarcado é desnaturalizar nossa existência. É reparar que existe um sistema estrutural que ainda mantém a hierarquia da sociedade (Lerner, 2019, p. 21).</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desigualdade estabelecida entre os gêneros é estruturante, são as relações de dominação e submissão que sustentam a violência de gênero. A violência de gênero é um fenômeno fundamental para a desigualdade de gênero, pois consiste não só como resultante, mas como fundante da sociedade patriarcal. Pode-se entender violência de gênero como relação de poder de dominação na ordem patriarcal do gênero, que submete as mulheres às normas da cultura patriarcal. A violência de gênero expressa-se em suas formas pública e privada reforçando-se mutuamente, e dessa forma beneficia o capital, que torna as mulheres duplamente sujeitas de violação no âmbito da família e pelas mãos dos capitalistas (Arruzza; Bhattacharya; Fraser, 2019).</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Pesquisas indicam que a desigualdade de gênero aumenta a vulnerabilidade de mulheres e meninas à violência e que a violência é frequentemente usada para impor a desigualdade de gênero. Em outras palavras, a desigualdade de gênero e a violência se reforçam mutuamente. (Pinheiro, 2006)</w:t>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Cabe aqui conceituar a perspectiva, de acordo com o portal do Conselho Nacional de Justiça (CNJ), encontram-se as seguintes definições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2"/>
      </w:r>
      <w:r w:rsidDel="00000000" w:rsidR="00000000" w:rsidRPr="00000000">
        <w:rPr>
          <w:rtl w:val="0"/>
        </w:rPr>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Violência contra a mulher: é qualquer conduta – ação ou omissão – de discriminação, agressão ou coerção, ocasionada pelo simples fato de a vítima ser mulher e que cause dano, morte, constrangimento, limitação, sofrimento físico, sexual, moral, psicológico, social, político ou econômico ou perda patrimonial. Essa violência pode acontecer tanto em espaços públicos como privados.</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Violência de gênero: violência sofrida pelo fato de se ser mulher, sem distinção de raça, classe social, religião, idade ou qualquer outra condição, produto de um sistema social que subordina o sexo feminino.</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Violência familiar: violência que acontece dentro da família, ou seja, nas relações entre os membros da comunidade familiar, formada por vínculos de parentesco natural (pai, mãe, filha etc.) ou civil (marido, sogra, padrasto ou outros), por afinidade (por exemplo, o primo ou tio do marido) ou afetividade (amigo ou amiga que more na mesma casa).</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Violência institucional: tipo de violência motivada por desigualdades (de gênero, étnico-raciais, econômicas etc.) predominantes em diferentes sociedades. Essas desigualdades se formalizam e institucionalizam nas diferentes organizações privadas e aparelhos estatais, como também nos diferentes grupos que constituem essas sociedades.</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Violência intrafamiliar/violência doméstica: acontece dentro de casa ou unidade doméstica e geralmente é praticada por um membro da família que viva com a </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vítima.</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Declaração e Plataforma de Ação de Pequim de 1995 e a Declaração da ONU sobre a Eliminação da Violência contra a Mulher de 1993 reconhecem a violência contra mulheres e meninas como uma expressão da desigualdade de gênero, que reforça as disparidades de poder entre os gêneros. Da mesma forma, o Estudo da ONU sobre Violência contra Crianças concluiu que praticamente todas as formas de violência estão ligadas a papéis e desigualdades de gênero arraigados e a violação dos direitos das crianças está intimamente ligada à situação das mulheres. (Guedes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2019)</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normas patriarcais, que reforçam a dominação masculina, são frequentemente usadas para justificar a violência, culpar as vítimas, revitimizar os sobreviventes, diminuir a importância da autonomia e da integridade corporal de mulheres e meninas e priorizar a reputação dos agressores, das famílias e das instituições em detrimento do bem-estar daqueles que sofrem abuso. (Guedes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2016)</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o caso do exemplo elucidado na introdução deste artigo do caso da audiência de guarda, que desconsidera a violência doméstica sofrida pela mãe e a justifica, por meio da culpabilização a mulher. Em nome da manutenção e da defesa da família patriarcal, que o princípio do superior interesse da criança desconsidera a dimensão da violência doméstica.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patriarcado mantém e sustenta a dominação masculina, baseando-se em instituições como a família, as religiões, a escola e as leis. São ideologias que nos ensinam que as mulheres são naturalmente inferiores. Foi, por exemplo, por meio do patriarcado que estabeleceu que o trabalho doméstico deve ser exercido por mulheres e que não deve ser remunerado, sequer reconhecido como trabalho. Trata-se de algo visto de modo tão natural e instintivo, que muitas e muitos de nós sequer nos damos conta. (Lerner, 2019, p. 21)</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Panorama sobre violência em números</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todo o mundo, as mulheres apresentam seis vezes mais risco de serem mortas por um parceiro íntimo. Tanto mulheres quanto crianças têm maior probabilidade de vivenciarem violência por parte de pessoas com as quais possuem relações pessoais próximas e interdependência financeira do que homens adultos. A maioria dos estudos aponta que as meninas enfrentam níveis mais elevados de violência sexual do que os meninos. (ONU, 2020) ..</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o perfil estatístico da violência contra crianças e adolescentes na América Latina e no Caribe em 2022, duas em cada três crianças na região, com idades entre 1 e 14 anos, sofrem violência em casa. Esse cenário inclui disciplina violenta, castigo físico, agressão psicológica, abuso sexual e homicídio, afetando milhões de meninos e meninas. O homicídio é a principal causa de morte entre meninos adolescentes com idades de 10 a 19 anos na região.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3"/>
      </w:r>
      <w:r w:rsidDel="00000000" w:rsidR="00000000" w:rsidRPr="00000000">
        <w:rPr>
          <w:rtl w:val="0"/>
        </w:rPr>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o Ministério dos Direitos Humanos e Cidadania, foram registrados 17,5 mil casos de violações sexuais contra crianças ou adolescentes através do Disque 100 nos primeiros quatro meses de 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Esse número representa um aumento significativo de quase 70% em comparação ao mesmo período em 2022. Ao todo, de janeiro a abril de 2023, foram contabilizadas 69,3 mil denúncias e 397 mil violações de direitos humanos envolvendo crianças e adolescentes. Dentre esses registros, 9,5 mil denúncias e 17,5 mil violações referem-se a violências sexuais físicas, como abuso, estupro e exploração sexual, incluindo também violências psicológicas. Destaca-se que a residência da vítima, do suspeito ou de familiares é apontada como um dos piores cenários, contabilizando quase 14 mil violações. Além disso, durante esse mesmo período, foram reportadas 763 denúncias e 1,4 mil violações sexuais ocorridas na internet.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crimes de violência contra mulheres, crianças e adolescentes tiveram um aumento em 2022 em comparação com o ano anterior. Houve um crescimento significativo nos casos de estupro, onde 88,7% das vítimas eram do sexo feminino, e o feminicídio também apresentou aumento de registros, com 1.437 casos no Brasil, representando um aumento de 6,1% em relação a 2021. Os homicídios de mulheres também tiveram um leve aumento de 1,2% de um ano para o outro, conforme o 17º Anuário Brasileiro de Segurança Pública do Fórum Brasileiro de Segurança Pública.</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dados do referido anuário revelaram um aumento generalizado nos crimes de violência contra crianças e adolescentes em 2022. Foram registrados mais de 102 mil casos de abandono, maus tratos, lesões corporais e crimes sexuais envolvendo menores de 18 anos. Os crimes sexuais, em particular, tiveram o maior aumento proporcional, com estupros aumentando em 15,3% e denúncias de exploração sexual crescendo em 16,4% em relação ao ano anterior.</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Além disso, os dados indicam uma redução na idade média das vítimas de crimes sexuais, com os pesquisadores destacando também a forte evidência de desigualdade racial. A maior parte dos crimes sexuais de estupro de vulnerável ocorre dentro da casa da vítima e é cometida por alguém conhecido da criança, representando 86% dos casos. Quanto às mortes violentas intencionais (MVI) de crianças e adolescentes em 2022, houve um total de 2.489 vítimas, sendo 80,7% homicídio doloso, 3% feminicídio, 0,8% latrocínio, 0,8% lesão corporal seguida de morte e 14,5% morte decorrente de intervenção policial.</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Panorama da Violência Letal e Sexual contra Crianças e Adolescentes no Brasil realizou uma análise dos boletins de ocorrência provenientes das 27 unidades da Federação. No período de 2017 a 2020, foi registrado um total de 179.277 casos de estupro ou estupro de vulnerável, envolvendo vítimas de até 19 anos. Dentre essas vítimas, 62 mil eram crianças com idade inferior a 10 anos, o que corresponde a um terço do número total de casos. A predominância de vítimas de violência sexual é composta por meninas, representando quase 80% dos casos. Nota-se que um número considerável de ocorrências envolve vítimas entre 10 e 14 anos de idade, sendo que a faixa etária mais recorrente é de 13 anos. Já para os meninos, o crime é mais comum na infância, especialmente entre os 3 e 9 anos de idade. A maioria dos casos de violência sexual, tanto para meninas quanto para meninos, acontece dentro da própria residência da vítima. Além disso, nas situações em que a autoria dos crimes foi informada, 86% dos autores eram conhecidos das vítimas.</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Relações patriarcais de gênero e reprodução social </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Nesta discussão, a categoria de gênero é associada à de patriarcado, partindo do entendimento de que as relações de submissão e dominação se dão associadas aos papéis de gênero. Essa relação patriarcal de gênero pressupõe que a dominação masculina se legitima em contraposição à inferiorização da mulher.</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patriarcado mantém e sustenta a dominação masculina, baseando-se em instituições como a família, as religiões, a escola e as leis. São ideologias que nos ensinam que as mulheres são naturalmente inferiores. Foi, por exemplo, por meio do patriarcado que se estabeleceu que o trabalho doméstico deve ser exercido por mulheres e que não deve ser remunerado, sequer reconhecido como trabalho. Trata-se de algo visto de modo tão natural e instintivo, que muitas e muitos de nós sequer nos damos conta. Portanto, ler e falar sobre o patriarcado é desnaturalizar nossa existência. É reparar que existe um sistema estrutural que ainda mantém a hierarquia da sociedade. (Lerner, 2019, p. 21)</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Conforme discute Lerner (2019, p. 47-48): “O fato de mulheres terem filhos ocorre em razão do sexo; o fato de mulheres cuidarem dos filhos ocorre em razão do gênero, uma construção social. É o gênero que vem sendo o principal responsável por determinar o lugar das mulheres na sociedade. Para Silvia Federici (2021), o trabalho doméstico é muito mais do que limpeza da casa:</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É servir à mão de obra assalariada em termos físicos, emocionais e sexuais, prepará-la para batalhar dia após dia por um salário. É cuidar de nossas crianças – futura mão de obra –, ajudá-las desde o nascimento e ao longo de seus anos escolares e garantir que elas também atuem de maneira que o capitalismo espera delas. Isso significa que por trás de cada fábrica, cada escola, cada escritório ou mina existe o trabalho oculto de milhões de mulheres, que consomem sua vida reproduzindo a vida de quem atua nessas fábricas, escolas, escritórios e minas. (Federici, 2021, p. 29)</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dos aspectos cruciais da opressão de gênero é a questão da reprodução social e responsabilidade pelo cuidado, fatores que impactam diretamente na inserção das mulheres no mercado de trabalho de forma precária e informal. As atividades domésticas e de cuidado são imprescindíveis à reprodução social, estas conformam a totalidade sistêmica do capitalismo (Grecco, 2018). No bojo da reprodução social, localiza-se o trabalho do cuidado, que é criado para auxiliar a atender às necessidades primárias dos sujeitos. Seu desenvolvimento se dá como resultado do processo de sociabilidade do ser social que precisa comer, dormir e morar (Passos, 2016). Marx e Engels (2007) afirmam que, para as pessoas produzirem seus meios de vida, dependem da constituição dos meios de vida que precisam reproduzir. Isso implica não só na reprodução física, mas também de determinado modo de vida.</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Teoria da Reprodução Social (TRS) compreende os processos de produção da vida e produção de bens e serviços como parte de um processo integrado. Isso quer dizer que, no âmbito da economia formal, se produz bens e serviços a partir da força de trabalho de seres humanos; já a reprodução dessas pessoas ocorre fora do âmbito da economia formal a um menor custo para o capital (Bhattacharya, 2017).</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Ancorada pela perspectiva marxiana, Passos (2016) afirma que a renovação da vida cotidiana tem início com a criação de outros seres e a fundação da família. Embasada pela concepção de Marx e Engels (2007, p. 34) “[...] a produção da vida, tanto da própria, no trabalho, quanto da alheia, na procriação, aparece desde já como uma relação dupla – de um lado, como relação natural, de outro como relação social”, a autora localiza a inserção do cuidado como resultado da coexistência das relações sociais e do trabalho.</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Partindo da concepção de Marx da produção e reprodução da força de trabalho como mercadoria que é vendida em troca de um salário. Para Grecco, em sua teoria unitária, não há separação entre “[...] a produção de mais-valia e as opressões de gênero e em que os trabalhos domésticos e de cuidados comporiam a totalidade sistêmica do capitalismo” (Grecco, 2018, p. 92).</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Cabe destacar que não é invenção do capitalismo a subordinação das mulheres, mas em seu cerne é que são desenvolvidos modelos modernos de sexismo apoiados nas estruturas sociais. A inovação trazida por esse modo de produção quanto à opressão das mulheres insere- se na separação da produção de pessoas da obtenção de lucro à medida que atribui às mulheres o primeiro trabalho e as subordina ao segundo trabalho (Arruzza; Bhattacharya; Fraser, 2019).</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Apenas com o advento do capitalismo esses dois aspectos da existência social foram dissociados. A produção foi transferida para fábricas, minas e escritórios, onde foi considerada “econômica” e remunerada com salários em dinheiro. A reprodução foi relegada como “cuidado” em oposição a “trabalho”, realizada por “amor” em oposição a dinheiro. Ou assim nos disseram. Na verdade, as sociedades capitalistas nunca situaram a reprodução exclusivamente nas residências particulares, sempre a localizaram em bairros, comunidades de base, instituições públicas e sociedade civil; e há muito tempo transformaram parte do trabalho reprodutivo em mercadoria – embora nem de longe tanto quanto hoje. (Arruzza; Bhattacharya; Fraser, 2019, p. 108-109)</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que tange a esse processo de produção de pessoas, trata-se não só da atividade em seu sentido biológico de criar e manter a vida de novos seres humanos, mas também de atividades capazes de criar e manter nossa capacidade de trabalhar (Arruzza; Bhattacharya; Fraser, 2019, p. 52). As referidas atividades são conceituadas por feministas marxistas como constitutivas da reprodução social, e compreendem o conjunto de atividades e relações pelas quais a vida e o trabalho se reconstituem todos os dias (Federici, 2018).</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Lerner “A família não apenas espelha a ordem do Estado e educa os filhos para que a sigam, mas também cria e sempre reforça essa ordem” (Lerner, 2019, p.266). Silvia Federici (2018) afirma que, dentre os pilares da produção capitalista, se encontram a família e o trabalho doméstico. Isso se deve ao fato de que a reprodução de seres humanos – força de trabalho disciplinada – é essencial para esse sistema de produção. A consolidação da família nuclear possui um importante papel na reprodução dos valores criados, pois a organização da sociedade capitalista prescinde da manutenção das desigualdades.</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organização da reprodução social no modo de produção capitalista funda-se na dimensão do gênero, necessitando da manutenção dos papéis de gênero e da opressão de gênero  (Arruzza; Bhattacharya; Fraser, 2019). Portanto, pode-se compreender que a subordinação da sexualidade feminina à reprodução reforça o binarismo de gênero e a heterossexualidade como natural e compulsória. Esse controle da sexualidade ocorre desde o âmbito familiar até por parte do Estado sob diversas formas (Federici, 2018).</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família exerce um importante papel de manutenção do domínio capitalista por meio da perpetuação da reprodução do seu sistema de valores. O trabalho de reprodução social é de fundamental importância para a manutenção capitalista e a perpetuação da família e seus valores de hierarquia e subordinação.</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Federici (2021) defende que mão de obra bem disciplinada é uma condição essencial para o desenvolvimento capitalista (p. 29). Lerner (2019), em sua tese acerca da criação do patriarcado, afirma que, com o desenvolvimento do Estado, a família monogâmica tornou-se a família patriarcal, e essa tornou-se a unidade básica de organização do patriarcado, por expressar e criar incessantemente suas regras e valores. Nesse sentido, o patriarcado mantém e sustenta a dominação masculina, baseando-se em instituições como família, religião, escola e leis (Lerner, 2019, p. 49, 261).</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âmbito doméstico se constituiu historicamente enquanto um espaço contraditório. Já que o capitalismo necessita dele para repor a força de trabalho e perpetuar as hierarquias de gênero e por outro lado, atua como um lugar de solidariedade, acumulação de recursos e reservas vitais, sendo fundamental para a sobrevivência da classe trabalhadora. Contudo, simultaneamente, as famílias proletárias frequentemente se tornaram espaços de opressão, </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especialmente com adultos exercendo poder sobre crianças e, principalmente, com homens exercendo controle sobre mulheres. (Mohandesi; Teitelman, 2023)</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importante enfatizar que as relações produtivas do sistema capitalista desempenham um papel fundamental na produção e reprodução das experiências das crianças e infâncias. Os requisitos sistêmicos de reprodução do capital estabelecem certos limites para as possibilidades dessa realidade. Embora existam variações históricas, geográficas e sociais nas diferentes sociedades capitalistas, as demandas fundamentais do capital por uma força de trabalho renovável exercem pressões significativas para a manifestação de formas específicas (privatizadas), práticas disciplinadoras e estados de consciência alienados. Essas forças, ao mesmo tempo, limitam a probabilidade do desenvolvimento de outras formas de infância. (Ferguson, 2023)</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fim, é essencial compreender que as escolas e as famílias não são meramente reprodutoras da força de trabalho, mas também desempenham um papel significativo na reprodução da vida. Sendo assim, tornam-se espaços de luta pelas determinações que prevalecerão no processo de formação do sujeito. (Ferguson, 2023)</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Considerações finais</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relação entre a desigualdade de gênero e a violência, que se reforçam mutuamente. A desigualdade de gênero e a discriminação são fatores de risco compartilhados pela violência contra mulheres e crianças, o que enfatiza a necessidade de abordagens abrangentes para prevenir e combater essas formas de violência. Elas também compartilham normas sociais que toleram a disciplina violenta, promovem noções prejudiciais de masculinidade baseadas na violência e no controle, priorizam a reputação da família, culpam as vítimas e perpetuam a desigualdade de gênero. Tanto a violência contra mulheres quanto contra crianças é apoiada por normas sociais que toleram a violência física como forma de "disciplinar". (Guedes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2016).</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Além disso, é importante considerar que a violência ocorre frequentemente no ambiente doméstico. Para enfrentar a violência intrafamiliar e evitar a transmissão intergeracional de violência, é necessário implementar intervenções eficazes e apoiar famílias em risco. Diante disso, políticas públicas devem ser integradas e coordenadas para lidar com ambas as formas de violência. Profissionais que auxiliam mulheres vítimas de abuso devem considerar a segurança e bem-estar das crianças e vice-versa.</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Ademais, é importante empoderar as meninas para tomar decisões autônomas, livres de coerção, sobre suas vidas sexuais, casamento e maternidade. Além disso, garantir acesso universal aos serviços e insumos de saúde sexual e reprodutiva, incluindo planejamento reprodutivo e educação, é uma medida relevante para combater a desigualdade de gênero e a violência. (ABRINQ, 2022)</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Referências bibliográficas</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ABRINQ.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Cenário da Infância e Adolescência no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2022. Disponível em:</w:t>
      </w:r>
      <w:hyperlink r:id="rId7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cenario-da-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7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infancia-e-adolescencia-no-brasil-2022_0.pdf (fadc.org.br)</w:t>
        </w:r>
      </w:hyperlink>
      <w:hyperlink r:id="rId7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Acesso em 30 de julho de 2023.</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ARRUZZA, Cinzia; BHATTACHARYA, Tithi; FRASER, Nancy.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Feminismo para os 99%</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manifesto. São Paulo: Boitempo, 2019.</w:t>
      </w:r>
      <w:r w:rsidDel="00000000" w:rsidR="00000000" w:rsidRPr="00000000">
        <w:rPr>
          <w:rtl w:val="0"/>
        </w:rPr>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BHATTACHARYA, Tithi (org.).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Social Reproduction Theory</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remapping class, recentering oppression. London: Pluto Press, 2017.</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Anuário Brasileiro de Segurança Pública. Fórum Brasileiro de Segurança Pública, 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Disponível em: </w:t>
      </w:r>
      <w:hyperlink r:id="rId7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forumseguranca.org.br/wp-content/uploads/2023/07/anuario-2023.pdf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30 de julho de 2023.</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Lei 12.318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26 de agosto de 2010. Alienação Parental. 2010. Disponível em: </w:t>
      </w:r>
      <w:hyperlink r:id="rId7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http://www.planalto.gov.br/ccivil_03/_ato2007-2010/2010/lei/l12318.htm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30 de julho de 2023</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CAMARGO, Everline. FERNANDES, Marcia. GOMIDE, Paula.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Analysis of the Psychometric   Properties of a Parental Alienation Scale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Paidéia. 2016, Vol. 26, No. 65, 291-298.</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CNJ, Conselho Nacional de Justiça; IPEA, Instituto de Pesquisa Econômica Aplicada.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Relatório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poder judiciário no enfrentamento à violência doméstica e familiar contra as mulheres. 2019. Disponível em: </w:t>
      </w:r>
      <w:hyperlink r:id="rId8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7b7cb6d9ac9042c8d3e40700b80bf207.pdf (cnj.jus.br)</w:t>
        </w:r>
      </w:hyperlink>
      <w:hyperlink r:id="rId8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Acesso em 30 de julho de 2023.</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FEDERICI, Silvia.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ponto zero da revolução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trabalho doméstico, reprodução e luta feminista. São Paulo: Elefante, 2018.</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FEDERICI, Silvia.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patriarcado do salário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Notas sobre Marx, gênero e feminismo. Vol.1. Tradução de Heci Regina Candiani. São Paulo: Boitempo, 2021.</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FERGUSON, Susan.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Crianças, infância e o capitalismo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perspectiva da reprodução social. In: BHATTACHARYA, Tithi. Teoria da reprodução social: Remapear a classe, recentralizar a opressão. Editora elefante, 2023. p. 181-208.</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FRY, Deborah A; ELLIOTT, Stuart. “Understanding the linkages between violence against women and violence against children.”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Lancet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Global health vol. 5,5, 2017.</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A; BOTT, S; GARCIA-MORENO, C; COLOMBINI, 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‘Bridging the gaps: A global review of intersections of violence against women and violence against 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Global Health Action, vol. 9, no. 31516, 2016.</w:t>
      </w: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A; BOTT,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Intersecciones entre violencia contra niñas y niños y violencia contra mujeres en América Latina y el Caribe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ONU Mujeres, OPS/OMS, UNFPA y UNICEF, 2019.</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Breaking the 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Understanding and addressing the intersections of violence against children and violence against women in Latin America and the Caribbean. 2013</w:t>
      </w:r>
      <w:r w:rsidDel="00000000" w:rsidR="00000000" w:rsidRPr="00000000">
        <w:rPr>
          <w:rtl w:val="0"/>
        </w:rPr>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A; BOTT, S; SUBRAHMANIAN, R; CHOWDHURY, S; RUMBLE, L; DABAN, 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Gender Dimensions of Violence Against Children and Adolescents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UNICEF. 2020</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GRECCO, Fabiana. Trabalhos domésticos e de cuidados sob a ótica da teoria da reprodução social. </w:t>
      </w:r>
      <w:hyperlink r:id="rId8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Mediações</w:t>
        </w:r>
      </w:hyperlink>
      <w:hyperlink r:id="rId8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Londrina, v. </w:t>
      </w:r>
      <w:hyperlink r:id="rId8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n. 3, p. 70-102, set./dez.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2018.</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LERNER, Gerda.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criação do patriarcado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história da opressão das mulheres pelos homens. Tradução Luiza Sellera. São Paulo: Cultrix, 2019.</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MARX, Karl; ENGELS, Friedrich</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Ideologia Alemã</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Boitempo, 2007.</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MOHANDESI, Salar; TEITELMAN, Emma. Sem Reservas. In: BHATTACHARYA, Tithi. Teoria da reprodução social: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Remapear a classe, recentralizar a opressão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Editora elefante, 2023. p. 71-118.</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PASSOS, Rachel Gouveia.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Trabalhadoras do care na saúde mental: contribuições marxianas para a profissionalização do cuidado feminino.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 256 f. Tese (Doutorado em Serviço Social) - Programa de Estudos Pós-Graduados em Serviço Social, Pontifícia Universidade Católica de São Paulo, São Paulo, 2016.</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ONU, Custódia, violência contra as mulheres e violência contra as crianças. 2023. Disponível em:</w:t>
      </w:r>
      <w:hyperlink r:id="rId8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https://onedrive.live.com/view.aspx?resid=4301065D05481E74!910&amp;authkey=!AHxAai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8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Y86W821A8</w:t>
        </w:r>
      </w:hyperlink>
      <w:hyperlink r:id="rId8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Acesso em 30 de julho de 2023.</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990600</wp:posOffset>
                </wp:positionH>
                <wp:positionV relativeFrom="paragraph">
                  <wp:posOffset>495300</wp:posOffset>
                </wp:positionV>
                <wp:extent cx="7620" cy="12700"/>
                <wp:effectExtent b="0" l="0" r="0" t="0"/>
                <wp:wrapNone/>
                <wp:docPr id="1391037024" name=""/>
                <a:graphic>
                  <a:graphicData uri="http://schemas.microsoft.com/office/word/2010/wordprocessingShape">
                    <wps:wsp>
                      <wps:cNvSpPr/>
                      <wps:cNvPr id="2" name="Shape 2"/>
                      <wps:spPr>
                        <a:xfrm>
                          <a:off x="5326950" y="3776190"/>
                          <a:ext cx="38100" cy="762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495300</wp:posOffset>
                </wp:positionV>
                <wp:extent cx="7620" cy="12700"/>
                <wp:effectExtent b="0" l="0" r="0" t="0"/>
                <wp:wrapNone/>
                <wp:docPr id="1391037024" name="image1.png"/>
                <a:graphic>
                  <a:graphicData uri="http://schemas.openxmlformats.org/drawingml/2006/picture">
                    <pic:pic>
                      <pic:nvPicPr>
                        <pic:cNvPr id="0" name="image1.png"/>
                        <pic:cNvPicPr preferRelativeResize="0"/>
                      </pic:nvPicPr>
                      <pic:blipFill>
                        <a:blip r:embed="rId88"/>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ONU. Declaração e Plataforma de Ação de Pequim 4ª Conferência Mundial sobre a Mulher –  Pequim (1995): “Ação para a Igualdade, o Desenvolvimento e a Paz”. Disponível em:</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http://www.onumulheres.org.br/wp-content/uploads/2015/03/declaracao_pequim1.pdf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30 de julho de 2023.</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ONU. Declaração da ONU sobre a Eliminação da Violência contra a Mulher.1993.</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ONU. Nota Técnica: A Inter-relação entre violência contra as mulheres e violência contra as crianças. 2020. Disponível em: </w:t>
      </w:r>
      <w:hyperlink r:id="rId9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Nota-tecnica-A-inter-relacao-entre-violencia-contra-a-mulher-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9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e-violencia-contra-as-criancas.pdf (unicef.org)</w:t>
        </w:r>
      </w:hyperlink>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Acesso em 30 de julho de 2023.</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PINHEIRO, P. S., United Nations Secretary-General’s Report on Violence Against Children. United Nations General Assembly, Geneva, 2006.</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SAFFIOTI, Heleieth.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poder do macho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Moderna, 1987.</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UNICEF Brasil e Fórum Brasileiro de Segurança Pública. O Panorama da Violência Letal e Sexual contra Crianças e Adolescentes no Brasil. 2021</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9">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OS DESAFIOS NO ACESSO DE MULHERES MIGRANTES FORÇADAS AOS SEUS DIREITOS NO RIO DE JANEIRO: UMA ANÁLISE INTERSECCIONAL</w:t>
      </w:r>
    </w:p>
    <w:p w:rsidR="00000000" w:rsidDel="00000000" w:rsidP="00000000" w:rsidRDefault="00000000" w:rsidRPr="00000000" w14:paraId="000005CA">
      <w:pPr>
        <w:shd w:fill="ffffff" w:val="clea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 Moulin Almeida Pereira</w:t>
      </w:r>
      <w:r w:rsidDel="00000000" w:rsidR="00000000" w:rsidRPr="00000000">
        <w:rPr>
          <w:rFonts w:ascii="Times New Roman" w:cs="Times New Roman" w:eastAsia="Times New Roman" w:hAnsi="Times New Roman"/>
          <w:sz w:val="24"/>
          <w:szCs w:val="24"/>
          <w:vertAlign w:val="superscript"/>
        </w:rPr>
        <w:footnoteReference w:customMarkFollows="0" w:id="65"/>
      </w:r>
      <w:r w:rsidDel="00000000" w:rsidR="00000000" w:rsidRPr="00000000">
        <w:rPr>
          <w:rtl w:val="0"/>
        </w:rPr>
      </w:r>
    </w:p>
    <w:p w:rsidR="00000000" w:rsidDel="00000000" w:rsidP="00000000" w:rsidRDefault="00000000" w:rsidRPr="00000000" w14:paraId="000005CB">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5CC">
      <w:pPr>
        <w:shd w:fill="ffffff" w:val="clea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CD">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analisar os fenômenos migratórios no Brasil contemporâneo, tornam-se evidentes diversos aspectos jurídicos e práticos que ressaltam as contradições e obstáculos enfrentados pelas populações migrantes em situação de vulnerabilidade. Para a realidade de mulheres não-brancas</w:t>
      </w:r>
      <w:r w:rsidDel="00000000" w:rsidR="00000000" w:rsidRPr="00000000">
        <w:rPr>
          <w:rFonts w:ascii="Times New Roman" w:cs="Times New Roman" w:eastAsia="Times New Roman" w:hAnsi="Times New Roman"/>
          <w:sz w:val="24"/>
          <w:szCs w:val="24"/>
          <w:vertAlign w:val="superscript"/>
        </w:rPr>
        <w:footnoteReference w:customMarkFollows="0" w:id="66"/>
      </w:r>
      <w:r w:rsidDel="00000000" w:rsidR="00000000" w:rsidRPr="00000000">
        <w:rPr>
          <w:rFonts w:ascii="Times New Roman" w:cs="Times New Roman" w:eastAsia="Times New Roman" w:hAnsi="Times New Roman"/>
          <w:sz w:val="24"/>
          <w:szCs w:val="24"/>
          <w:rtl w:val="0"/>
        </w:rPr>
        <w:t xml:space="preserve"> que migram involuntariamente, essas barreiras se acentuam. Nesse contexto, o objetivo das políticas públicas é, idealmente, acolher, incluir e integrar a população migrante na sociedade brasileira. No entanto, constata-se uma lacuna entre a legislação existente e o acesso efetivo a esses direitos por parte da população migrante.</w:t>
      </w:r>
    </w:p>
    <w:p w:rsidR="00000000" w:rsidDel="00000000" w:rsidP="00000000" w:rsidRDefault="00000000" w:rsidRPr="00000000" w14:paraId="000005CE">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população refugiada conta com uma proteção internacional desde a Convenção de Genebra de 1951, que instaurou o Estatuto do Refugiado. No Brasil, o estatuto foi ratificado através da promulgação da Lei 9.474/1997. Já a Lei de Migração (Lei nº 13.445/2017) alterou o paradigma em relação aos direitos sociais dos/as migrantes ao revogar o ultrapassado Estatuto do Estrangeiro (1981) e superar a doutrina de segurança nacional, residual dos tempos ditatoriais (Oliveira, 2017). Este novo marco jurídico tem como seus princípios o acesso igualitário e livre do/a migrante a direitos, serviços, programas e benefícios sociais e reforça a importância das políticas públicas. (Oliveira, 2017, p. 174) </w:t>
      </w:r>
    </w:p>
    <w:p w:rsidR="00000000" w:rsidDel="00000000" w:rsidP="00000000" w:rsidRDefault="00000000" w:rsidRPr="00000000" w14:paraId="000005CF">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não obstante o arcabouço normativo brasileiro, a incorporação de tratados internacionais de proteção de Direitos Humanos, o reconhecimento da importância da implementação de políticas públicas e o suporte constitucional para a efetivação factual dos direitos dos/as migrantes, o Poder Público se faz distante, até omisso (Milesi; Carleti, 2012, p.89). Assim, ao não cumprir seu papel, a responsabilidade</w:t>
      </w:r>
      <w:r w:rsidDel="00000000" w:rsidR="00000000" w:rsidRPr="00000000">
        <w:rPr>
          <w:rFonts w:ascii="Times New Roman" w:cs="Times New Roman" w:eastAsia="Times New Roman" w:hAnsi="Times New Roman"/>
          <w:sz w:val="24"/>
          <w:szCs w:val="24"/>
          <w:vertAlign w:val="superscript"/>
        </w:rPr>
        <w:footnoteReference w:customMarkFollows="0" w:id="67"/>
      </w:r>
      <w:r w:rsidDel="00000000" w:rsidR="00000000" w:rsidRPr="00000000">
        <w:rPr>
          <w:rFonts w:ascii="Times New Roman" w:cs="Times New Roman" w:eastAsia="Times New Roman" w:hAnsi="Times New Roman"/>
          <w:sz w:val="24"/>
          <w:szCs w:val="24"/>
          <w:rtl w:val="0"/>
        </w:rPr>
        <w:t xml:space="preserve"> da garantia de direitos e proteção é transferida para os organismos internacionais e as organizações da sociedade civil. (Milesi; Carleti, 2012, p. 90)</w:t>
      </w:r>
    </w:p>
    <w:p w:rsidR="00000000" w:rsidDel="00000000" w:rsidP="00000000" w:rsidRDefault="00000000" w:rsidRPr="00000000" w14:paraId="000005D0">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analisar os desafios enfrentados pelas mulheres migrantes no contexto da cidade do Rio de Janeiro, devemos levar em conta não somente o fator migratório em si, mas também como ele se entrelaça com outros aspectos de suas identidades. Através da análise interseccional, este artigo objetiva identificar como esses desafios se sobrepõe e como as experiências das mulheres migrantes são moldadas de maneira complexa e única. Compreender essas nuances é essencial para a formulação de políticas e ações que visem promover a inclusão e garantir os direitos dessas mulheres.</w:t>
      </w:r>
    </w:p>
    <w:p w:rsidR="00000000" w:rsidDel="00000000" w:rsidP="00000000" w:rsidRDefault="00000000" w:rsidRPr="00000000" w14:paraId="000005D1">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2">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Conceitualizando migrações forçadas – quem são essas mulheres?</w:t>
      </w:r>
    </w:p>
    <w:p w:rsidR="00000000" w:rsidDel="00000000" w:rsidP="00000000" w:rsidRDefault="00000000" w:rsidRPr="00000000" w14:paraId="000005D3">
      <w:pPr>
        <w:shd w:fill="ffffff" w:val="clea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4">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compreender os desafios enfrentados pelas mulheres migrantes, é fundamental definir claramente o grupo ao qual nos referimos. Primeiramente, é importante distinguir entre migração forçada</w:t>
      </w:r>
      <w:r w:rsidDel="00000000" w:rsidR="00000000" w:rsidRPr="00000000">
        <w:rPr>
          <w:rFonts w:ascii="Times New Roman" w:cs="Times New Roman" w:eastAsia="Times New Roman" w:hAnsi="Times New Roman"/>
          <w:sz w:val="24"/>
          <w:szCs w:val="24"/>
          <w:vertAlign w:val="superscript"/>
        </w:rPr>
        <w:footnoteReference w:customMarkFollows="0" w:id="68"/>
      </w:r>
      <w:r w:rsidDel="00000000" w:rsidR="00000000" w:rsidRPr="00000000">
        <w:rPr>
          <w:rFonts w:ascii="Times New Roman" w:cs="Times New Roman" w:eastAsia="Times New Roman" w:hAnsi="Times New Roman"/>
          <w:sz w:val="24"/>
          <w:szCs w:val="24"/>
          <w:rtl w:val="0"/>
        </w:rPr>
        <w:t xml:space="preserve"> e migração voluntária. Nesse contexto, Capelari (2021, p. 134) destaca a seguinte consideração:</w:t>
      </w:r>
    </w:p>
    <w:p w:rsidR="00000000" w:rsidDel="00000000" w:rsidP="00000000" w:rsidRDefault="00000000" w:rsidRPr="00000000" w14:paraId="000005D5">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Para a discussão aqui travada, interessa, principalmente, a dicotomia clássica de migração voluntária versus forçada. Sob a perspectiva tradicional, a primeira seria fortemente marcada por “fatores econômicos”, dispondo o migrante de liberdade de escolha, dado que se movimenta para melhorar suas condições de vida e as de sua família. Já a segunda seria marcada pela ausência de liberdade de escolha, tendo como paradigma a figura do refugiado que deixa tudo para trás, pois necessita salvaguardar, sobretudo, sua integridade física. [...], Todavia, transformações sociais complexas têm gerado formas mais complexas de expulsão e de perseguição ao redor do mundo (Zetter, 2007, p. 188).</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É justamente a partir da constatação de que há novas nuances a serem consideradas, não só sob a perspectiva puramente acadêmica mas na realidade dos  migrantes, que pesquisadores e aqueles que  lidam diretamente com a assistência às pessoas migrantes começaram a ressaltar a crescente dificuldade em estabelecer uma divisão nítida entre migrantes voluntários/as e forçados/as (Vullnetari, 2012, p. 4).</w:t>
      </w:r>
    </w:p>
    <w:p w:rsidR="00000000" w:rsidDel="00000000" w:rsidP="00000000" w:rsidRDefault="00000000" w:rsidRPr="00000000" w14:paraId="000005D8">
      <w:pPr>
        <w:spacing w:after="0" w:line="360" w:lineRule="auto"/>
        <w:ind w:left="22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9">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do contexto da cidade do Rio de Janeiro, é possível observar, em uma mesma comunidade de migrantes, uma variedade de </w:t>
      </w:r>
      <w:r w:rsidDel="00000000" w:rsidR="00000000" w:rsidRPr="00000000">
        <w:rPr>
          <w:rFonts w:ascii="Times New Roman" w:cs="Times New Roman" w:eastAsia="Times New Roman" w:hAnsi="Times New Roman"/>
          <w:i w:val="1"/>
          <w:sz w:val="24"/>
          <w:szCs w:val="24"/>
          <w:rtl w:val="0"/>
        </w:rPr>
        <w:t xml:space="preserve">status </w:t>
      </w:r>
      <w:r w:rsidDel="00000000" w:rsidR="00000000" w:rsidRPr="00000000">
        <w:rPr>
          <w:rFonts w:ascii="Times New Roman" w:cs="Times New Roman" w:eastAsia="Times New Roman" w:hAnsi="Times New Roman"/>
          <w:sz w:val="24"/>
          <w:szCs w:val="24"/>
          <w:rtl w:val="0"/>
        </w:rPr>
        <w:t xml:space="preserve">migratórios entre as mulheres presentes. Algumas podem se encontrar em situação migratória irregular, enquanto outras tiveram suas solicitações de refúgio deferidas, algumas possuem residência permanente e outras foram naturalizadas como brasileiras. Independentemente destas diferenças, essas mulheres compartilham experiências de vida semelhantes: partem de seus países de origem, passam por uma movimentação transnacional até chegarem ao Brasil e enfrentarem obstáculos que afetam seu cotidiano. </w:t>
      </w:r>
    </w:p>
    <w:p w:rsidR="00000000" w:rsidDel="00000000" w:rsidP="00000000" w:rsidRDefault="00000000" w:rsidRPr="00000000" w14:paraId="000005DA">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própria fragilidade da distinção entre os conceitos jurídicos de </w:t>
      </w:r>
      <w:r w:rsidDel="00000000" w:rsidR="00000000" w:rsidRPr="00000000">
        <w:rPr>
          <w:rFonts w:ascii="Times New Roman" w:cs="Times New Roman" w:eastAsia="Times New Roman" w:hAnsi="Times New Roman"/>
          <w:i w:val="1"/>
          <w:sz w:val="24"/>
          <w:szCs w:val="24"/>
          <w:rtl w:val="0"/>
        </w:rPr>
        <w:t xml:space="preserve">migrante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sz w:val="24"/>
          <w:szCs w:val="24"/>
          <w:rtl w:val="0"/>
        </w:rPr>
        <w:t xml:space="preserve">refugiado </w:t>
      </w:r>
      <w:r w:rsidDel="00000000" w:rsidR="00000000" w:rsidRPr="00000000">
        <w:rPr>
          <w:rFonts w:ascii="Times New Roman" w:cs="Times New Roman" w:eastAsia="Times New Roman" w:hAnsi="Times New Roman"/>
          <w:sz w:val="24"/>
          <w:szCs w:val="24"/>
          <w:rtl w:val="0"/>
        </w:rPr>
        <w:t xml:space="preserve">já estabelece uma disfunção entre essas duas categorias, que coordenam quais políticas públicas serão desenvolvidas para estes grupos. Sendo que, efetivamente, conjecturando migrantes hipossuficientes, ambos estão inseridos de forma homogeneizada em nossa sociedade. Ademais, ainda é possível identificar um descompasso entre as garantias e acesso: muitos migrantes</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forçados não conseguem tacitamente a proteção legal que o aparato normativo do direito internacional do refúgio confere. </w:t>
      </w:r>
    </w:p>
    <w:p w:rsidR="00000000" w:rsidDel="00000000" w:rsidP="00000000" w:rsidRDefault="00000000" w:rsidRPr="00000000" w14:paraId="000005D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é evidente a ausência da participação dos/as migrantes forçados/as no processo de elaboração, execução e avaliação dos programas e das políticas que a eles/as se destinam. Isto se deve, pois, esta população é entendida mais como um problema a ser solucionado do que como atores dotados de agência e capazes de influenciarem nas decisões que afetam diretamente suas vidas. (Moreira, 2014, p. 88)</w:t>
      </w:r>
    </w:p>
    <w:p w:rsidR="00000000" w:rsidDel="00000000" w:rsidP="00000000" w:rsidRDefault="00000000" w:rsidRPr="00000000" w14:paraId="000005DC">
      <w:pPr>
        <w:spacing w:after="0" w:line="360" w:lineRule="auto"/>
        <w:ind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DD">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interseccionalidade como ferramenta de análise</w:t>
      </w:r>
    </w:p>
    <w:p w:rsidR="00000000" w:rsidDel="00000000" w:rsidP="00000000" w:rsidRDefault="00000000" w:rsidRPr="00000000" w14:paraId="000005DE">
      <w:pPr>
        <w:shd w:fill="ffffff" w:val="clear"/>
        <w:spacing w:after="0"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DF">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a intrincada categorização desse grupo social de mulheres migrantes, torna-se imprescindível a aplicação de uma análise interseccional.</w:t>
      </w:r>
    </w:p>
    <w:p w:rsidR="00000000" w:rsidDel="00000000" w:rsidP="00000000" w:rsidRDefault="00000000" w:rsidRPr="00000000" w14:paraId="000005E0">
      <w:pPr>
        <w:shd w:fill="ffffff" w:val="clear"/>
        <w:spacing w:after="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Segundo a abordagem interseccional, quanto mais mecanismos de opressão estão presentes, mais difícil o acesso à máquina pública de garantia de direitos (CIDH, 2019, p. 147). Portanto, a condição da mulher que migra e se estabelece em um novo país de “acolhida” é marcada, para além de sua nacionalidade e/ou país de origem, por/pelas questões interseccionáveis referentes a gênero, raça e classe. É, em vista disso, um processo suscetível a mais obstáculos, discriminações e violências </w:t>
      </w:r>
      <w:r w:rsidDel="00000000" w:rsidR="00000000" w:rsidRPr="00000000">
        <w:rPr>
          <w:rFonts w:ascii="Times New Roman" w:cs="Times New Roman" w:eastAsia="Times New Roman" w:hAnsi="Times New Roman"/>
          <w:color w:val="202124"/>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sejam elas culturais, sociais, institucionais, psicológicas, físicas e sexuais. Ao considerar que tais mulheres, por se contemplarem em tantas categorias de vulnerabilidade, poderiam contar com uma miríade de políticas endereçadas a elas, o que se observa no material, efetivamente, é substancialmente o oposto.</w:t>
      </w:r>
      <w:r w:rsidDel="00000000" w:rsidR="00000000" w:rsidRPr="00000000">
        <w:rPr>
          <w:rtl w:val="0"/>
        </w:rPr>
      </w:r>
    </w:p>
    <w:p w:rsidR="00000000" w:rsidDel="00000000" w:rsidP="00000000" w:rsidRDefault="00000000" w:rsidRPr="00000000" w14:paraId="000005E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as contribuições acerca da ferramenta de interseccionalidade, termo cunhado pela jurista e teórica Kimberlé Crenshaw, serão especialmente utilizadas nesta pesquisa. Crenshaw aponta que utilizar gênero e raça como categorias unitárias de subordinação culmina no apagamento de mulheres negras. Ademais, outros eixos de </w:t>
      </w:r>
      <w:r w:rsidDel="00000000" w:rsidR="00000000" w:rsidRPr="00000000">
        <w:rPr>
          <w:rFonts w:ascii="Times New Roman" w:cs="Times New Roman" w:eastAsia="Times New Roman" w:hAnsi="Times New Roman"/>
          <w:i w:val="1"/>
          <w:sz w:val="24"/>
          <w:szCs w:val="24"/>
          <w:rtl w:val="0"/>
        </w:rPr>
        <w:t xml:space="preserve">sistemas de discriminação, </w:t>
      </w:r>
      <w:r w:rsidDel="00000000" w:rsidR="00000000" w:rsidRPr="00000000">
        <w:rPr>
          <w:rFonts w:ascii="Times New Roman" w:cs="Times New Roman" w:eastAsia="Times New Roman" w:hAnsi="Times New Roman"/>
          <w:sz w:val="24"/>
          <w:szCs w:val="24"/>
          <w:rtl w:val="0"/>
        </w:rPr>
        <w:t xml:space="preserve">– como etnia, nacionalidade, religião, sexualidade, deficiência etc. – não são mutuamente distintos ou excludentes: com efeito, sobrepõem-se e em intersecções complexas e reproduzem desigualdades que se reposicionam de modo dinâmico e relativo dentre os grupos analisados. (Crenshaw, 1989; 2002; 2004)</w:t>
      </w:r>
    </w:p>
    <w:p w:rsidR="00000000" w:rsidDel="00000000" w:rsidP="00000000" w:rsidRDefault="00000000" w:rsidRPr="00000000" w14:paraId="000005E2">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3">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Os desafios</w:t>
      </w:r>
    </w:p>
    <w:p w:rsidR="00000000" w:rsidDel="00000000" w:rsidP="00000000" w:rsidRDefault="00000000" w:rsidRPr="00000000" w14:paraId="000005E4">
      <w:pPr>
        <w:shd w:fill="ffffff" w:val="clear"/>
        <w:spacing w:after="0"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E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2015, o Ministério da Justiça, por meio de sua Secretaria de Assuntos Legislativos, conduziu uma pesquisa intitulada “Migrantes, Apátridas e Refugiados: subsídios para o aperfeiçoamento de acesso a serviços, direitos e políticas públicas no Brasil”, em parceria com o Instituto de Pesquisa Econômica Aplicada (IPEA). Dentre os resultados obtidos na pesquisa, destaca-se a identificação dos principais obstáculos que impedem o acesso a direitos e serviços públicos pelos imigrantes no Brasil, incluindo solicitantes de refúgio e refugiados/as. Nesse contexto, fatores como a barreira linguística (19,81%), problemas relacionados à documentação (16,98%), falta de informação (11,32%), questões financeiras (11,32%), discriminação (10,34%), burocracia (1,88%) e diferenças culturais (0,94%) são observados como contribuintes significativos para essa dificuldade.</w:t>
      </w:r>
    </w:p>
    <w:p w:rsidR="00000000" w:rsidDel="00000000" w:rsidP="00000000" w:rsidRDefault="00000000" w:rsidRPr="00000000" w14:paraId="000005E6">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7">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8">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9">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A">
      <w:pPr>
        <w:shd w:fill="ffffff" w:val="clea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Acesso à justiça</w:t>
      </w:r>
    </w:p>
    <w:p w:rsidR="00000000" w:rsidDel="00000000" w:rsidP="00000000" w:rsidRDefault="00000000" w:rsidRPr="00000000" w14:paraId="000005EB">
      <w:pPr>
        <w:shd w:fill="ffffff" w:val="clea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EC">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Primeiramente, abordaremos o desafio enfrentado por mulheres migrantes no que tange ao acesso à justiça. O acesso à justiça é o meio para alcançar e garantir outros direitos, independentemente de estarem ou não estabelecidos em um sistema jurídico específico. Além de listar os direitos, ele desempenha um papel fundamental na criação de mecanismos que assegurem que esses direitos sejam garantidos a todas as pessoas que deles necessitam. Dessa forma, o acesso à justiça é considerado um requisito fundamental em um sistema jurídico, fornecendo a base para a proteção e promoção dos direitos das mulheres migrantes. (Cappeletti, 1988, p.10)</w:t>
      </w:r>
    </w:p>
    <w:p w:rsidR="00000000" w:rsidDel="00000000" w:rsidP="00000000" w:rsidRDefault="00000000" w:rsidRPr="00000000" w14:paraId="000005ED">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Brasil, o direito de acesso à justiça é considerado um dos preceitos fundamentais para a efetiva garantia dos demais direitos, positivados tanto pela Constituição Federal quanto pelas diversas legislações que compõem o ordenamento jurídico brasileiro. Como forma de garantir o acesso à justiça, de maneira a possibilitar a demanda de direitos perante o Poder Judiciário, a migrante que necessitar de assistência jurídica poderá ser assistida pela Defensoria Pública União, quando comprovar a situação de hipossuficiência e a sua pretensão for de competência desta instituição. (Santos; Simini, 2022)</w:t>
      </w:r>
    </w:p>
    <w:p w:rsidR="00000000" w:rsidDel="00000000" w:rsidP="00000000" w:rsidRDefault="00000000" w:rsidRPr="00000000" w14:paraId="000005EE">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é necessário considerar os desafios enfrentados pelas mulheres migrantes, especialmente aquelas que são racializadas, no acesso à justiça. Como previsto anteriormente através do estudo supracitado, a falta de informação, a ausência de documentação e barreiras linguísticas minam suas possibilidades de serem contempladas em seus direitos de forma completa. </w:t>
      </w:r>
    </w:p>
    <w:p w:rsidR="00000000" w:rsidDel="00000000" w:rsidP="00000000" w:rsidRDefault="00000000" w:rsidRPr="00000000" w14:paraId="000005EF">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Ademais, ao abordarmos a questão do acesso à justiça para mulheres migrantes, frequentemente nos concentramos exclusivamente nas questões relacionadas à regularização migratória, que são as primeiras a serem lembradas quando se trata de assuntos relacionados a migrantes e refugiadas. No entanto, é crucial também considerar os desafios específicos enfrentados por mulheres, incluindo as dificuldades no acesso à justiça em casos de discriminação e violência de gênero e raça. É importante observar que, em situações que não se adequam à jurisdição da Defensoria Pública, mulheres migrantes, sobretudo as hipossuficientes, frequentemente enfrentam demora e obstáculos no acesso ao sistema de justiça.</w:t>
      </w:r>
    </w:p>
    <w:p w:rsidR="00000000" w:rsidDel="00000000" w:rsidP="00000000" w:rsidRDefault="00000000" w:rsidRPr="00000000" w14:paraId="000005F0">
      <w:pPr>
        <w:shd w:fill="ffffff" w:val="clea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F1">
      <w:pPr>
        <w:shd w:fill="ffffff" w:val="clea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Acesso a direitos </w:t>
      </w:r>
    </w:p>
    <w:p w:rsidR="00000000" w:rsidDel="00000000" w:rsidP="00000000" w:rsidRDefault="00000000" w:rsidRPr="00000000" w14:paraId="000005F2">
      <w:pPr>
        <w:shd w:fill="ffffff" w:val="clea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F3">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aspecto crucial nos desafios por parte de mulheres migrantes é o acesso aos seus direitos e serviços básicos, como saúde, educação, assistência social, moradia, mobilidade, alimentação. No âmbito do direito à saúde, o princípio da universalidade do Sistema Único de Saúde (SUS), consagrado tanto na Constituição quanto na Lei Orgânica do SUS, estabelece o acesso garantido a todas as pessoas a todas as ações e serviços de saúde.</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tl w:val="0"/>
        </w:rPr>
      </w:r>
    </w:p>
    <w:p w:rsidR="00000000" w:rsidDel="00000000" w:rsidP="00000000" w:rsidRDefault="00000000" w:rsidRPr="00000000" w14:paraId="000005F4">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Lei de Migração reforça essa condição ao assegurar aos migrantes o acesso em igualdade de condições com os nacionais aos serviços públicos no Art. 2, Seção II, VIII - “</w:t>
      </w:r>
      <w:r w:rsidDel="00000000" w:rsidR="00000000" w:rsidRPr="00000000">
        <w:rPr>
          <w:rFonts w:ascii="Times New Roman" w:cs="Times New Roman" w:eastAsia="Times New Roman" w:hAnsi="Times New Roman"/>
          <w:i w:val="1"/>
          <w:sz w:val="24"/>
          <w:szCs w:val="24"/>
          <w:rtl w:val="0"/>
        </w:rPr>
        <w:t xml:space="preserve">acesso a serviços públicos de saúde e de assistência social e à previdência social, nos termos da lei, sem discriminação em razão da nacionalidade e da condição migratória</w:t>
      </w:r>
      <w:r w:rsidDel="00000000" w:rsidR="00000000" w:rsidRPr="00000000">
        <w:rPr>
          <w:rFonts w:ascii="Times New Roman" w:cs="Times New Roman" w:eastAsia="Times New Roman" w:hAnsi="Times New Roman"/>
          <w:sz w:val="24"/>
          <w:szCs w:val="24"/>
          <w:rtl w:val="0"/>
        </w:rPr>
        <w:t xml:space="preserve">”; Portanto, qualquer pessoa, independentemente de sua situação migratória estar regularizada, tem o direito de acessar o sistema de saúde de forma universal no Brasil. </w:t>
      </w:r>
    </w:p>
    <w:p w:rsidR="00000000" w:rsidDel="00000000" w:rsidP="00000000" w:rsidRDefault="00000000" w:rsidRPr="00000000" w14:paraId="000005F5">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Todavia, apesar da ausência de barreiras legais para o acesso das migrantes aos serviços de saúde, essa população pode enfrentar desafios materiais e simbólicos, como o medo de denúncia por falta de documentação, diferença de idioma e dificuldade de comunicação, falta de recursos para se deslocar até o serviço de saúde, temor de sofrer discriminação e desconhecimento sobre o funcionamento dos serviços de saúde no Brasil. </w:t>
      </w:r>
    </w:p>
    <w:p w:rsidR="00000000" w:rsidDel="00000000" w:rsidP="00000000" w:rsidRDefault="00000000" w:rsidRPr="00000000" w14:paraId="000005F6">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sistemas de saúde também podem impor obstáculos, como a exigência de documentos de difícil obtenção, carência de serviços sensíveis às necessidades dos migrantes, dificuldades de comunicação devido à diversidade linguística e falta de conhecimento por parte dos profissionais de saúde sobre os direitos dos migrantes e a ausência de atendimento intercultural.</w:t>
      </w:r>
    </w:p>
    <w:p w:rsidR="00000000" w:rsidDel="00000000" w:rsidP="00000000" w:rsidRDefault="00000000" w:rsidRPr="00000000" w14:paraId="000005F7">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âmbito da educação, o direito à educação básica, destinado a crianças e adolescentes dos 4 aos 17 anos, é garantido de forma universal pela Constituição, abrangendo também os migrantes dessa faixa etária. É responsabilidade do Estado e das famílias assegurar esse direito em condições de igualdade, garantindo o acesso e a permanência na escola, sem qualquer forma de discriminação. A Lei de Migração reforça esse direito ao garantir a todas as pessoas migrantes em território nacional o acesso à educação pública, vedando qualquer tipo de discriminação baseada na nacionalidade ou condição migratória.</w:t>
      </w:r>
    </w:p>
    <w:p w:rsidR="00000000" w:rsidDel="00000000" w:rsidP="00000000" w:rsidRDefault="00000000" w:rsidRPr="00000000" w14:paraId="000005F8">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Contudo, é importante ressaltar que existem desafios práticos, como a recusa de escolas e creches em matricular crianças indocumentadas ou com documentação de migrantes, bem como a falta de histórico escolar. Essa exclusão da criança migrante do ambiente escolar também impacta negativamente a sua integração social e a de sua família na comunidade.</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Para as mulheres migrantes, acabam assumindo integralmente a responsabilidade pelas crianças não-escolarizadas, o que as impede de se integrarem plenamente na sociedade e de inserirem-se no mercado de trabalho.</w:t>
      </w:r>
    </w:p>
    <w:p w:rsidR="00000000" w:rsidDel="00000000" w:rsidP="00000000" w:rsidRDefault="00000000" w:rsidRPr="00000000" w14:paraId="000005F9">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se refere à assistência social, as mulheres migrantes têm direito de se inscrever no Cadastro Único para Programas Sociais do Governo Federal (Cadastro Único) e, assim, acessar benefícios e prestações assistenciais. Contudo, essa informação não é amplamente conhecida pelos migrantes. Em relação à moradia e subsistência, é importante destacar que na cidade do Rio de Janeiro há uma carência de alojamentos disponíveis para essa população. O único centro de acolhimento existente na cidade é o Centro de Referência e Atendimento para Imigrantes (Crai-RIO), que foi inaugurado em janeiro deste ano, mas seu alojamento encontra-se temporariamente fechado para reestruturação.</w:t>
      </w:r>
      <w:r w:rsidDel="00000000" w:rsidR="00000000" w:rsidRPr="00000000">
        <w:rPr>
          <w:rFonts w:ascii="Times New Roman" w:cs="Times New Roman" w:eastAsia="Times New Roman" w:hAnsi="Times New Roman"/>
          <w:sz w:val="24"/>
          <w:szCs w:val="24"/>
          <w:vertAlign w:val="superscript"/>
        </w:rPr>
        <w:footnoteReference w:customMarkFollows="0" w:id="72"/>
      </w:r>
      <w:r w:rsidDel="00000000" w:rsidR="00000000" w:rsidRPr="00000000">
        <w:rPr>
          <w:rFonts w:ascii="Times New Roman" w:cs="Times New Roman" w:eastAsia="Times New Roman" w:hAnsi="Times New Roman"/>
          <w:sz w:val="24"/>
          <w:szCs w:val="24"/>
          <w:rtl w:val="0"/>
        </w:rPr>
        <w:t xml:space="preserve"> Ressalta-se o papel que mulheres migrantes desempenham em suas famílias e a responsabilização pela subsistência de seus familiares. As dimensões de gênero e raça complexificam as barreiras culturais, linguísticas e materiais para o pleno acesso a serviços e direitos.</w:t>
      </w:r>
    </w:p>
    <w:p w:rsidR="00000000" w:rsidDel="00000000" w:rsidP="00000000" w:rsidRDefault="00000000" w:rsidRPr="00000000" w14:paraId="000005FA">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B">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Inserção laboral</w:t>
      </w:r>
    </w:p>
    <w:p w:rsidR="00000000" w:rsidDel="00000000" w:rsidP="00000000" w:rsidRDefault="00000000" w:rsidRPr="00000000" w14:paraId="000005FC">
      <w:pPr>
        <w:shd w:fill="ffffff" w:val="clea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D">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inserção laboral para mulheres migrantes é um dos maiores desafios apontados por este grupo. A falta de informação acerca de seus direitos trabalhistas assegurados pela Lei de Migração gera instabilidade e insegurança laboral, além de estarem suscetíveis a abusos e exploração trabalhistas.</w:t>
      </w:r>
    </w:p>
    <w:p w:rsidR="00000000" w:rsidDel="00000000" w:rsidP="00000000" w:rsidRDefault="00000000" w:rsidRPr="00000000" w14:paraId="000005FE">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notável a expressão de mulheres migrantes em pequenos negócios como artesanato, trancistas e costureiras. Essas iniciativas empreendedoras são uma forma de expressar habilidades e culturas específicas, ao mesmo tempo em que oferecem oportunidades de sustento e autonomia. No entanto, muitos desses empreendimentos operam na informalidade, enfrentando desafios para sua formalização, estabilidade e segurança laboral. (Fernandes; Ramos, 2021 p. 747)</w:t>
      </w:r>
    </w:p>
    <w:p w:rsidR="00000000" w:rsidDel="00000000" w:rsidP="00000000" w:rsidRDefault="00000000" w:rsidRPr="00000000" w14:paraId="000005FF">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uma pesquisa realizada por Tonhati (2022), devido a pandemia de Covid-19, no mercado formal, as mulheres migrantes proporcionalmente perderam mais postos de trabalho que os homens migrantes. Houve uma diminuição de 18% na presença de mulheres migrantes no mercado de trabalho brasileiro formal em 2020 em comparação com 2019, apesar do saldo positivo de contratações. </w:t>
      </w:r>
    </w:p>
    <w:p w:rsidR="00000000" w:rsidDel="00000000" w:rsidP="00000000" w:rsidRDefault="00000000" w:rsidRPr="00000000" w14:paraId="00000600">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a análise de Silva Federici (2019) sobre a divisão internacional do trabalho, a exploração da mão de obra feminina e a reestruturação mundial do trabalho reprodutivo nos ajuda a compreender os desafios enfrentados pelas mulheres migrantes em sua inserção laboral e os obstáculos que enfrentam no mercado de trabalho. Para compreender as dinâmicas de trabalho feminino e reprodução social no contexto da globalização econômica. A globalização trouxe consigo uma crise na reprodução social em regiões como a África, Ásia e América Latina, e essa crise é evidenciada pela exploração da mão de obra feminina nesses locais, visando assegurar a reprodução da força de trabalho nas “metrópoles”. Isso implica na “integração” de todas as mulheres à economia mundial, assumindo uma dupla função produtiva: a produção de trabalhadores para economias locais e países industrializados, bem como a produção de mercadorias baratas destinadas à exportação.</w:t>
      </w:r>
    </w:p>
    <w:p w:rsidR="00000000" w:rsidDel="00000000" w:rsidP="00000000" w:rsidRDefault="00000000" w:rsidRPr="00000000" w14:paraId="00000601">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2">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 papel das políticas públicas</w:t>
      </w:r>
    </w:p>
    <w:p w:rsidR="00000000" w:rsidDel="00000000" w:rsidP="00000000" w:rsidRDefault="00000000" w:rsidRPr="00000000" w14:paraId="00000603">
      <w:pPr>
        <w:shd w:fill="ffffff" w:val="clear"/>
        <w:spacing w:after="0" w:line="36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04">
      <w:pPr>
        <w:shd w:fill="ffffff" w:val="clear"/>
        <w:spacing w:after="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Conforme destacado anteriormente, o ordenamento jurídico brasileiro abarca diversos direitos para as pessoas migrantes. No entanto, ao aprofundarmos a análise dos desafios enfrentados pelas mulheres migrantes, percebemos que elas enfrentam dificuldades significativas em acessar plenamente seus direitos, devido aos obstáculos e desafios complexos que se apresentam, considerando também a interseccionalidade de suas identidades.</w:t>
      </w:r>
      <w:r w:rsidDel="00000000" w:rsidR="00000000" w:rsidRPr="00000000">
        <w:rPr>
          <w:rtl w:val="0"/>
        </w:rPr>
      </w:r>
    </w:p>
    <w:p w:rsidR="00000000" w:rsidDel="00000000" w:rsidP="00000000" w:rsidRDefault="00000000" w:rsidRPr="00000000" w14:paraId="00000605">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as políticas públicas devem ser articuladas através da cooperação dos entes federativos que as executam, de modo garantir que as ações implementadas se deem de forma igualitária em todo território brasileiro. Desta forma, o federalismo cooperativo (Macedo, 2018) se mostra como um meio idôneo para a formulação de políticas integradas, a fim de garantir sua efetividade e eficácia.</w:t>
      </w:r>
    </w:p>
    <w:p w:rsidR="00000000" w:rsidDel="00000000" w:rsidP="00000000" w:rsidRDefault="00000000" w:rsidRPr="00000000" w14:paraId="00000606">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política pública é uma das principais fontes de atuação do Estado, pois se configura como um instrumento de transformação da sociedade, de garantia dos Direitos Humanos e do bem estar social. Deve ser confeccionada planejando os efeitos a curto, médio e longo prazo, deve garantir a participação da população impactada, e deve obedecer a um sistema de elaboração, implementação, efetivação, monitoramento, avaliação e novos desdobramentos, seja para conclusão da política, continuidade ou sua reformulação. (CIDH, 2018)</w:t>
      </w:r>
    </w:p>
    <w:p w:rsidR="00000000" w:rsidDel="00000000" w:rsidP="00000000" w:rsidRDefault="00000000" w:rsidRPr="00000000" w14:paraId="00000607">
      <w:pPr>
        <w:shd w:fill="ffffff" w:val="clear"/>
        <w:spacing w:after="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No contexto de políticas para migrantes em âmbito estadual e municipal, as políticas ganham um caráter mais integrativo, pois é nestes âmbitos que o/a migrante poderá se registrar e regularizar, além de acessar seus direito à saúde, assistência social, educação, trabalho, previdência social, moradia, subsistência, cultura e lazer. (Souza, 2020, p. 46)</w:t>
      </w:r>
      <w:r w:rsidDel="00000000" w:rsidR="00000000" w:rsidRPr="00000000">
        <w:rPr>
          <w:rtl w:val="0"/>
        </w:rPr>
      </w:r>
    </w:p>
    <w:p w:rsidR="00000000" w:rsidDel="00000000" w:rsidP="00000000" w:rsidRDefault="00000000" w:rsidRPr="00000000" w14:paraId="00000608">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Rio de Janeiro apenas criou uma política municipal em 2022. A Lei nº 7.730, sancionada em de 20 de dezembro de 2022, estabelece princípios e diretrizes para a Política Municipal de Proteção dos Direitos da População Migrante e Refugiada na cidade do Rio de Janeiro. A legislação define os termos “migrantes” e “refugiados” conforme a legislação federal e busca promover uma série de princípios, como acolhida humanitária, igualdade de direitos, combate à xenofobia e ao preconceito, e garantia de direitos sociais e trabalhistas para esse grupo.</w:t>
      </w:r>
      <w:r w:rsidDel="00000000" w:rsidR="00000000" w:rsidRPr="00000000">
        <w:rPr>
          <w:rFonts w:ascii="Times New Roman" w:cs="Times New Roman" w:eastAsia="Times New Roman" w:hAnsi="Times New Roman"/>
          <w:sz w:val="24"/>
          <w:szCs w:val="24"/>
          <w:vertAlign w:val="superscript"/>
        </w:rPr>
        <w:footnoteReference w:customMarkFollows="0" w:id="73"/>
      </w:r>
      <w:r w:rsidDel="00000000" w:rsidR="00000000" w:rsidRPr="00000000">
        <w:rPr>
          <w:rtl w:val="0"/>
        </w:rPr>
      </w:r>
    </w:p>
    <w:p w:rsidR="00000000" w:rsidDel="00000000" w:rsidP="00000000" w:rsidRDefault="00000000" w:rsidRPr="00000000" w14:paraId="00000609">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 prevê que a Política Municipal será elaborada de acordo com os princípios e diretrizes estabelecidos e buscará atender seus objetivos, como garantir o acesso a direitos fundamentais e sociais, prevenir e impedir violações de direitos, promover a interculturalidade e garantir o direito ao trabalho decente. Além disso, a legislação também prevê a coleta e consolidação de informações sobre a população migrante e refugiada, respeitando sua privacidade e proteção dos dados pessoais.</w:t>
      </w:r>
    </w:p>
    <w:p w:rsidR="00000000" w:rsidDel="00000000" w:rsidP="00000000" w:rsidRDefault="00000000" w:rsidRPr="00000000" w14:paraId="0000060A">
      <w:pPr>
        <w:pBdr>
          <w:top w:space="0" w:sz="0" w:val="nil"/>
          <w:left w:space="0" w:sz="0" w:val="nil"/>
          <w:bottom w:space="0" w:sz="0" w:val="nil"/>
          <w:right w:space="0" w:sz="0" w:val="nil"/>
          <w:between w:space="0" w:sz="0" w:val="nil"/>
        </w:pBd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viabilizar a implementação dessa política, foi estabelecido o CRAI-Rio, mencionado anteriormente. Este centro público presta serviços de assistência social, orientação jurídica à população migrante, bem como oferece aulas de português e programas de capacitação. No entanto, é importante notar que, atualmente, o serviço de alojamento, que constituía uma das principais iniciativas do centro, encontra-se desativado.</w:t>
      </w:r>
    </w:p>
    <w:p w:rsidR="00000000" w:rsidDel="00000000" w:rsidP="00000000" w:rsidRDefault="00000000" w:rsidRPr="00000000" w14:paraId="0000060B">
      <w:pPr>
        <w:shd w:fill="ffffff" w:val="clea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0C">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Considerações finais </w:t>
      </w:r>
    </w:p>
    <w:p w:rsidR="00000000" w:rsidDel="00000000" w:rsidP="00000000" w:rsidRDefault="00000000" w:rsidRPr="00000000" w14:paraId="0000060D">
      <w:pPr>
        <w:shd w:fill="ffffff" w:val="clear"/>
        <w:spacing w:after="0"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0E">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conclusão, este artigo buscou destacar os desafios enfrentados pelas mulheres migrantes no contexto da cidade do Rio de Janeiro, ressaltando a importância de considerar não apenas o fator migratório em si, mas também como ele se interliga com outros aspectos de suas identidades. Através da análise interseccional, o objetivo deste artigo é identificar como esses desafios se entrelaçam e como as experiências das mulheres migrantes são moldadas de maneira complexa e única. Compreender essas nuances é essencial para a formulação de políticas e ações que visem promover a inclusão e garantir os direitos dessas mulheres.</w:t>
      </w:r>
    </w:p>
    <w:p w:rsidR="00000000" w:rsidDel="00000000" w:rsidP="00000000" w:rsidRDefault="00000000" w:rsidRPr="00000000" w14:paraId="0000060F">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evidente que as mulheres migrantes, especialmente as que se encontram em situação de vulnerabilidade, enfrentam múltiplas barreiras ao acessar a justiça, direitos, oportunidades de trabalho e integração social. Esses desafios são frequentemente agravados por fatores como raça, classe e gênero, que se intersectam para criar obstáculos distintos e variados para cada indivíduo. Dessa forma, qualquer política destinada a promover o bem-estar e a proteção das mulheres migrantes deve estar atenta a essas complexidades, levando em conta as realidades diversas que elas enfrentam.</w:t>
      </w:r>
    </w:p>
    <w:p w:rsidR="00000000" w:rsidDel="00000000" w:rsidP="00000000" w:rsidRDefault="00000000" w:rsidRPr="00000000" w14:paraId="00000610">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garantir o sucesso de tais políticas, é imprescindível envolver as próprias mulheres migrantes no processo de tomada de decisão. Sua participação ativa e contribuição são fundamentais para compreender suas necessidades, aspirações e as formas mais efetivas de enfrentar os desafios específicos que enfrentam. Ao engajar as mulheres migrantes como partes interessadas na formulação, implementação e avaliação das políticas, os formuladores de políticas podem assegurar que as políticas desenvolvidas reflitam verdadeiramente seus interesses e preocupações.</w:t>
      </w:r>
    </w:p>
    <w:p w:rsidR="00000000" w:rsidDel="00000000" w:rsidP="00000000" w:rsidRDefault="00000000" w:rsidRPr="00000000" w14:paraId="00000611">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as políticas públicas devem ir além do simples reconhecimento das vulnerabilidades enfrentadas pelas mulheres migrantes. Elas precisam trabalhar ativamente para desmantelar barreiras sistêmicas, combater a discriminação e promover o acesso igualitário a oportunidades e recursos. Isso requer uma abordagem abrangente que aborda tanto as necessidades imediatas das mulheres migrantes quanto as desigualdades estruturais que perpetuam sua marginalização.</w:t>
      </w:r>
    </w:p>
    <w:p w:rsidR="00000000" w:rsidDel="00000000" w:rsidP="00000000" w:rsidRDefault="00000000" w:rsidRPr="00000000" w14:paraId="00000612">
      <w:pPr>
        <w:shd w:fill="ffffff" w:val="clea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Promover uma sociedade inclusiva e equitativa na qual as mulheres migrantes possam prosperar exige uma compreensão holística de suas diversas identidades e experiências. Ao reconhecer as complexidades de suas situações e envolvê-las ativamente no processo de formulação de políticas, podemos desenvolver políticas que empoderem, protejam e promovam os direitos e o bem-estar das mulheres migrantes no Rio de Janeiro e no Brasil.</w:t>
      </w:r>
    </w:p>
    <w:p w:rsidR="00000000" w:rsidDel="00000000" w:rsidP="00000000" w:rsidRDefault="00000000" w:rsidRPr="00000000" w14:paraId="00000613">
      <w:pPr>
        <w:shd w:fill="ffffff" w:val="clea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14">
      <w:pPr>
        <w:shd w:fill="ffffff" w:val="clea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615">
      <w:pPr>
        <w:shd w:fill="ffffff" w:val="clea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AKOTIRENE, Carla. </w:t>
      </w:r>
      <w:r w:rsidDel="00000000" w:rsidR="00000000" w:rsidRPr="00000000">
        <w:rPr>
          <w:rFonts w:ascii="Times New Roman" w:cs="Times New Roman" w:eastAsia="Times New Roman" w:hAnsi="Times New Roman"/>
          <w:b w:val="1"/>
          <w:sz w:val="24"/>
          <w:szCs w:val="24"/>
          <w:rtl w:val="0"/>
        </w:rPr>
        <w:t xml:space="preserve">Interseccionalidade</w:t>
      </w:r>
      <w:r w:rsidDel="00000000" w:rsidR="00000000" w:rsidRPr="00000000">
        <w:rPr>
          <w:rFonts w:ascii="Times New Roman" w:cs="Times New Roman" w:eastAsia="Times New Roman" w:hAnsi="Times New Roman"/>
          <w:sz w:val="24"/>
          <w:szCs w:val="24"/>
          <w:rtl w:val="0"/>
        </w:rPr>
        <w:t xml:space="preserve">. São Paulo: Sueli Carneiro; Editora Jandaíra, 2020.</w:t>
      </w:r>
    </w:p>
    <w:p w:rsidR="00000000" w:rsidDel="00000000" w:rsidP="00000000" w:rsidRDefault="00000000" w:rsidRPr="00000000" w14:paraId="0000061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Lei n. 13.445</w:t>
      </w:r>
      <w:r w:rsidDel="00000000" w:rsidR="00000000" w:rsidRPr="00000000">
        <w:rPr>
          <w:rFonts w:ascii="Times New Roman" w:cs="Times New Roman" w:eastAsia="Times New Roman" w:hAnsi="Times New Roman"/>
          <w:sz w:val="24"/>
          <w:szCs w:val="24"/>
          <w:rtl w:val="0"/>
        </w:rPr>
        <w:t xml:space="preserve">, de 24 de maio de 2017. Institui a Lei de Migração. Disponível em: &lt;</w:t>
      </w:r>
      <w:hyperlink r:id="rId92">
        <w:r w:rsidDel="00000000" w:rsidR="00000000" w:rsidRPr="00000000">
          <w:rPr>
            <w:rFonts w:ascii="Times New Roman" w:cs="Times New Roman" w:eastAsia="Times New Roman" w:hAnsi="Times New Roman"/>
            <w:sz w:val="24"/>
            <w:szCs w:val="24"/>
            <w:u w:val="single"/>
            <w:rtl w:val="0"/>
          </w:rPr>
          <w:t xml:space="preserve">http://www.planalto.gov.br/ccivil_03/_ato2015-2018/2017/lei/l13445.htm</w:t>
        </w:r>
      </w:hyperlink>
      <w:r w:rsidDel="00000000" w:rsidR="00000000" w:rsidRPr="00000000">
        <w:rPr>
          <w:rFonts w:ascii="Times New Roman" w:cs="Times New Roman" w:eastAsia="Times New Roman" w:hAnsi="Times New Roman"/>
          <w:sz w:val="24"/>
          <w:szCs w:val="24"/>
          <w:rtl w:val="0"/>
        </w:rPr>
        <w:t xml:space="preserve">&gt;. Acesso em: 03 de setembro de 2022</w:t>
      </w:r>
    </w:p>
    <w:p w:rsidR="00000000" w:rsidDel="00000000" w:rsidP="00000000" w:rsidRDefault="00000000" w:rsidRPr="00000000" w14:paraId="0000061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BALZAM, Nicolli. “Migração: adequando o vocabulário”. Caderno Travessias. </w:t>
      </w:r>
      <w:r w:rsidDel="00000000" w:rsidR="00000000" w:rsidRPr="00000000">
        <w:rPr>
          <w:rFonts w:ascii="Times New Roman" w:cs="Times New Roman" w:eastAsia="Times New Roman" w:hAnsi="Times New Roman"/>
          <w:b w:val="1"/>
          <w:sz w:val="24"/>
          <w:szCs w:val="24"/>
          <w:rtl w:val="0"/>
        </w:rPr>
        <w:t xml:space="preserve">Migrações Internacionais</w:t>
      </w:r>
      <w:r w:rsidDel="00000000" w:rsidR="00000000" w:rsidRPr="00000000">
        <w:rPr>
          <w:rFonts w:ascii="Times New Roman" w:cs="Times New Roman" w:eastAsia="Times New Roman" w:hAnsi="Times New Roman"/>
          <w:sz w:val="24"/>
          <w:szCs w:val="24"/>
          <w:rtl w:val="0"/>
        </w:rPr>
        <w:t xml:space="preserve">: Um panorama. ano 1, edição 1. 2020. p. 9 Disponível em: &lt;</w:t>
      </w:r>
      <w:hyperlink r:id="rId93">
        <w:r w:rsidDel="00000000" w:rsidR="00000000" w:rsidRPr="00000000">
          <w:rPr>
            <w:rFonts w:ascii="Times New Roman" w:cs="Times New Roman" w:eastAsia="Times New Roman" w:hAnsi="Times New Roman"/>
            <w:sz w:val="24"/>
            <w:szCs w:val="24"/>
            <w:u w:val="single"/>
            <w:rtl w:val="0"/>
          </w:rPr>
          <w:t xml:space="preserve">https://identidade.pucpr.br/webapp/assets/images/instituto_ciencia_e_fe/upload/file80534_cadernotravessias-idpucpr-dez20.pdf</w:t>
        </w:r>
      </w:hyperlink>
      <w:r w:rsidDel="00000000" w:rsidR="00000000" w:rsidRPr="00000000">
        <w:rPr>
          <w:rFonts w:ascii="Times New Roman" w:cs="Times New Roman" w:eastAsia="Times New Roman" w:hAnsi="Times New Roman"/>
          <w:sz w:val="24"/>
          <w:szCs w:val="24"/>
          <w:rtl w:val="0"/>
        </w:rPr>
        <w:t xml:space="preserve">&gt;. Acesso em: 03 de setembro de 2022</w:t>
      </w:r>
    </w:p>
    <w:p w:rsidR="00000000" w:rsidDel="00000000" w:rsidP="00000000" w:rsidRDefault="00000000" w:rsidRPr="00000000" w14:paraId="000006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CAPELARI, Anselmo. </w:t>
      </w:r>
      <w:r w:rsidDel="00000000" w:rsidR="00000000" w:rsidRPr="00000000">
        <w:rPr>
          <w:rFonts w:ascii="Times New Roman" w:cs="Times New Roman" w:eastAsia="Times New Roman" w:hAnsi="Times New Roman"/>
          <w:b w:val="1"/>
          <w:sz w:val="24"/>
          <w:szCs w:val="24"/>
          <w:rtl w:val="0"/>
        </w:rPr>
        <w:t xml:space="preserve">Migração forçada e categorização</w:t>
      </w:r>
      <w:r w:rsidDel="00000000" w:rsidR="00000000" w:rsidRPr="00000000">
        <w:rPr>
          <w:rFonts w:ascii="Times New Roman" w:cs="Times New Roman" w:eastAsia="Times New Roman" w:hAnsi="Times New Roman"/>
          <w:sz w:val="24"/>
          <w:szCs w:val="24"/>
          <w:rtl w:val="0"/>
        </w:rPr>
        <w:t xml:space="preserve">: entre a ampliação da proteção e a exclusão. In: PERIPLOS, Revista de Investigación sobre Migraciones. Volumen 5 - Número 1, p. 134. Disponível em: &lt;</w:t>
      </w:r>
      <w:hyperlink r:id="rId94">
        <w:r w:rsidDel="00000000" w:rsidR="00000000" w:rsidRPr="00000000">
          <w:rPr>
            <w:rFonts w:ascii="Times New Roman" w:cs="Times New Roman" w:eastAsia="Times New Roman" w:hAnsi="Times New Roman"/>
            <w:sz w:val="24"/>
            <w:szCs w:val="24"/>
            <w:u w:val="single"/>
            <w:rtl w:val="0"/>
          </w:rPr>
          <w:t xml:space="preserve">https://periodicos.unb.br/index.php/obmigra_periplos/article/view/34738/29127</w:t>
        </w:r>
      </w:hyperlink>
      <w:r w:rsidDel="00000000" w:rsidR="00000000" w:rsidRPr="00000000">
        <w:rPr>
          <w:rFonts w:ascii="Times New Roman" w:cs="Times New Roman" w:eastAsia="Times New Roman" w:hAnsi="Times New Roman"/>
          <w:sz w:val="24"/>
          <w:szCs w:val="24"/>
          <w:rtl w:val="0"/>
        </w:rPr>
        <w:t xml:space="preserve">&gt;. Acesso em: 03 de setembro de 2022.</w:t>
      </w:r>
    </w:p>
    <w:p w:rsidR="00000000" w:rsidDel="00000000" w:rsidP="00000000" w:rsidRDefault="00000000" w:rsidRPr="00000000" w14:paraId="000006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COLUMBIA UNIVERSITY. </w:t>
      </w:r>
      <w:r w:rsidDel="00000000" w:rsidR="00000000" w:rsidRPr="00000000">
        <w:rPr>
          <w:rFonts w:ascii="Times New Roman" w:cs="Times New Roman" w:eastAsia="Times New Roman" w:hAnsi="Times New Roman"/>
          <w:b w:val="1"/>
          <w:sz w:val="24"/>
          <w:szCs w:val="24"/>
          <w:rtl w:val="0"/>
        </w:rPr>
        <w:t xml:space="preserve">Forced Migration Learning Module</w:t>
      </w:r>
      <w:r w:rsidDel="00000000" w:rsidR="00000000" w:rsidRPr="00000000">
        <w:rPr>
          <w:rFonts w:ascii="Times New Roman" w:cs="Times New Roman" w:eastAsia="Times New Roman" w:hAnsi="Times New Roman"/>
          <w:sz w:val="24"/>
          <w:szCs w:val="24"/>
          <w:rtl w:val="0"/>
        </w:rPr>
        <w:t xml:space="preserve">. 2022. Disponível em: &lt;</w:t>
      </w:r>
      <w:hyperlink r:id="rId95">
        <w:r w:rsidDel="00000000" w:rsidR="00000000" w:rsidRPr="00000000">
          <w:rPr>
            <w:rFonts w:ascii="Times New Roman" w:cs="Times New Roman" w:eastAsia="Times New Roman" w:hAnsi="Times New Roman"/>
            <w:sz w:val="24"/>
            <w:szCs w:val="24"/>
            <w:u w:val="single"/>
            <w:rtl w:val="0"/>
          </w:rPr>
          <w:t xml:space="preserve">http://www.columbia.edu/itc/hs/pubhealth/modules/forcedMigration/definitions.html</w:t>
        </w:r>
      </w:hyperlink>
      <w:r w:rsidDel="00000000" w:rsidR="00000000" w:rsidRPr="00000000">
        <w:rPr>
          <w:rFonts w:ascii="Times New Roman" w:cs="Times New Roman" w:eastAsia="Times New Roman" w:hAnsi="Times New Roman"/>
          <w:sz w:val="24"/>
          <w:szCs w:val="24"/>
          <w:rtl w:val="0"/>
        </w:rPr>
        <w:t xml:space="preserve">&gt; Acesso em: 03 set 2022</w:t>
      </w:r>
    </w:p>
    <w:p w:rsidR="00000000" w:rsidDel="00000000" w:rsidP="00000000" w:rsidRDefault="00000000" w:rsidRPr="00000000" w14:paraId="0000061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COMISIÓN INTERAMERICANA DE DERECHOS HUMANOS. </w:t>
      </w:r>
      <w:r w:rsidDel="00000000" w:rsidR="00000000" w:rsidRPr="00000000">
        <w:rPr>
          <w:rFonts w:ascii="Times New Roman" w:cs="Times New Roman" w:eastAsia="Times New Roman" w:hAnsi="Times New Roman"/>
          <w:b w:val="1"/>
          <w:sz w:val="24"/>
          <w:szCs w:val="24"/>
          <w:rtl w:val="0"/>
        </w:rPr>
        <w:t xml:space="preserve">Políticas Públicas con enfoque de derechos humanos.</w:t>
      </w:r>
      <w:r w:rsidDel="00000000" w:rsidR="00000000" w:rsidRPr="00000000">
        <w:rPr>
          <w:rFonts w:ascii="Times New Roman" w:cs="Times New Roman" w:eastAsia="Times New Roman" w:hAnsi="Times New Roman"/>
          <w:sz w:val="24"/>
          <w:szCs w:val="24"/>
          <w:rtl w:val="0"/>
        </w:rPr>
        <w:t xml:space="preserve"> OEA/Ser.L/V/II. Doc. 191. 2018. Disponível em: &lt;</w:t>
      </w:r>
      <w:hyperlink r:id="rId96">
        <w:r w:rsidDel="00000000" w:rsidR="00000000" w:rsidRPr="00000000">
          <w:rPr>
            <w:rFonts w:ascii="Times New Roman" w:cs="Times New Roman" w:eastAsia="Times New Roman" w:hAnsi="Times New Roman"/>
            <w:sz w:val="24"/>
            <w:szCs w:val="24"/>
            <w:u w:val="single"/>
            <w:rtl w:val="0"/>
          </w:rPr>
          <w:t xml:space="preserve">https://www.oas.org/es/cidh/informes/pdfs/PoliticasPublicasDDHH.pdf</w:t>
        </w:r>
      </w:hyperlink>
      <w:r w:rsidDel="00000000" w:rsidR="00000000" w:rsidRPr="00000000">
        <w:rPr>
          <w:rFonts w:ascii="Times New Roman" w:cs="Times New Roman" w:eastAsia="Times New Roman" w:hAnsi="Times New Roman"/>
          <w:sz w:val="24"/>
          <w:szCs w:val="24"/>
          <w:rtl w:val="0"/>
        </w:rPr>
        <w:t xml:space="preserve">&gt;. Acesso em: 03 de setembro de 2022</w:t>
      </w:r>
    </w:p>
    <w:p w:rsidR="00000000" w:rsidDel="00000000" w:rsidP="00000000" w:rsidRDefault="00000000" w:rsidRPr="00000000" w14:paraId="0000062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COMISIÓN INTERAMERICANA DE DERECHOS HUMANOS. Anexo 1. Principales estándares y recomendaciones en materia de violencia y discriminación contra mujeres, niñas y adolescentes Violencia y discriminación contra mujeres, niñas y adolescentes: </w:t>
      </w:r>
      <w:r w:rsidDel="00000000" w:rsidR="00000000" w:rsidRPr="00000000">
        <w:rPr>
          <w:rFonts w:ascii="Times New Roman" w:cs="Times New Roman" w:eastAsia="Times New Roman" w:hAnsi="Times New Roman"/>
          <w:b w:val="1"/>
          <w:sz w:val="24"/>
          <w:szCs w:val="24"/>
          <w:rtl w:val="0"/>
        </w:rPr>
        <w:t xml:space="preserve">Buenas prácticas y desafíos en América Latina y en el Caribe</w:t>
      </w:r>
      <w:r w:rsidDel="00000000" w:rsidR="00000000" w:rsidRPr="00000000">
        <w:rPr>
          <w:rFonts w:ascii="Times New Roman" w:cs="Times New Roman" w:eastAsia="Times New Roman" w:hAnsi="Times New Roman"/>
          <w:sz w:val="24"/>
          <w:szCs w:val="24"/>
          <w:rtl w:val="0"/>
        </w:rPr>
        <w:t xml:space="preserve">, 14 noviembre 2019, OEA/Ser.L/V/II, p. 147.</w:t>
      </w:r>
    </w:p>
    <w:p w:rsidR="00000000" w:rsidDel="00000000" w:rsidP="00000000" w:rsidRDefault="00000000" w:rsidRPr="00000000" w14:paraId="000006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CRENSHAW, Kimberlé. </w:t>
      </w:r>
      <w:r w:rsidDel="00000000" w:rsidR="00000000" w:rsidRPr="00000000">
        <w:rPr>
          <w:rFonts w:ascii="Times New Roman" w:cs="Times New Roman" w:eastAsia="Times New Roman" w:hAnsi="Times New Roman"/>
          <w:b w:val="1"/>
          <w:sz w:val="24"/>
          <w:szCs w:val="24"/>
          <w:rtl w:val="0"/>
        </w:rPr>
        <w:t xml:space="preserve">A Interseccionalidade na Discriminação de Raça e Gênero</w:t>
      </w:r>
      <w:r w:rsidDel="00000000" w:rsidR="00000000" w:rsidRPr="00000000">
        <w:rPr>
          <w:rFonts w:ascii="Times New Roman" w:cs="Times New Roman" w:eastAsia="Times New Roman" w:hAnsi="Times New Roman"/>
          <w:sz w:val="24"/>
          <w:szCs w:val="24"/>
          <w:rtl w:val="0"/>
        </w:rPr>
        <w:t xml:space="preserve">. In: VV.AA. Cruzamento: raça e gênero. Brasília: Unifem, 2004.</w:t>
      </w:r>
    </w:p>
    <w:p w:rsidR="00000000" w:rsidDel="00000000" w:rsidP="00000000" w:rsidRDefault="00000000" w:rsidRPr="00000000" w14:paraId="0000062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CRENSHAW, Kimberlé. </w:t>
      </w:r>
      <w:r w:rsidDel="00000000" w:rsidR="00000000" w:rsidRPr="00000000">
        <w:rPr>
          <w:rFonts w:ascii="Times New Roman" w:cs="Times New Roman" w:eastAsia="Times New Roman" w:hAnsi="Times New Roman"/>
          <w:b w:val="1"/>
          <w:sz w:val="24"/>
          <w:szCs w:val="24"/>
          <w:rtl w:val="0"/>
        </w:rPr>
        <w:t xml:space="preserve">Demarginalizing the Intersection of Race and Sex:</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Black Feminist Critique of Antidiscrimination Doctrine, Feminist Theory, and Antiracist Politics. University of Chicago Legal Forum, 1989</w:t>
      </w:r>
    </w:p>
    <w:p w:rsidR="00000000" w:rsidDel="00000000" w:rsidP="00000000" w:rsidRDefault="00000000" w:rsidRPr="00000000" w14:paraId="0000062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CUNHA, Natália Cidade. </w:t>
      </w:r>
      <w:r w:rsidDel="00000000" w:rsidR="00000000" w:rsidRPr="00000000">
        <w:rPr>
          <w:rFonts w:ascii="Times New Roman" w:cs="Times New Roman" w:eastAsia="Times New Roman" w:hAnsi="Times New Roman"/>
          <w:b w:val="1"/>
          <w:sz w:val="24"/>
          <w:szCs w:val="24"/>
          <w:rtl w:val="0"/>
        </w:rPr>
        <w:t xml:space="preserve">Refugiados Urbanos: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Estudo sobre a distribuição territorial de refugiados no Rio de Janeiro e seu impacto no processo de integração local. Dissertação. Universidade Federal do Rio de Janeiro, UFRJ, p. 258, 2018.</w:t>
      </w:r>
    </w:p>
    <w:p w:rsidR="00000000" w:rsidDel="00000000" w:rsidP="00000000" w:rsidRDefault="00000000" w:rsidRPr="00000000" w14:paraId="0000062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DAVIS, Angela. </w:t>
      </w:r>
      <w:r w:rsidDel="00000000" w:rsidR="00000000" w:rsidRPr="00000000">
        <w:rPr>
          <w:rFonts w:ascii="Times New Roman" w:cs="Times New Roman" w:eastAsia="Times New Roman" w:hAnsi="Times New Roman"/>
          <w:b w:val="1"/>
          <w:sz w:val="24"/>
          <w:szCs w:val="24"/>
          <w:rtl w:val="0"/>
        </w:rPr>
        <w:t xml:space="preserve">Mulheres, Raça e Classe</w:t>
      </w:r>
      <w:r w:rsidDel="00000000" w:rsidR="00000000" w:rsidRPr="00000000">
        <w:rPr>
          <w:rFonts w:ascii="Times New Roman" w:cs="Times New Roman" w:eastAsia="Times New Roman" w:hAnsi="Times New Roman"/>
          <w:sz w:val="24"/>
          <w:szCs w:val="24"/>
          <w:rtl w:val="0"/>
        </w:rPr>
        <w:t xml:space="preserve">. Angela Davis; tradução Heci Regina Candiani. - 1. ed. -São Paulo: Boitempo, 2016.</w:t>
      </w:r>
    </w:p>
    <w:p w:rsidR="00000000" w:rsidDel="00000000" w:rsidP="00000000" w:rsidRDefault="00000000" w:rsidRPr="00000000" w14:paraId="0000062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DORNELAS, Paula Dias; RIBEIRO, Roberta Gabriela Nunes. </w:t>
      </w:r>
      <w:r w:rsidDel="00000000" w:rsidR="00000000" w:rsidRPr="00000000">
        <w:rPr>
          <w:rFonts w:ascii="Times New Roman" w:cs="Times New Roman" w:eastAsia="Times New Roman" w:hAnsi="Times New Roman"/>
          <w:b w:val="1"/>
          <w:sz w:val="24"/>
          <w:szCs w:val="24"/>
          <w:rtl w:val="0"/>
        </w:rPr>
        <w:t xml:space="preserve">Mulheres Migrantes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invisibilidade, direito à nacionalidade e a interseccionalidade nas políticas públicas. O Social em Questão, 21(41),247-264. ISSN: 1415-1804. 2018. Disponível em:</w:t>
      </w:r>
      <w:hyperlink r:id="rId97">
        <w:r w:rsidDel="00000000" w:rsidR="00000000" w:rsidRPr="00000000">
          <w:rPr>
            <w:rFonts w:ascii="Times New Roman" w:cs="Times New Roman" w:eastAsia="Times New Roman" w:hAnsi="Times New Roman"/>
            <w:sz w:val="24"/>
            <w:szCs w:val="24"/>
            <w:rtl w:val="0"/>
          </w:rPr>
          <w:t xml:space="preserve"> &lt;</w:t>
        </w:r>
      </w:hyperlink>
      <w:hyperlink r:id="rId98">
        <w:r w:rsidDel="00000000" w:rsidR="00000000" w:rsidRPr="00000000">
          <w:rPr>
            <w:rFonts w:ascii="Times New Roman" w:cs="Times New Roman" w:eastAsia="Times New Roman" w:hAnsi="Times New Roman"/>
            <w:sz w:val="24"/>
            <w:szCs w:val="24"/>
            <w:u w:val="single"/>
            <w:rtl w:val="0"/>
          </w:rPr>
          <w:t xml:space="preserve">https://www.redalyc.org/articulo.oa?id=552264297011</w:t>
        </w:r>
      </w:hyperlink>
      <w:r w:rsidDel="00000000" w:rsidR="00000000" w:rsidRPr="00000000">
        <w:rPr>
          <w:rFonts w:ascii="Times New Roman" w:cs="Times New Roman" w:eastAsia="Times New Roman" w:hAnsi="Times New Roman"/>
          <w:sz w:val="24"/>
          <w:szCs w:val="24"/>
          <w:rtl w:val="0"/>
        </w:rPr>
        <w:t xml:space="preserve">&gt; Acesso em: 03 de setembro de 2022</w:t>
      </w:r>
    </w:p>
    <w:p w:rsidR="00000000" w:rsidDel="00000000" w:rsidP="00000000" w:rsidRDefault="00000000" w:rsidRPr="00000000" w14:paraId="0000062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E">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FARAH, Marta Ferreira Santos. </w:t>
      </w:r>
      <w:r w:rsidDel="00000000" w:rsidR="00000000" w:rsidRPr="00000000">
        <w:rPr>
          <w:rFonts w:ascii="Times New Roman" w:cs="Times New Roman" w:eastAsia="Times New Roman" w:hAnsi="Times New Roman"/>
          <w:b w:val="1"/>
          <w:sz w:val="24"/>
          <w:szCs w:val="24"/>
          <w:highlight w:val="white"/>
          <w:rtl w:val="0"/>
        </w:rPr>
        <w:t xml:space="preserve">Gênero e políticas públicas</w:t>
      </w:r>
      <w:r w:rsidDel="00000000" w:rsidR="00000000" w:rsidRPr="00000000">
        <w:rPr>
          <w:rFonts w:ascii="Times New Roman" w:cs="Times New Roman" w:eastAsia="Times New Roman" w:hAnsi="Times New Roman"/>
          <w:sz w:val="24"/>
          <w:szCs w:val="24"/>
          <w:highlight w:val="white"/>
          <w:rtl w:val="0"/>
        </w:rPr>
        <w:t xml:space="preserve">. Estudos feministas, Florianópolis, v. 12, n. 1, jan./abr. 2004, p. 47-71.</w:t>
      </w:r>
    </w:p>
    <w:p w:rsidR="00000000" w:rsidDel="00000000" w:rsidP="00000000" w:rsidRDefault="00000000" w:rsidRPr="00000000" w14:paraId="0000062F">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Rocío Villanueva. </w:t>
      </w:r>
      <w:r w:rsidDel="00000000" w:rsidR="00000000" w:rsidRPr="00000000">
        <w:rPr>
          <w:rFonts w:ascii="Times New Roman" w:cs="Times New Roman" w:eastAsia="Times New Roman" w:hAnsi="Times New Roman"/>
          <w:b w:val="1"/>
          <w:sz w:val="24"/>
          <w:szCs w:val="24"/>
          <w:rtl w:val="0"/>
        </w:rPr>
        <w:t xml:space="preserve">Protección constitucional de los derechos sexuales y reproductivos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Revista IIDH, Vol. 43, 2006, p. 392</w:t>
      </w:r>
    </w:p>
    <w:p w:rsidR="00000000" w:rsidDel="00000000" w:rsidP="00000000" w:rsidRDefault="00000000" w:rsidRPr="00000000" w14:paraId="0000063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2">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FONSECA,  L.  G.  D. </w:t>
      </w:r>
      <w:r w:rsidDel="00000000" w:rsidR="00000000" w:rsidRPr="00000000">
        <w:rPr>
          <w:rFonts w:ascii="Times New Roman" w:cs="Times New Roman" w:eastAsia="Times New Roman" w:hAnsi="Times New Roman"/>
          <w:b w:val="1"/>
          <w:sz w:val="24"/>
          <w:szCs w:val="24"/>
          <w:highlight w:val="white"/>
          <w:rtl w:val="0"/>
        </w:rPr>
        <w:t xml:space="preserve">Despatriarcalizar   e   decolonizar   o  Estado  brasileiro</w:t>
      </w:r>
      <w:r w:rsidDel="00000000" w:rsidR="00000000" w:rsidRPr="00000000">
        <w:rPr>
          <w:rFonts w:ascii="Times New Roman" w:cs="Times New Roman" w:eastAsia="Times New Roman" w:hAnsi="Times New Roman"/>
          <w:sz w:val="24"/>
          <w:szCs w:val="24"/>
          <w:highlight w:val="white"/>
          <w:rtl w:val="0"/>
        </w:rPr>
        <w:t xml:space="preserve">  –  um  olhar  pelas  políticas  públicas  para  mulheres  indígenas. Tese de Doutorado. Universidade de Brasília, UnB. 2016</w:t>
      </w:r>
    </w:p>
    <w:p w:rsidR="00000000" w:rsidDel="00000000" w:rsidP="00000000" w:rsidRDefault="00000000" w:rsidRPr="00000000" w14:paraId="00000633">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FRANÇA, Rômulo Ataides; Ramos, Wilsa Maria; MONTAGNER, Maria Inez. (2019) </w:t>
      </w:r>
      <w:r w:rsidDel="00000000" w:rsidR="00000000" w:rsidRPr="00000000">
        <w:rPr>
          <w:rFonts w:ascii="Times New Roman" w:cs="Times New Roman" w:eastAsia="Times New Roman" w:hAnsi="Times New Roman"/>
          <w:b w:val="1"/>
          <w:sz w:val="24"/>
          <w:szCs w:val="24"/>
          <w:rtl w:val="0"/>
        </w:rPr>
        <w:t xml:space="preserve">Mapeamento de políticas públicas para os refugiados no Brasil</w:t>
      </w:r>
      <w:r w:rsidDel="00000000" w:rsidR="00000000" w:rsidRPr="00000000">
        <w:rPr>
          <w:rFonts w:ascii="Times New Roman" w:cs="Times New Roman" w:eastAsia="Times New Roman" w:hAnsi="Times New Roman"/>
          <w:sz w:val="24"/>
          <w:szCs w:val="24"/>
          <w:rtl w:val="0"/>
        </w:rPr>
        <w:t xml:space="preserve">. Estudos e Pesquisas em Psicologia; revista; UERJ; REVISPSI v. 19, n. 1. Disponível em:</w:t>
      </w:r>
      <w:hyperlink r:id="rId99">
        <w:r w:rsidDel="00000000" w:rsidR="00000000" w:rsidRPr="00000000">
          <w:rPr>
            <w:rFonts w:ascii="Times New Roman" w:cs="Times New Roman" w:eastAsia="Times New Roman" w:hAnsi="Times New Roman"/>
            <w:sz w:val="24"/>
            <w:szCs w:val="24"/>
            <w:rtl w:val="0"/>
          </w:rPr>
          <w:t xml:space="preserve"> </w:t>
        </w:r>
      </w:hyperlink>
      <w:hyperlink r:id="rId100">
        <w:r w:rsidDel="00000000" w:rsidR="00000000" w:rsidRPr="00000000">
          <w:rPr>
            <w:rFonts w:ascii="Times New Roman" w:cs="Times New Roman" w:eastAsia="Times New Roman" w:hAnsi="Times New Roman"/>
            <w:sz w:val="24"/>
            <w:szCs w:val="24"/>
            <w:u w:val="single"/>
            <w:rtl w:val="0"/>
          </w:rPr>
          <w:t xml:space="preserve">https://www.e-publicacoes.uerj.br/index.php/revispsi/article/view/43008/29657</w:t>
        </w:r>
      </w:hyperlink>
      <w:r w:rsidDel="00000000" w:rsidR="00000000" w:rsidRPr="00000000">
        <w:rPr>
          <w:rFonts w:ascii="Times New Roman" w:cs="Times New Roman" w:eastAsia="Times New Roman" w:hAnsi="Times New Roman"/>
          <w:sz w:val="24"/>
          <w:szCs w:val="24"/>
          <w:rtl w:val="0"/>
        </w:rPr>
        <w:t xml:space="preserve"> Acesso em: 03 de setembro de 2022</w:t>
      </w:r>
    </w:p>
    <w:p w:rsidR="00000000" w:rsidDel="00000000" w:rsidP="00000000" w:rsidRDefault="00000000" w:rsidRPr="00000000" w14:paraId="0000063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w:t>
      </w:r>
      <w:r w:rsidDel="00000000" w:rsidR="00000000" w:rsidRPr="00000000">
        <w:rPr>
          <w:rFonts w:ascii="Times New Roman" w:cs="Times New Roman" w:eastAsia="Times New Roman" w:hAnsi="Times New Roman"/>
          <w:b w:val="1"/>
          <w:sz w:val="24"/>
          <w:szCs w:val="24"/>
          <w:rtl w:val="0"/>
        </w:rPr>
        <w:t xml:space="preserve">Por um feminismo afro-latino-americano</w:t>
      </w:r>
      <w:r w:rsidDel="00000000" w:rsidR="00000000" w:rsidRPr="00000000">
        <w:rPr>
          <w:rFonts w:ascii="Times New Roman" w:cs="Times New Roman" w:eastAsia="Times New Roman" w:hAnsi="Times New Roman"/>
          <w:sz w:val="24"/>
          <w:szCs w:val="24"/>
          <w:rtl w:val="0"/>
        </w:rPr>
        <w:t xml:space="preserve">: ensaios, intervenções e diálogos/organização Flavia Rios, Márcia Lima – 1ª ed. Rio de Janeiro: Zahar, 2020</w:t>
      </w:r>
    </w:p>
    <w:p w:rsidR="00000000" w:rsidDel="00000000" w:rsidP="00000000" w:rsidRDefault="00000000" w:rsidRPr="00000000" w14:paraId="0000063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w:t>
      </w:r>
      <w:r w:rsidDel="00000000" w:rsidR="00000000" w:rsidRPr="00000000">
        <w:rPr>
          <w:rFonts w:ascii="Times New Roman" w:cs="Times New Roman" w:eastAsia="Times New Roman" w:hAnsi="Times New Roman"/>
          <w:b w:val="1"/>
          <w:sz w:val="24"/>
          <w:szCs w:val="24"/>
          <w:rtl w:val="0"/>
        </w:rPr>
        <w:t xml:space="preserve">Racismo e sexismo na cultura brasileira</w:t>
      </w:r>
      <w:r w:rsidDel="00000000" w:rsidR="00000000" w:rsidRPr="00000000">
        <w:rPr>
          <w:rFonts w:ascii="Times New Roman" w:cs="Times New Roman" w:eastAsia="Times New Roman" w:hAnsi="Times New Roman"/>
          <w:sz w:val="24"/>
          <w:szCs w:val="24"/>
          <w:rtl w:val="0"/>
        </w:rPr>
        <w:t xml:space="preserve">. In: SILVA, L. A. Movimentos sociais urbanos, minorias étnicas e outros estudos. Brasília: ANPOCS, Cap. 3, 1983. (Ciências Sociais Hoje, 2)</w:t>
      </w:r>
    </w:p>
    <w:p w:rsidR="00000000" w:rsidDel="00000000" w:rsidP="00000000" w:rsidRDefault="00000000" w:rsidRPr="00000000" w14:paraId="0000063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GRIECO, Elizabeth; BOYD, Monica. </w:t>
      </w:r>
      <w:r w:rsidDel="00000000" w:rsidR="00000000" w:rsidRPr="00000000">
        <w:rPr>
          <w:rFonts w:ascii="Times New Roman" w:cs="Times New Roman" w:eastAsia="Times New Roman" w:hAnsi="Times New Roman"/>
          <w:b w:val="1"/>
          <w:sz w:val="24"/>
          <w:szCs w:val="24"/>
          <w:rtl w:val="0"/>
        </w:rPr>
        <w:t xml:space="preserve">Women and Migration</w:t>
      </w:r>
      <w:r w:rsidDel="00000000" w:rsidR="00000000" w:rsidRPr="00000000">
        <w:rPr>
          <w:rFonts w:ascii="Times New Roman" w:cs="Times New Roman" w:eastAsia="Times New Roman" w:hAnsi="Times New Roman"/>
          <w:sz w:val="24"/>
          <w:szCs w:val="24"/>
          <w:rtl w:val="0"/>
        </w:rPr>
        <w:t xml:space="preserve">: Incorporating gender into international migration theory. Florida State University, 2003. Disponível em: </w:t>
      </w:r>
      <w:r w:rsidDel="00000000" w:rsidR="00000000" w:rsidRPr="00000000">
        <w:rPr>
          <w:rFonts w:ascii="Times New Roman" w:cs="Times New Roman" w:eastAsia="Times New Roman" w:hAnsi="Times New Roman"/>
          <w:sz w:val="24"/>
          <w:szCs w:val="24"/>
          <w:vertAlign w:val="subscript"/>
          <w:rtl w:val="0"/>
        </w:rPr>
        <w:t xml:space="preserve">&lt;</w:t>
      </w:r>
      <w:hyperlink r:id="rId101">
        <w:r w:rsidDel="00000000" w:rsidR="00000000" w:rsidRPr="00000000">
          <w:rPr>
            <w:rFonts w:ascii="Times New Roman" w:cs="Times New Roman" w:eastAsia="Times New Roman" w:hAnsi="Times New Roman"/>
            <w:sz w:val="24"/>
            <w:szCs w:val="24"/>
            <w:u w:val="single"/>
            <w:rtl w:val="0"/>
          </w:rPr>
          <w:t xml:space="preserve">http://incedes.org.gt/Master/boydgriecodiez.pdf</w:t>
        </w:r>
      </w:hyperlink>
      <w:r w:rsidDel="00000000" w:rsidR="00000000" w:rsidRPr="00000000">
        <w:rPr>
          <w:rFonts w:ascii="Times New Roman" w:cs="Times New Roman" w:eastAsia="Times New Roman" w:hAnsi="Times New Roman"/>
          <w:sz w:val="24"/>
          <w:szCs w:val="24"/>
          <w:rtl w:val="0"/>
        </w:rPr>
        <w:t xml:space="preserve">&gt;. Acesso em: 03 de setembro de 2022</w:t>
      </w:r>
    </w:p>
    <w:p w:rsidR="00000000" w:rsidDel="00000000" w:rsidP="00000000" w:rsidRDefault="00000000" w:rsidRPr="00000000" w14:paraId="0000063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HERRERA FLORES, Joaquín. </w:t>
      </w:r>
      <w:r w:rsidDel="00000000" w:rsidR="00000000" w:rsidRPr="00000000">
        <w:rPr>
          <w:rFonts w:ascii="Times New Roman" w:cs="Times New Roman" w:eastAsia="Times New Roman" w:hAnsi="Times New Roman"/>
          <w:b w:val="1"/>
          <w:sz w:val="24"/>
          <w:szCs w:val="24"/>
          <w:rtl w:val="0"/>
        </w:rPr>
        <w:t xml:space="preserve">A reinvenção dos direitos humanos</w:t>
      </w:r>
      <w:r w:rsidDel="00000000" w:rsidR="00000000" w:rsidRPr="00000000">
        <w:rPr>
          <w:rFonts w:ascii="Times New Roman" w:cs="Times New Roman" w:eastAsia="Times New Roman" w:hAnsi="Times New Roman"/>
          <w:sz w:val="24"/>
          <w:szCs w:val="24"/>
          <w:rtl w:val="0"/>
        </w:rPr>
        <w:t xml:space="preserve">. Florianópolis: Fundação Boiteux, 2009.</w:t>
      </w:r>
    </w:p>
    <w:p w:rsidR="00000000" w:rsidDel="00000000" w:rsidP="00000000" w:rsidRDefault="00000000" w:rsidRPr="00000000" w14:paraId="000006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HERRERA FLORES, Joaquín. </w:t>
      </w:r>
      <w:r w:rsidDel="00000000" w:rsidR="00000000" w:rsidRPr="00000000">
        <w:rPr>
          <w:rFonts w:ascii="Times New Roman" w:cs="Times New Roman" w:eastAsia="Times New Roman" w:hAnsi="Times New Roman"/>
          <w:b w:val="1"/>
          <w:sz w:val="24"/>
          <w:szCs w:val="24"/>
          <w:rtl w:val="0"/>
        </w:rPr>
        <w:t xml:space="preserve">Abordar las migraciones</w:t>
      </w:r>
      <w:r w:rsidDel="00000000" w:rsidR="00000000" w:rsidRPr="00000000">
        <w:rPr>
          <w:rFonts w:ascii="Times New Roman" w:cs="Times New Roman" w:eastAsia="Times New Roman" w:hAnsi="Times New Roman"/>
          <w:sz w:val="24"/>
          <w:szCs w:val="24"/>
          <w:rtl w:val="0"/>
        </w:rPr>
        <w:t xml:space="preserve">: Bases teoricas para políticas publicas creativas. Tiempos de América, n. 13. 2006, pp. 75-96.</w:t>
      </w:r>
    </w:p>
    <w:p w:rsidR="00000000" w:rsidDel="00000000" w:rsidP="00000000" w:rsidRDefault="00000000" w:rsidRPr="00000000" w14:paraId="0000063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JUNGER, Gustavo; CAVALCANTI, Leonardo; OLIVEIRA, Tadeu de; SILVA, Bianca G. </w:t>
      </w:r>
      <w:r w:rsidDel="00000000" w:rsidR="00000000" w:rsidRPr="00000000">
        <w:rPr>
          <w:rFonts w:ascii="Times New Roman" w:cs="Times New Roman" w:eastAsia="Times New Roman" w:hAnsi="Times New Roman"/>
          <w:b w:val="1"/>
          <w:sz w:val="24"/>
          <w:szCs w:val="24"/>
          <w:rtl w:val="0"/>
        </w:rPr>
        <w:t xml:space="preserve">Refúgio em Números</w:t>
      </w:r>
      <w:r w:rsidDel="00000000" w:rsidR="00000000" w:rsidRPr="00000000">
        <w:rPr>
          <w:rFonts w:ascii="Times New Roman" w:cs="Times New Roman" w:eastAsia="Times New Roman" w:hAnsi="Times New Roman"/>
          <w:sz w:val="24"/>
          <w:szCs w:val="24"/>
          <w:rtl w:val="0"/>
        </w:rPr>
        <w:t xml:space="preserve">, 7ª Ed. Série Migrações. Observatório das Migrações Internacionais; Ministério da Justiça e Segurança Pública/ Conselho Nacional de Imigração e Coordenação Geral de Imigração Laboral. Brasília, DF: OBMigra, 2022. </w:t>
      </w:r>
    </w:p>
    <w:p w:rsidR="00000000" w:rsidDel="00000000" w:rsidP="00000000" w:rsidRDefault="00000000" w:rsidRPr="00000000" w14:paraId="0000064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JUNGER, Gustavo; CAVALCANTI, Leonardo; OLIVEIRA, Tadeu de. </w:t>
      </w:r>
      <w:r w:rsidDel="00000000" w:rsidR="00000000" w:rsidRPr="00000000">
        <w:rPr>
          <w:rFonts w:ascii="Times New Roman" w:cs="Times New Roman" w:eastAsia="Times New Roman" w:hAnsi="Times New Roman"/>
          <w:b w:val="1"/>
          <w:sz w:val="24"/>
          <w:szCs w:val="24"/>
          <w:rtl w:val="0"/>
        </w:rPr>
        <w:t xml:space="preserve">Refúgio em Números</w:t>
      </w:r>
      <w:r w:rsidDel="00000000" w:rsidR="00000000" w:rsidRPr="00000000">
        <w:rPr>
          <w:rFonts w:ascii="Times New Roman" w:cs="Times New Roman" w:eastAsia="Times New Roman" w:hAnsi="Times New Roman"/>
          <w:sz w:val="24"/>
          <w:szCs w:val="24"/>
          <w:rtl w:val="0"/>
        </w:rPr>
        <w:t xml:space="preserve">, 6ª Ed. Observatório das Migrações Internacionais; Ministério da Justiça e Segurança Pública/ Comitê Nacional para os Refugiados. Brasília, DF: OBMigra, 2021.</w:t>
      </w:r>
    </w:p>
    <w:p w:rsidR="00000000" w:rsidDel="00000000" w:rsidP="00000000" w:rsidRDefault="00000000" w:rsidRPr="00000000" w14:paraId="000006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KERN, Leslie. </w:t>
      </w:r>
      <w:r w:rsidDel="00000000" w:rsidR="00000000" w:rsidRPr="00000000">
        <w:rPr>
          <w:rFonts w:ascii="Times New Roman" w:cs="Times New Roman" w:eastAsia="Times New Roman" w:hAnsi="Times New Roman"/>
          <w:i w:val="1"/>
          <w:sz w:val="24"/>
          <w:szCs w:val="24"/>
          <w:rtl w:val="0"/>
        </w:rPr>
        <w:t xml:space="preserve">Cidade feminista</w:t>
      </w:r>
      <w:r w:rsidDel="00000000" w:rsidR="00000000" w:rsidRPr="00000000">
        <w:rPr>
          <w:rFonts w:ascii="Times New Roman" w:cs="Times New Roman" w:eastAsia="Times New Roman" w:hAnsi="Times New Roman"/>
          <w:sz w:val="24"/>
          <w:szCs w:val="24"/>
          <w:rtl w:val="0"/>
        </w:rPr>
        <w:t xml:space="preserve">: A luta pelo espaço em um mundo desenhado por homens. Ed. Oficina Raquel, p. </w:t>
      </w:r>
      <w:r w:rsidDel="00000000" w:rsidR="00000000" w:rsidRPr="00000000">
        <w:rPr>
          <w:rFonts w:ascii="Times New Roman" w:cs="Times New Roman" w:eastAsia="Times New Roman" w:hAnsi="Times New Roman"/>
          <w:color w:val="0f1111"/>
          <w:sz w:val="24"/>
          <w:szCs w:val="24"/>
          <w:highlight w:val="white"/>
          <w:rtl w:val="0"/>
        </w:rPr>
        <w:t xml:space="preserve">256,</w:t>
      </w:r>
      <w:r w:rsidDel="00000000" w:rsidR="00000000" w:rsidRPr="00000000">
        <w:rPr>
          <w:rFonts w:ascii="Times New Roman" w:cs="Times New Roman" w:eastAsia="Times New Roman" w:hAnsi="Times New Roman"/>
          <w:b w:val="1"/>
          <w:color w:val="0f111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2021.</w:t>
      </w:r>
    </w:p>
    <w:p w:rsidR="00000000" w:rsidDel="00000000" w:rsidP="00000000" w:rsidRDefault="00000000" w:rsidRPr="00000000" w14:paraId="0000064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LISBOA, Teresa Kleba. </w:t>
      </w:r>
      <w:r w:rsidDel="00000000" w:rsidR="00000000" w:rsidRPr="00000000">
        <w:rPr>
          <w:rFonts w:ascii="Times New Roman" w:cs="Times New Roman" w:eastAsia="Times New Roman" w:hAnsi="Times New Roman"/>
          <w:b w:val="1"/>
          <w:sz w:val="24"/>
          <w:szCs w:val="24"/>
          <w:rtl w:val="0"/>
        </w:rPr>
        <w:t xml:space="preserve">Gênero e Migrações</w:t>
      </w:r>
      <w:r w:rsidDel="00000000" w:rsidR="00000000" w:rsidRPr="00000000">
        <w:rPr>
          <w:rFonts w:ascii="Times New Roman" w:cs="Times New Roman" w:eastAsia="Times New Roman" w:hAnsi="Times New Roman"/>
          <w:sz w:val="24"/>
          <w:szCs w:val="24"/>
          <w:rtl w:val="0"/>
        </w:rPr>
        <w:t xml:space="preserve">: trajetórias globais, trajetórias locais de trabalhadoras domésticas. In: REHMU- Revista Interdisciplinar da Mobilidade Humana. Ano XIV, n. 26 e 27, 2006.</w:t>
      </w:r>
    </w:p>
    <w:p w:rsidR="00000000" w:rsidDel="00000000" w:rsidP="00000000" w:rsidRDefault="00000000" w:rsidRPr="00000000" w14:paraId="0000064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MACEDO, José Arthur Castillo de. </w:t>
      </w:r>
      <w:r w:rsidDel="00000000" w:rsidR="00000000" w:rsidRPr="00000000">
        <w:rPr>
          <w:rFonts w:ascii="Times New Roman" w:cs="Times New Roman" w:eastAsia="Times New Roman" w:hAnsi="Times New Roman"/>
          <w:b w:val="1"/>
          <w:sz w:val="24"/>
          <w:szCs w:val="24"/>
          <w:rtl w:val="0"/>
        </w:rPr>
        <w:t xml:space="preserve">Encruzilhadas do federalismo</w:t>
      </w:r>
      <w:r w:rsidDel="00000000" w:rsidR="00000000" w:rsidRPr="00000000">
        <w:rPr>
          <w:rFonts w:ascii="Times New Roman" w:cs="Times New Roman" w:eastAsia="Times New Roman" w:hAnsi="Times New Roman"/>
          <w:sz w:val="24"/>
          <w:szCs w:val="24"/>
          <w:rtl w:val="0"/>
        </w:rPr>
        <w:t xml:space="preserve">: transfederalismo, cooperação, constitucionalismo e democracia / José Arthur Castillo de Macedo orientadora: Vera Karam de Chueiri. Curitiba, 2018.</w:t>
      </w:r>
    </w:p>
    <w:p w:rsidR="00000000" w:rsidDel="00000000" w:rsidP="00000000" w:rsidRDefault="00000000" w:rsidRPr="00000000" w14:paraId="0000064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MORAIS, Rafaela Julich. </w:t>
      </w:r>
      <w:r w:rsidDel="00000000" w:rsidR="00000000" w:rsidRPr="00000000">
        <w:rPr>
          <w:rFonts w:ascii="Times New Roman" w:cs="Times New Roman" w:eastAsia="Times New Roman" w:hAnsi="Times New Roman"/>
          <w:b w:val="1"/>
          <w:sz w:val="24"/>
          <w:szCs w:val="24"/>
          <w:rtl w:val="0"/>
        </w:rPr>
        <w:t xml:space="preserve">Desconstruindo vulnerabilidades</w:t>
      </w:r>
      <w:r w:rsidDel="00000000" w:rsidR="00000000" w:rsidRPr="00000000">
        <w:rPr>
          <w:rFonts w:ascii="Times New Roman" w:cs="Times New Roman" w:eastAsia="Times New Roman" w:hAnsi="Times New Roman"/>
          <w:sz w:val="24"/>
          <w:szCs w:val="24"/>
          <w:rtl w:val="0"/>
        </w:rPr>
        <w:t xml:space="preserve">: A resistência de mulheres congolesas migrantes em face às desigualdades interseccionais da sociedade brasileira. Universidade Federal de Santa Catarina, UFSC, 2019. p.32</w:t>
      </w:r>
    </w:p>
    <w:p w:rsidR="00000000" w:rsidDel="00000000" w:rsidP="00000000" w:rsidRDefault="00000000" w:rsidRPr="00000000" w14:paraId="0000064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MOREIRA, Julia Bertino. </w:t>
      </w:r>
      <w:r w:rsidDel="00000000" w:rsidR="00000000" w:rsidRPr="00000000">
        <w:rPr>
          <w:rFonts w:ascii="Times New Roman" w:cs="Times New Roman" w:eastAsia="Times New Roman" w:hAnsi="Times New Roman"/>
          <w:b w:val="1"/>
          <w:sz w:val="24"/>
          <w:szCs w:val="24"/>
          <w:rtl w:val="0"/>
        </w:rPr>
        <w:t xml:space="preserve">Refugiados no Brasil</w:t>
      </w:r>
      <w:r w:rsidDel="00000000" w:rsidR="00000000" w:rsidRPr="00000000">
        <w:rPr>
          <w:rFonts w:ascii="Times New Roman" w:cs="Times New Roman" w:eastAsia="Times New Roman" w:hAnsi="Times New Roman"/>
          <w:sz w:val="24"/>
          <w:szCs w:val="24"/>
          <w:rtl w:val="0"/>
        </w:rPr>
        <w:t xml:space="preserve">: reflexões acerca do processo de integração local. REMHU - Rev. Interdiscip. Mobil. Hum., Brasília, Ano XXII, n. 43,  p. 85-98, 2014.</w:t>
      </w:r>
    </w:p>
    <w:p w:rsidR="00000000" w:rsidDel="00000000" w:rsidP="00000000" w:rsidRDefault="00000000" w:rsidRPr="00000000" w14:paraId="0000064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MOREIRA, Vitória Sacramento. </w:t>
      </w:r>
      <w:r w:rsidDel="00000000" w:rsidR="00000000" w:rsidRPr="00000000">
        <w:rPr>
          <w:rFonts w:ascii="Times New Roman" w:cs="Times New Roman" w:eastAsia="Times New Roman" w:hAnsi="Times New Roman"/>
          <w:b w:val="1"/>
          <w:sz w:val="24"/>
          <w:szCs w:val="24"/>
          <w:rtl w:val="0"/>
        </w:rPr>
        <w:t xml:space="preserve">Migrações Femininas e a Nova Lei de Migrações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Uma análise sobre a ausência da perspectiva de gênero na nova lei</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UFBA. Vol 04, N. 04 - Out. 2017. p. 61. Disponível em:  &lt;</w:t>
      </w:r>
      <w:hyperlink r:id="rId102">
        <w:r w:rsidDel="00000000" w:rsidR="00000000" w:rsidRPr="00000000">
          <w:rPr>
            <w:rFonts w:ascii="Times New Roman" w:cs="Times New Roman" w:eastAsia="Times New Roman" w:hAnsi="Times New Roman"/>
            <w:sz w:val="24"/>
            <w:szCs w:val="24"/>
            <w:u w:val="single"/>
            <w:rtl w:val="0"/>
          </w:rPr>
          <w:t xml:space="preserve">https://portalseer.ufba.br/index.php/cadgendiv</w:t>
        </w:r>
      </w:hyperlink>
      <w:r w:rsidDel="00000000" w:rsidR="00000000" w:rsidRPr="00000000">
        <w:rPr>
          <w:rFonts w:ascii="Times New Roman" w:cs="Times New Roman" w:eastAsia="Times New Roman" w:hAnsi="Times New Roman"/>
          <w:sz w:val="24"/>
          <w:szCs w:val="24"/>
          <w:rtl w:val="0"/>
        </w:rPr>
        <w:t xml:space="preserve">&gt;. Acesso em: 28 abr. 2022</w:t>
      </w:r>
    </w:p>
    <w:p w:rsidR="00000000" w:rsidDel="00000000" w:rsidP="00000000" w:rsidRDefault="00000000" w:rsidRPr="00000000" w14:paraId="0000064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Antonio Tadeu Ribeiro de. </w:t>
      </w:r>
      <w:r w:rsidDel="00000000" w:rsidR="00000000" w:rsidRPr="00000000">
        <w:rPr>
          <w:rFonts w:ascii="Times New Roman" w:cs="Times New Roman" w:eastAsia="Times New Roman" w:hAnsi="Times New Roman"/>
          <w:b w:val="1"/>
          <w:sz w:val="24"/>
          <w:szCs w:val="24"/>
          <w:rtl w:val="0"/>
        </w:rPr>
        <w:t xml:space="preserve">Nova lei brasileira de migração: avanços, desafios e ameaças</w:t>
      </w:r>
      <w:r w:rsidDel="00000000" w:rsidR="00000000" w:rsidRPr="00000000">
        <w:rPr>
          <w:rFonts w:ascii="Times New Roman" w:cs="Times New Roman" w:eastAsia="Times New Roman" w:hAnsi="Times New Roman"/>
          <w:sz w:val="24"/>
          <w:szCs w:val="24"/>
          <w:rtl w:val="0"/>
        </w:rPr>
        <w:t xml:space="preserve">. Revista Brasileira de Estudos de População, 34(1) p. 171-179, 2017. Disponível em: &lt;</w:t>
      </w:r>
      <w:hyperlink r:id="rId103">
        <w:r w:rsidDel="00000000" w:rsidR="00000000" w:rsidRPr="00000000">
          <w:rPr>
            <w:rFonts w:ascii="Times New Roman" w:cs="Times New Roman" w:eastAsia="Times New Roman" w:hAnsi="Times New Roman"/>
            <w:sz w:val="24"/>
            <w:szCs w:val="24"/>
            <w:u w:val="single"/>
            <w:rtl w:val="0"/>
          </w:rPr>
          <w:t xml:space="preserve">https://doi.org/10.20947/S0102-3098a0010</w:t>
        </w:r>
      </w:hyperlink>
      <w:r w:rsidDel="00000000" w:rsidR="00000000" w:rsidRPr="00000000">
        <w:rPr>
          <w:rFonts w:ascii="Times New Roman" w:cs="Times New Roman" w:eastAsia="Times New Roman" w:hAnsi="Times New Roman"/>
          <w:sz w:val="24"/>
          <w:szCs w:val="24"/>
          <w:rtl w:val="0"/>
        </w:rPr>
        <w:t xml:space="preserve">&gt;. Acesso em: 03 set 2022</w:t>
      </w:r>
    </w:p>
    <w:p w:rsidR="00000000" w:rsidDel="00000000" w:rsidP="00000000" w:rsidRDefault="00000000" w:rsidRPr="00000000" w14:paraId="0000065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PEÇANHA, Carolina Becker; ROSABONI, Karen Carvalho; FERNANDES, Maria Eduarda De’Carli Santos Moury. </w:t>
      </w:r>
      <w:r w:rsidDel="00000000" w:rsidR="00000000" w:rsidRPr="00000000">
        <w:rPr>
          <w:rFonts w:ascii="Times New Roman" w:cs="Times New Roman" w:eastAsia="Times New Roman" w:hAnsi="Times New Roman"/>
          <w:b w:val="1"/>
          <w:sz w:val="24"/>
          <w:szCs w:val="24"/>
          <w:rtl w:val="0"/>
        </w:rPr>
        <w:t xml:space="preserve">Mulheres venezuelanas no estado de Roraima:</w:t>
      </w:r>
      <w:r w:rsidDel="00000000" w:rsidR="00000000" w:rsidRPr="00000000">
        <w:rPr>
          <w:rFonts w:ascii="Times New Roman" w:cs="Times New Roman" w:eastAsia="Times New Roman" w:hAnsi="Times New Roman"/>
          <w:sz w:val="24"/>
          <w:szCs w:val="24"/>
          <w:rtl w:val="0"/>
        </w:rPr>
        <w:t xml:space="preserve"> desafios de proteção diante da necessidade de políticas públicas interseccionais. UEPG Appl. Soc. Sci., Ponta Grossa, 26 (1): 89-96, jan./abr. 2018.</w:t>
      </w:r>
    </w:p>
    <w:p w:rsidR="00000000" w:rsidDel="00000000" w:rsidP="00000000" w:rsidRDefault="00000000" w:rsidRPr="00000000" w14:paraId="0000065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PEREIRA, Bruna Cristina Jaquetto. </w:t>
      </w:r>
      <w:r w:rsidDel="00000000" w:rsidR="00000000" w:rsidRPr="00000000">
        <w:rPr>
          <w:rFonts w:ascii="Times New Roman" w:cs="Times New Roman" w:eastAsia="Times New Roman" w:hAnsi="Times New Roman"/>
          <w:b w:val="1"/>
          <w:sz w:val="24"/>
          <w:szCs w:val="24"/>
          <w:rtl w:val="0"/>
        </w:rPr>
        <w:t xml:space="preserve">Sobre usos e possibilidades da interseccionalidade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Dossiê: Interseccionalidades, Direitos e Políticas. Civitas, Rev. Ciênc. Soc. 21 (3). Sep-Dec 2021</w:t>
      </w:r>
    </w:p>
    <w:p w:rsidR="00000000" w:rsidDel="00000000" w:rsidP="00000000" w:rsidRDefault="00000000" w:rsidRPr="00000000" w14:paraId="0000065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Lucas Odilon dos Anjos Noel da. </w:t>
      </w:r>
      <w:r w:rsidDel="00000000" w:rsidR="00000000" w:rsidRPr="00000000">
        <w:rPr>
          <w:rFonts w:ascii="Times New Roman" w:cs="Times New Roman" w:eastAsia="Times New Roman" w:hAnsi="Times New Roman"/>
          <w:b w:val="1"/>
          <w:sz w:val="24"/>
          <w:szCs w:val="24"/>
          <w:rtl w:val="0"/>
        </w:rPr>
        <w:t xml:space="preserve">Fazer “parcerias”, atuar em “rede”</w:t>
      </w:r>
      <w:r w:rsidDel="00000000" w:rsidR="00000000" w:rsidRPr="00000000">
        <w:rPr>
          <w:rFonts w:ascii="Times New Roman" w:cs="Times New Roman" w:eastAsia="Times New Roman" w:hAnsi="Times New Roman"/>
          <w:sz w:val="24"/>
          <w:szCs w:val="24"/>
          <w:rtl w:val="0"/>
        </w:rPr>
        <w:t xml:space="preserve">: uma etnografia de práticas de poder a partir. Dissertação de mestrado. Universidade Federal do Rio de Janeiro, UFRJ. 2020. p. 183</w:t>
      </w:r>
    </w:p>
    <w:p w:rsidR="00000000" w:rsidDel="00000000" w:rsidP="00000000" w:rsidRDefault="00000000" w:rsidRPr="00000000" w14:paraId="000006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Isabella Traub. </w:t>
      </w:r>
      <w:r w:rsidDel="00000000" w:rsidR="00000000" w:rsidRPr="00000000">
        <w:rPr>
          <w:rFonts w:ascii="Times New Roman" w:cs="Times New Roman" w:eastAsia="Times New Roman" w:hAnsi="Times New Roman"/>
          <w:b w:val="1"/>
          <w:sz w:val="24"/>
          <w:szCs w:val="24"/>
          <w:rtl w:val="0"/>
        </w:rPr>
        <w:t xml:space="preserve">Política pública migratória:</w:t>
      </w:r>
      <w:r w:rsidDel="00000000" w:rsidR="00000000" w:rsidRPr="00000000">
        <w:rPr>
          <w:rFonts w:ascii="Times New Roman" w:cs="Times New Roman" w:eastAsia="Times New Roman" w:hAnsi="Times New Roman"/>
          <w:sz w:val="24"/>
          <w:szCs w:val="24"/>
          <w:rtl w:val="0"/>
        </w:rPr>
        <w:t xml:space="preserve"> Processos de interiorização, hospitalidade, integração, participação e democracia. Dissertação de Mestrado. Universidade Federal do Paraná, UFPR. 2020. pp. 172</w:t>
      </w:r>
    </w:p>
    <w:p w:rsidR="00000000" w:rsidDel="00000000" w:rsidP="00000000" w:rsidRDefault="00000000" w:rsidRPr="00000000" w14:paraId="000006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VULLNETARI, Julie. </w:t>
      </w:r>
      <w:r w:rsidDel="00000000" w:rsidR="00000000" w:rsidRPr="00000000">
        <w:rPr>
          <w:rFonts w:ascii="Times New Roman" w:cs="Times New Roman" w:eastAsia="Times New Roman" w:hAnsi="Times New Roman"/>
          <w:b w:val="1"/>
          <w:sz w:val="24"/>
          <w:szCs w:val="24"/>
          <w:rtl w:val="0"/>
        </w:rPr>
        <w:t xml:space="preserve">Beyond ‘choice or force’</w:t>
      </w:r>
      <w:r w:rsidDel="00000000" w:rsidR="00000000" w:rsidRPr="00000000">
        <w:rPr>
          <w:rFonts w:ascii="Times New Roman" w:cs="Times New Roman" w:eastAsia="Times New Roman" w:hAnsi="Times New Roman"/>
          <w:sz w:val="24"/>
          <w:szCs w:val="24"/>
          <w:rtl w:val="0"/>
        </w:rPr>
        <w:t xml:space="preserve">: Roma mobility in Albania and the mixed migration paradigm. Journal of  Ethnic and  Migration  Studies, 38(8), pp. 1305–1325. 2012.</w:t>
      </w:r>
    </w:p>
    <w:p w:rsidR="00000000" w:rsidDel="00000000" w:rsidP="00000000" w:rsidRDefault="00000000" w:rsidRPr="00000000" w14:paraId="000006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ZETTER,  Roger.  </w:t>
      </w:r>
      <w:r w:rsidDel="00000000" w:rsidR="00000000" w:rsidRPr="00000000">
        <w:rPr>
          <w:rFonts w:ascii="Times New Roman" w:cs="Times New Roman" w:eastAsia="Times New Roman" w:hAnsi="Times New Roman"/>
          <w:i w:val="1"/>
          <w:sz w:val="24"/>
          <w:szCs w:val="24"/>
          <w:rtl w:val="0"/>
        </w:rPr>
        <w:t xml:space="preserve">Labeling Refugees</w:t>
      </w:r>
      <w:r w:rsidDel="00000000" w:rsidR="00000000" w:rsidRPr="00000000">
        <w:rPr>
          <w:rFonts w:ascii="Times New Roman" w:cs="Times New Roman" w:eastAsia="Times New Roman" w:hAnsi="Times New Roman"/>
          <w:sz w:val="24"/>
          <w:szCs w:val="24"/>
          <w:rtl w:val="0"/>
        </w:rPr>
        <w:t xml:space="preserve">:  Forming and transforming a bureaucratic identity. Journal of Refugee Studies, 4(1), pp. 39-62. 1991.</w:t>
      </w:r>
    </w:p>
    <w:p w:rsidR="00000000" w:rsidDel="00000000" w:rsidP="00000000" w:rsidRDefault="00000000" w:rsidRPr="00000000" w14:paraId="000006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Cícero Gabriel dos; SIMINI, Danilo Garnica. </w:t>
      </w:r>
      <w:r w:rsidDel="00000000" w:rsidR="00000000" w:rsidRPr="00000000">
        <w:rPr>
          <w:rFonts w:ascii="Times New Roman" w:cs="Times New Roman" w:eastAsia="Times New Roman" w:hAnsi="Times New Roman"/>
          <w:b w:val="1"/>
          <w:sz w:val="24"/>
          <w:szCs w:val="24"/>
          <w:rtl w:val="0"/>
        </w:rPr>
        <w:t xml:space="preserve">A garantia do direito de acesso à justiça aos refugiados por meio da atuação da Defensoria Pública da União</w:t>
      </w:r>
      <w:r w:rsidDel="00000000" w:rsidR="00000000" w:rsidRPr="00000000">
        <w:rPr>
          <w:rFonts w:ascii="Times New Roman" w:cs="Times New Roman" w:eastAsia="Times New Roman" w:hAnsi="Times New Roman"/>
          <w:sz w:val="24"/>
          <w:szCs w:val="24"/>
          <w:rtl w:val="0"/>
        </w:rPr>
        <w:t xml:space="preserve">. Revista da Defensoria Pública da União, v. 18, p. 1-254, jul./dez. 2022. ISSN 1984-0322 (impresso) e-ISSN 2448-4555 (on-line). Brasília, DF.</w:t>
      </w:r>
    </w:p>
    <w:p w:rsidR="00000000" w:rsidDel="00000000" w:rsidP="00000000" w:rsidRDefault="00000000" w:rsidRPr="00000000" w14:paraId="0000065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CAPPELETTI, Mauro; GARTH, Bryant.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Acesso à Justiça</w:t>
      </w:r>
      <w:r w:rsidDel="00000000" w:rsidR="00000000" w:rsidRPr="00000000">
        <w:rPr>
          <w:rFonts w:ascii="Times New Roman" w:cs="Times New Roman" w:eastAsia="Times New Roman" w:hAnsi="Times New Roman"/>
          <w:sz w:val="24"/>
          <w:szCs w:val="24"/>
          <w:rtl w:val="0"/>
        </w:rPr>
        <w:t xml:space="preserve">. Porto Alegre: Sergio Antônio Fabris Editor, 1988</w:t>
      </w:r>
    </w:p>
    <w:p w:rsidR="00000000" w:rsidDel="00000000" w:rsidP="00000000" w:rsidRDefault="00000000" w:rsidRPr="00000000" w14:paraId="0000065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MINISTÉRIO DA JUSTIÇA. </w:t>
      </w:r>
      <w:r w:rsidDel="00000000" w:rsidR="00000000" w:rsidRPr="00000000">
        <w:rPr>
          <w:rFonts w:ascii="Times New Roman" w:cs="Times New Roman" w:eastAsia="Times New Roman" w:hAnsi="Times New Roman"/>
          <w:b w:val="1"/>
          <w:sz w:val="24"/>
          <w:szCs w:val="24"/>
          <w:rtl w:val="0"/>
        </w:rPr>
        <w:t xml:space="preserve">Migrantes, Apátridas e Refugiados: subsídios para o aperfeiçoamento de acesso a serviços, direitos e políticas públicas no Brasil</w:t>
      </w:r>
      <w:r w:rsidDel="00000000" w:rsidR="00000000" w:rsidRPr="00000000">
        <w:rPr>
          <w:rFonts w:ascii="Times New Roman" w:cs="Times New Roman" w:eastAsia="Times New Roman" w:hAnsi="Times New Roman"/>
          <w:sz w:val="24"/>
          <w:szCs w:val="24"/>
          <w:rtl w:val="0"/>
        </w:rPr>
        <w:t xml:space="preserve">. Série Pensando o Direito, nº 57, Brasília, 2015. </w:t>
      </w:r>
    </w:p>
    <w:p w:rsidR="00000000" w:rsidDel="00000000" w:rsidP="00000000" w:rsidRDefault="00000000" w:rsidRPr="00000000" w14:paraId="0000066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FEDERICI, Silvia. Globalização e reprodução social. In: </w:t>
      </w:r>
      <w:r w:rsidDel="00000000" w:rsidR="00000000" w:rsidRPr="00000000">
        <w:rPr>
          <w:rFonts w:ascii="Times New Roman" w:cs="Times New Roman" w:eastAsia="Times New Roman" w:hAnsi="Times New Roman"/>
          <w:b w:val="1"/>
          <w:sz w:val="24"/>
          <w:szCs w:val="24"/>
          <w:rtl w:val="0"/>
        </w:rPr>
        <w:t xml:space="preserve">O ponto zero da revolução</w:t>
      </w:r>
      <w:r w:rsidDel="00000000" w:rsidR="00000000" w:rsidRPr="00000000">
        <w:rPr>
          <w:rFonts w:ascii="Times New Roman" w:cs="Times New Roman" w:eastAsia="Times New Roman" w:hAnsi="Times New Roman"/>
          <w:sz w:val="24"/>
          <w:szCs w:val="24"/>
          <w:rtl w:val="0"/>
        </w:rPr>
        <w:t xml:space="preserve">, tradução Coletivo Sycorax, editora Elefante, 2019. p.133-234.</w:t>
      </w:r>
    </w:p>
    <w:p w:rsidR="00000000" w:rsidDel="00000000" w:rsidP="00000000" w:rsidRDefault="00000000" w:rsidRPr="00000000" w14:paraId="0000066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FERNANDES, Ulisses S.; RAMOS, Edgar de Almeida Rios. </w:t>
      </w:r>
      <w:r w:rsidDel="00000000" w:rsidR="00000000" w:rsidRPr="00000000">
        <w:rPr>
          <w:rFonts w:ascii="Times New Roman" w:cs="Times New Roman" w:eastAsia="Times New Roman" w:hAnsi="Times New Roman"/>
          <w:b w:val="1"/>
          <w:sz w:val="24"/>
          <w:szCs w:val="24"/>
          <w:rtl w:val="0"/>
        </w:rPr>
        <w:t xml:space="preserve">As territorialidades dos trabalhadores refugiados na cidade do Rio de Janeiro: o trabalho dos vendedores ambulantes nas praias cariocas e das costureiras do projeto “Mulheres do Sul Global”</w:t>
      </w:r>
      <w:r w:rsidDel="00000000" w:rsidR="00000000" w:rsidRPr="00000000">
        <w:rPr>
          <w:rFonts w:ascii="Times New Roman" w:cs="Times New Roman" w:eastAsia="Times New Roman" w:hAnsi="Times New Roman"/>
          <w:sz w:val="24"/>
          <w:szCs w:val="24"/>
          <w:rtl w:val="0"/>
        </w:rPr>
        <w:t xml:space="preserve">. In: FUSCO, Wilson; MYRRHA, Luana Junqueira Dias; JESUS, Jordana Cristina de (Org.). Migração, trabalho e gênero: textos selecionados. Belo Horizonte, MG: ABEP, 2021. p. 747.</w:t>
      </w:r>
    </w:p>
    <w:p w:rsidR="00000000" w:rsidDel="00000000" w:rsidP="00000000" w:rsidRDefault="00000000" w:rsidRPr="00000000" w14:paraId="0000066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TONHATI, Tânia.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Migração e gênero: a inserção laboral das mulheres imigrantes e refugiadas no brasil e os impactos da pandemia de Covid-19</w:t>
      </w:r>
      <w:r w:rsidDel="00000000" w:rsidR="00000000" w:rsidRPr="00000000">
        <w:rPr>
          <w:rFonts w:ascii="Times New Roman" w:cs="Times New Roman" w:eastAsia="Times New Roman" w:hAnsi="Times New Roman"/>
          <w:sz w:val="24"/>
          <w:szCs w:val="24"/>
          <w:rtl w:val="0"/>
        </w:rPr>
        <w:t xml:space="preserve">. Abep. Anais do Encontro Nacional sobre Migrações, Trabalho e Gênero, 2022.</w:t>
      </w:r>
    </w:p>
    <w:p w:rsidR="00000000" w:rsidDel="00000000" w:rsidP="00000000" w:rsidRDefault="00000000" w:rsidRPr="00000000" w14:paraId="0000066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8">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RACISMO RELIGIOSO E ENCARCERAMENTO: BREVES REFLEXÕES</w:t>
      </w:r>
    </w:p>
    <w:p w:rsidR="00000000" w:rsidDel="00000000" w:rsidP="00000000" w:rsidRDefault="00000000" w:rsidRPr="00000000" w14:paraId="00000669">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Catarina Souza da Silva</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tl w:val="0"/>
        </w:rPr>
      </w:r>
    </w:p>
    <w:p w:rsidR="00000000" w:rsidDel="00000000" w:rsidP="00000000" w:rsidRDefault="00000000" w:rsidRPr="00000000" w14:paraId="0000066A">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6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66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66D">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A proposta de pesquisa nasceu do interesse em explorar a relação entre o racismo religioso e o sistema carcerário, sobretudo feminino, após obter informações, por meio da ONG Elas Existem – Mulheres Encarceradas</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Fonts w:ascii="Times New Roman" w:cs="Times New Roman" w:eastAsia="Times New Roman" w:hAnsi="Times New Roman"/>
          <w:sz w:val="24"/>
          <w:szCs w:val="24"/>
          <w:rtl w:val="0"/>
        </w:rPr>
        <w:t xml:space="preserve">, de que somente uma mulher adepta de religião de matriz africana adentra o sistema prisional do Estado do Rio de Janeiro. Essa informação também foi veiculada, por meio da matéria publicada no portal de notícias da Globo – G1 –, no dia 19 de novembro de 2020, com a manchete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“RJ tem apenas uma mãe de santo autorizada a entrar em presídios: ‘a cadeia reproduz o preconceito da sociedade’”. A referida mulher presta assistência religiosa às detentas da penitenciária Talavera Bruce, localizada no Complexo de Gericinó, em Bangu, bairro da Zona Oeste carioca</w:t>
      </w:r>
      <w:r w:rsidDel="00000000" w:rsidR="00000000" w:rsidRPr="00000000">
        <w:rPr>
          <w:rFonts w:ascii="Times New Roman" w:cs="Times New Roman" w:eastAsia="Times New Roman" w:hAnsi="Times New Roman"/>
          <w:color w:val="351c75"/>
          <w:sz w:val="24"/>
          <w:szCs w:val="24"/>
          <w:rtl w:val="0"/>
        </w:rPr>
        <w:t xml:space="preserve">.</w:t>
      </w:r>
      <w:r w:rsidDel="00000000" w:rsidR="00000000" w:rsidRPr="00000000">
        <w:rPr>
          <w:rFonts w:ascii="Times New Roman" w:cs="Times New Roman" w:eastAsia="Times New Roman" w:hAnsi="Times New Roman"/>
          <w:b w:val="1"/>
          <w:color w:val="351c75"/>
          <w:sz w:val="24"/>
          <w:szCs w:val="24"/>
          <w:rtl w:val="0"/>
        </w:rPr>
        <w:t xml:space="preserve"> </w:t>
      </w:r>
      <w:r w:rsidDel="00000000" w:rsidR="00000000" w:rsidRPr="00000000">
        <w:rPr>
          <w:rtl w:val="0"/>
        </w:rPr>
      </w:r>
    </w:p>
    <w:p w:rsidR="00000000" w:rsidDel="00000000" w:rsidP="00000000" w:rsidRDefault="00000000" w:rsidRPr="00000000" w14:paraId="0000066E">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A partir disso, surgiram algumas inquietações, tendo em vista que as igrejas, principalmente, as evangélicas estão crescendo vertiginosamente dentro do sistema carcerário. Todavia, não se verifica tal aumento em relação às religiões afro, ao contrário, há uma vedação velada à entrada dessa religião nos presídios. Entre as inquietações surgidas, há estas:</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por que os neopentecostais se interessam pela assistência religiosa prisional e como eles concorrem na agenda da política penitenciária? Os pressupostos constitucionais de igualdade e liberdade religiosa perpetrados estão sendo observados? Por qual motivo as religiões de matriz africana possuem dificuldade para entrar nos presídios? Podemos interligar a questão do poder econômico dos neopentecostais em detrimento da falta de recursos das religiões afro e o racismo estrutural? Esse proselitismo religioso afeta a vida das detentas que são, em sua maioria, mulheres negras e pobres? </w:t>
      </w:r>
      <w:r w:rsidDel="00000000" w:rsidR="00000000" w:rsidRPr="00000000">
        <w:rPr>
          <w:rtl w:val="0"/>
        </w:rPr>
      </w:r>
    </w:p>
    <w:p w:rsidR="00000000" w:rsidDel="00000000" w:rsidP="00000000" w:rsidRDefault="00000000" w:rsidRPr="00000000" w14:paraId="0000066F">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131313"/>
          <w:sz w:val="24"/>
          <w:szCs w:val="24"/>
          <w:highlight w:val="white"/>
        </w:rPr>
      </w:pPr>
      <w:r w:rsidDel="00000000" w:rsidR="00000000" w:rsidRPr="00000000">
        <w:rPr>
          <w:rFonts w:ascii="Times New Roman" w:cs="Times New Roman" w:eastAsia="Times New Roman" w:hAnsi="Times New Roman"/>
          <w:sz w:val="24"/>
          <w:szCs w:val="24"/>
          <w:rtl w:val="0"/>
        </w:rPr>
        <w:t xml:space="preserve">Observa-se, nas últimas décadas, o crescimento vertiginoso das religiões, principalmente, evangélicas, na política e nos demais espaços de poder – uma estratégia de disseminação dos valores da religião em dissonância com o princípio da laicidade do Estado.  De acordo com o site Congresso em Foco</w:t>
      </w:r>
      <w:r w:rsidDel="00000000" w:rsidR="00000000" w:rsidRPr="00000000">
        <w:rPr>
          <w:rFonts w:ascii="Times New Roman" w:cs="Times New Roman" w:eastAsia="Times New Roman" w:hAnsi="Times New Roman"/>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 xml:space="preserve">, atualmente, os evangélicos correspondem a 20% da bancada do Congresso Nacional, que corresponde a ampliação desse grupo no cenário político nacional com uma representação combativa, associada a desconstrução da proteção dos direitos humanos. </w:t>
      </w:r>
      <w:r w:rsidDel="00000000" w:rsidR="00000000" w:rsidRPr="00000000">
        <w:rPr>
          <w:rtl w:val="0"/>
        </w:rPr>
      </w:r>
    </w:p>
    <w:p w:rsidR="00000000" w:rsidDel="00000000" w:rsidP="00000000" w:rsidRDefault="00000000" w:rsidRPr="00000000" w14:paraId="00000670">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avanço dos evangélicos é observado, também, no sistema prisional, ganhando espaço e protagonismo por meio da assistência religiosa, que é direito de toda pessoa presa, fundamentada nas garantias constitucionais dispostas no art. 5º, inc VI e VII, da Constituição Federal</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(BRASIL, 1988). Essa garantia constitucional também foi normatizada na Lei de Execução Penal (LEP), em seu artigo 11 e 24, os quais elencam, respectivamente, a assistência religiosa como uma das seis assistências basilares previstas às pessoas privadas de liberdade, bem como os requisitos mínimos para a prestação dessa assistência (BRASIL, 2011).</w:t>
      </w:r>
    </w:p>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Segundo a pesquisadora Ellen Soares Santos (2022, p. 85), observa-se no sistema prisional fluminense, até o ano de 2012, uma presença expressiva das igrejas evangélicas correspondendo a 79%, a católica a 8% e a umbanda, com uma representação ínfima, de apenas 1%. Esses dados compõem o “Mapa da Diversidade Religiosa no sistema Penitenciário”, conforme a pesquisa realizada pelo Departamento de Assistência Religiosa da Secretaria de Estado de Administração Penitenciária – SEAP/RJ –, no ano de 2012.</w:t>
      </w:r>
      <w:r w:rsidDel="00000000" w:rsidR="00000000" w:rsidRPr="00000000">
        <w:rPr>
          <w:rtl w:val="0"/>
        </w:rPr>
      </w:r>
    </w:p>
    <w:p w:rsidR="00000000" w:rsidDel="00000000" w:rsidP="00000000" w:rsidRDefault="00000000" w:rsidRPr="00000000" w14:paraId="00000672">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no referido estudo de Ellen Soares Santos (2022, p. 127), nota-se que entre o ano de 2015 e 2016, foi possível observar uma interação do segmento religioso ligado à Igreja Universal do Reino de Deus (IURD) com as instâncias de maior decisão na SEAP/RJ. No ano de 2017, a IURD possuía dois templos religiosos no espaço prisional, no entanto existe um projeto suntuoso de grande alcance para a construção de mais 43 templos. A pesquisa pontuou que as construções são financiadas com recursos próprios da denominação religiosa, o que explicita o proselitismo do grupo neopentecostal.   </w:t>
      </w:r>
    </w:p>
    <w:p w:rsidR="00000000" w:rsidDel="00000000" w:rsidP="00000000" w:rsidRDefault="00000000" w:rsidRPr="00000000" w14:paraId="00000673">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Faz-se necessário aprofundar a discussão a respeito do racismo religioso, estrutural e institucional, sobretudo, no espaço prisional fluminense, assim como discutir urgentemente as opressões enfrentadas pelas mulheres negras, a partir das especificidades de gênero, raça, classe e território. Pois, falar sobre mulheres encarceradas é falar sobre mulheres negras. De acordo com o Instituto Terra, Trabalho e Cidadania (ITTC)</w:t>
      </w:r>
      <w:r w:rsidDel="00000000" w:rsidR="00000000" w:rsidRPr="00000000">
        <w:rPr>
          <w:rFonts w:ascii="Times New Roman" w:cs="Times New Roman" w:eastAsia="Times New Roman" w:hAnsi="Times New Roman"/>
          <w:sz w:val="24"/>
          <w:szCs w:val="24"/>
          <w:vertAlign w:val="superscript"/>
        </w:rPr>
        <w:footnoteReference w:customMarkFollows="0" w:id="77"/>
      </w:r>
      <w:r w:rsidDel="00000000" w:rsidR="00000000" w:rsidRPr="00000000">
        <w:rPr>
          <w:rFonts w:ascii="Times New Roman" w:cs="Times New Roman" w:eastAsia="Times New Roman" w:hAnsi="Times New Roman"/>
          <w:sz w:val="24"/>
          <w:szCs w:val="24"/>
          <w:rtl w:val="0"/>
        </w:rPr>
        <w:t xml:space="preserve">, aproximadamente 34 mil mulheres vivem atrás das grades, 68% dessas mulheres são negras e 50% delas possuem somente o ensino fundamental, não possuem antecedentes criminais e trabalham em pequenas atividades do varejo do tráfico e do transporte nacional e internacional de drogas. </w:t>
      </w:r>
    </w:p>
    <w:p w:rsidR="00000000" w:rsidDel="00000000" w:rsidP="00000000" w:rsidRDefault="00000000" w:rsidRPr="00000000" w14:paraId="00000674">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5">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 viés interseccional</w:t>
      </w:r>
    </w:p>
    <w:p w:rsidR="00000000" w:rsidDel="00000000" w:rsidP="00000000" w:rsidRDefault="00000000" w:rsidRPr="00000000" w14:paraId="00000676">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77">
      <w:pPr>
        <w:spacing w:after="0" w:line="360" w:lineRule="auto"/>
        <w:ind w:firstLine="70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Os dados anteriormente mencionados demonstram como a dinâmica do racismo estrutural se reflete no encarceramento em massa das mulheres negras, pois “o tráfico é a primeira tipificação para o encarceramento” (Borges, 2019, p. 65). Vale ressaltar que as mulheres são coadjuvantes na hierarquia do tráfico de drogas, ou seja, não exercem funções de liderança, possuem condições mais precarizadas e vulnerabilizadas. Além disso, muitas delas são chefes de família e, devido a situação de vulnerabilidade social, encontram no crime o caminho para obter remuneração, podendo, assim, proporcionar o sustento do lar. </w:t>
      </w:r>
      <w:r w:rsidDel="00000000" w:rsidR="00000000" w:rsidRPr="00000000">
        <w:rPr>
          <w:rtl w:val="0"/>
        </w:rPr>
      </w:r>
    </w:p>
    <w:p w:rsidR="00000000" w:rsidDel="00000000" w:rsidP="00000000" w:rsidRDefault="00000000" w:rsidRPr="00000000" w14:paraId="0000067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isso, a importância de pautarmos a interseccionalidade, termo cunhado pela jurista norte-americana Kimberlé Crenshaw que propõe a metáfora da intersecção para explicar como raça, etnia, gênero e classe, por vezes, são eixos de poder distintos e mutuamente excludentes.  Sua definição sobre o termo é a seguinte:</w:t>
      </w:r>
    </w:p>
    <w:p w:rsidR="00000000" w:rsidDel="00000000" w:rsidP="00000000" w:rsidRDefault="00000000" w:rsidRPr="00000000" w14:paraId="00000679">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interseccionalidade é uma conceituação do problema que busca capturar as </w:t>
      </w:r>
      <w:r w:rsidDel="00000000" w:rsidR="00000000" w:rsidRPr="00000000">
        <w:rPr>
          <w:rFonts w:ascii="Times New Roman" w:cs="Times New Roman" w:eastAsia="Times New Roman" w:hAnsi="Times New Roman"/>
          <w:sz w:val="20"/>
          <w:szCs w:val="20"/>
          <w:rtl w:val="0"/>
        </w:rPr>
        <w:t xml:space="preserve">consequências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estruturais e dinâmicas da interação entre dois ou mais eixos da subordinação. Ela trata especificamente da forma pela qual o racismo, o patriarcalismo, a opressão de classe e outros sistemas discriminatórios criam desigualdades básicas que estruturam as posições relativas de mulheres, raças, etnias, classes e outras. (Crenshaw, 2002. p. 7)</w:t>
      </w:r>
    </w:p>
    <w:p w:rsidR="00000000" w:rsidDel="00000000" w:rsidP="00000000" w:rsidRDefault="00000000" w:rsidRPr="00000000" w14:paraId="0000067B">
      <w:pPr>
        <w:spacing w:after="0" w:line="360" w:lineRule="auto"/>
        <w:ind w:left="22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C">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perceptível que todas essas opressões atravessam as vidas das mulheres negras, principalmente, quando estão no espaço prisional, uma vez que são invisibilizadas aos olhos da sociedade e do Estado. Nas palavras de Gonzalez (1984, p. 224), “o racismo é uma neurose cultural brasileira” e a prisão obedece a um crivo classista, racista, sexista e machista que produz efeitos perversos sobre as mulheres negras e suas famílias. </w:t>
      </w:r>
    </w:p>
    <w:p w:rsidR="00000000" w:rsidDel="00000000" w:rsidP="00000000" w:rsidRDefault="00000000" w:rsidRPr="00000000" w14:paraId="0000067D">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perspectiva de invisibilização social da mulher negra se mostra evidente. São reforçados os estereótipos que fazem com que tais corpos sejam inferiorizados a ponto de sofrerem diversas violências e serem submetidos ao contínuo desrespeito aos direitos humanos no espaço prisional. Nesse sentido, Jurema Werneck aprofunda a análise a respeito desta grave invisibilidade:</w:t>
      </w:r>
    </w:p>
    <w:p w:rsidR="00000000" w:rsidDel="00000000" w:rsidP="00000000" w:rsidRDefault="00000000" w:rsidRPr="00000000" w14:paraId="0000067E">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mulheres negras não existem. Ou falando de outra forma: as mulheres negras, como sujeitos identitários e políticos, são resultado de uma articulação de heterogeneidades, resultante de demandas históricas, políticas, culturais, de enfrentamento das condições adversas estabelecidas pela dominação ocidental eurocêntrica ao longo dos séculos de escravidão, expropriação colonial e da modernidade racializada e racista em que vivemos. (Werneck, 2010, p. 7)</w:t>
      </w:r>
    </w:p>
    <w:p w:rsidR="00000000" w:rsidDel="00000000" w:rsidP="00000000" w:rsidRDefault="00000000" w:rsidRPr="00000000" w14:paraId="0000068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Tratar do racismo estrutural e institucional é compreender a construção do racismo, como se apresenta, através de uma análise realizada desde o período escravocrata até os dias atuais. É necessário traçar um panorama com a política de “guerra às drogas” que justifica a invasão das comunidades, provocadas por incursões policiais violentas. As investidas deixam marcas de bala, não só nas paredes, mas também nos corpos de pessoas pretas e estão diretamente relacionadas com o assassinato e encarceramento das mulheres negras, pobres e periféricas, conforme esclarece a autora Djamila Ribeiro, no livro “Pequeno Manual Antirracista”:</w:t>
      </w:r>
    </w:p>
    <w:p w:rsidR="00000000" w:rsidDel="00000000" w:rsidP="00000000" w:rsidRDefault="00000000" w:rsidRPr="00000000" w14:paraId="0000068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É fundamental trazer a perspectiva histórica e começar pela relação entre escravidão e racismo, mapeando suas consequências. Deve-se pensar como esse sistema vem beneficiando economicamente por toda a história a população branca, ao passo que a negra, tratada como mercadoria, não teve acesso a direitos básicos e à distribuição de riquezas. (Ribeiro, 2019, p. 6) </w:t>
      </w:r>
    </w:p>
    <w:p w:rsidR="00000000" w:rsidDel="00000000" w:rsidP="00000000" w:rsidRDefault="00000000" w:rsidRPr="00000000" w14:paraId="00000684">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5">
      <w:pPr>
        <w:spacing w:after="0" w:line="360" w:lineRule="auto"/>
        <w:ind w:firstLine="708"/>
        <w:jc w:val="both"/>
        <w:rPr>
          <w:rFonts w:ascii="Times New Roman" w:cs="Times New Roman" w:eastAsia="Times New Roman" w:hAnsi="Times New Roman"/>
          <w:color w:val="cc0000"/>
          <w:sz w:val="24"/>
          <w:szCs w:val="24"/>
        </w:rPr>
      </w:pPr>
      <w:r w:rsidDel="00000000" w:rsidR="00000000" w:rsidRPr="00000000">
        <w:rPr>
          <w:rFonts w:ascii="Times New Roman" w:cs="Times New Roman" w:eastAsia="Times New Roman" w:hAnsi="Times New Roman"/>
          <w:sz w:val="24"/>
          <w:szCs w:val="24"/>
          <w:rtl w:val="0"/>
        </w:rPr>
        <w:t xml:space="preserve">Podemos afirmar que a “guerra às drogas” e a seletividade do sistema de justiça criminal contribui, significativamente, para a prisão de mulheres, pois, na verdade, segundo Borges (2019, p. 69), “abre uma era de criminalização, militarização e punitivismo sem precedentes", colaborando para a manutenção da desigualdade no nosso país. Para Almeida (2019, p. 31), “as instituições são apenas a materialização de uma estrutura social ou de um modo de socialização que tem o racismo como um de seus componentes orgânicos. Dito de modo mais direto: as instituições são racistas porque a sociedade é racista”. As instituições apenas espelham esse aspecto.</w:t>
      </w:r>
      <w:r w:rsidDel="00000000" w:rsidR="00000000" w:rsidRPr="00000000">
        <w:rPr>
          <w:rtl w:val="0"/>
        </w:rPr>
      </w:r>
    </w:p>
    <w:p w:rsidR="00000000" w:rsidDel="00000000" w:rsidP="00000000" w:rsidRDefault="00000000" w:rsidRPr="00000000" w14:paraId="00000686">
      <w:pPr>
        <w:spacing w:after="0" w:line="360" w:lineRule="auto"/>
        <w:ind w:firstLine="708"/>
        <w:jc w:val="both"/>
        <w:rPr>
          <w:rFonts w:ascii="Times New Roman" w:cs="Times New Roman" w:eastAsia="Times New Roman" w:hAnsi="Times New Roman"/>
          <w:b w:val="1"/>
          <w:color w:val="351c75"/>
          <w:sz w:val="24"/>
          <w:szCs w:val="24"/>
        </w:rPr>
      </w:pPr>
      <w:r w:rsidDel="00000000" w:rsidR="00000000" w:rsidRPr="00000000">
        <w:rPr>
          <w:rFonts w:ascii="Times New Roman" w:cs="Times New Roman" w:eastAsia="Times New Roman" w:hAnsi="Times New Roman"/>
          <w:sz w:val="24"/>
          <w:szCs w:val="24"/>
          <w:rtl w:val="0"/>
        </w:rPr>
        <w:t xml:space="preserve">Essa sociedade, racista e sexista, tem levado milhares de mulheres negras ao sistema prisional, razão pela qual é fundamental a discussão sobre o racismo estrutural e como a política de “guerra às drogas” tem violentado diretamente a vida dessas mulheres, uma vez que é uma guerra contra pessoas e territórios determinados – periferia. Conforme, salientou Ângela Davis (2018, p. 15), “a prisão se tornou um buraco negro no qual são depositados os detritos do capitalismo contemporâneo.” Diante da realidade dos fatos constata-se, portanto, que mulheres e homens negros são esses detritos, pois são a maioria no sistema prisional – o que reforça que o encarceramento tem cor. Retomando o pensamento de Davis, “o encarceramento em massa gera lucros enquanto devora a riqueza social, tendendo, dessa forma, a reproduzir justamente as condições que levam as pessoas à prisão.” (2018, p. 15). Em outras palavras, o encarceramento é um negócio.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351c75"/>
          <w:sz w:val="24"/>
          <w:szCs w:val="24"/>
          <w:rtl w:val="0"/>
        </w:rPr>
        <w:t xml:space="preserve"> </w:t>
      </w:r>
    </w:p>
    <w:p w:rsidR="00000000" w:rsidDel="00000000" w:rsidP="00000000" w:rsidRDefault="00000000" w:rsidRPr="00000000" w14:paraId="0000068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disso, é preciso pensar políticas públicas de prevenção para que essas mulheres não adentrem o espaço prisional, bem como pensar a humanização destes espaços e a reinserção social das apenadas.  </w:t>
      </w:r>
    </w:p>
    <w:p w:rsidR="00000000" w:rsidDel="00000000" w:rsidP="00000000" w:rsidRDefault="00000000" w:rsidRPr="00000000" w14:paraId="00000688">
      <w:pPr>
        <w:spacing w:after="0" w:line="360" w:lineRule="auto"/>
        <w:jc w:val="both"/>
        <w:rPr>
          <w:rFonts w:ascii="Times New Roman" w:cs="Times New Roman" w:eastAsia="Times New Roman" w:hAnsi="Times New Roman"/>
          <w:color w:val="351c75"/>
          <w:sz w:val="24"/>
          <w:szCs w:val="24"/>
        </w:rPr>
      </w:pPr>
      <w:r w:rsidDel="00000000" w:rsidR="00000000" w:rsidRPr="00000000">
        <w:rPr>
          <w:rtl w:val="0"/>
        </w:rPr>
      </w:r>
    </w:p>
    <w:p w:rsidR="00000000" w:rsidDel="00000000" w:rsidP="00000000" w:rsidRDefault="00000000" w:rsidRPr="00000000" w14:paraId="00000689">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 racismo religioso e homoafetividade</w:t>
      </w:r>
    </w:p>
    <w:p w:rsidR="00000000" w:rsidDel="00000000" w:rsidP="00000000" w:rsidRDefault="00000000" w:rsidRPr="00000000" w14:paraId="0000068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B">
      <w:pPr>
        <w:spacing w:after="0" w:line="360" w:lineRule="auto"/>
        <w:ind w:firstLine="708"/>
        <w:jc w:val="both"/>
        <w:rPr>
          <w:rFonts w:ascii="Times New Roman" w:cs="Times New Roman" w:eastAsia="Times New Roman" w:hAnsi="Times New Roman"/>
          <w:b w:val="1"/>
          <w:color w:val="980000"/>
          <w:sz w:val="24"/>
          <w:szCs w:val="24"/>
        </w:rPr>
      </w:pPr>
      <w:r w:rsidDel="00000000" w:rsidR="00000000" w:rsidRPr="00000000">
        <w:rPr>
          <w:rFonts w:ascii="Times New Roman" w:cs="Times New Roman" w:eastAsia="Times New Roman" w:hAnsi="Times New Roman"/>
          <w:sz w:val="24"/>
          <w:szCs w:val="24"/>
          <w:rtl w:val="0"/>
        </w:rPr>
        <w:t xml:space="preserve">Diante das diversas opressões sofridas pelas mulheres, principalmente, as mulheres negras, é necessário discutirmos a questão do racismo religioso no sistema prisional, no que respeita aos privilégios das religiões cristãs evangélicas e a estigmatização das religiões de matriz africana. E como se dá esse proselitismo religioso em relação a mulher negra afro-religiosa, quais as barreiras que ela encontra dentro dos presídios, ao praticar sua religião, que é sinônimo de resistência e reafirmação da população negra.</w:t>
      </w:r>
      <w:r w:rsidDel="00000000" w:rsidR="00000000" w:rsidRPr="00000000">
        <w:rPr>
          <w:rtl w:val="0"/>
        </w:rPr>
      </w:r>
    </w:p>
    <w:p w:rsidR="00000000" w:rsidDel="00000000" w:rsidP="00000000" w:rsidRDefault="00000000" w:rsidRPr="00000000" w14:paraId="0000068C">
      <w:pPr>
        <w:spacing w:after="0" w:line="360" w:lineRule="auto"/>
        <w:ind w:firstLine="705"/>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Nota-se, portanto, uma linha tênue entre o discurso religioso dentro do sistema carcerário e os limites impostos pela Constituição Federal. Os dados anteriormente mencionados demonstram que praticamente não há espaços para as religiões não pentecostais, assim como revela a inexpressiva representação das religiões afro-brasileiras nesse local. É importante destacar que a pequena representação (porém, de suma importância), no sistema prisional do Estado do Rio de Janeiro, se dá por meio da mãe Flávia Pinto, a sacerdotisa de umbanda, que presta assistência religiosa às detentas do presídio Talavera Bruce.</w:t>
      </w:r>
      <w:r w:rsidDel="00000000" w:rsidR="00000000" w:rsidRPr="00000000">
        <w:rPr>
          <w:rtl w:val="0"/>
        </w:rPr>
      </w:r>
    </w:p>
    <w:p w:rsidR="00000000" w:rsidDel="00000000" w:rsidP="00000000" w:rsidRDefault="00000000" w:rsidRPr="00000000" w14:paraId="0000068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Miranda </w:t>
      </w:r>
      <w:r w:rsidDel="00000000" w:rsidR="00000000" w:rsidRPr="00000000">
        <w:rPr>
          <w:rFonts w:ascii="Times New Roman" w:cs="Times New Roman" w:eastAsia="Times New Roman" w:hAnsi="Times New Roman"/>
          <w:i w:val="1"/>
          <w:sz w:val="24"/>
          <w:szCs w:val="24"/>
          <w:rtl w:val="0"/>
        </w:rPr>
        <w:t xml:space="preserve">et al. </w:t>
      </w:r>
      <w:r w:rsidDel="00000000" w:rsidR="00000000" w:rsidRPr="00000000">
        <w:rPr>
          <w:rFonts w:ascii="Times New Roman" w:cs="Times New Roman" w:eastAsia="Times New Roman" w:hAnsi="Times New Roman"/>
          <w:sz w:val="24"/>
          <w:szCs w:val="24"/>
          <w:rtl w:val="0"/>
        </w:rPr>
        <w:t xml:space="preserve">(2022. p. 621) no artigo: “Terreiros sob ataque? A governança criminal em nome de Deus e as disputas do domínio armado no Rio de Janeiro”, que analisa as violências cometidas por grupos armados que se apresentam como membros de igrejas pentecostais contra religiosos de matriz africana é notório que existe a “constituição de um quase-monopólio cristão-evangélico na orientação aos presos e seus familiares no interior dos complexos prisionais fluminenses”, assim como é perceptível que a assistência religiosa se traduz em objeto de disputa dentro do sistema prisional.</w:t>
      </w:r>
    </w:p>
    <w:p w:rsidR="00000000" w:rsidDel="00000000" w:rsidP="00000000" w:rsidRDefault="00000000" w:rsidRPr="00000000" w14:paraId="0000068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postura salvacionista e ideológica das igrejas evangélicas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é incutida na realidade prisional do Brasil, de um sistema penal racista, com espaços cada vez mais dedicados à população negra do país. Nessa lógica, essa parcela da população precisa professar a fé cristã, tal como eram obrigados na época da diáspora, sob a lógica do “preso convertido é preso calmo”, em nome da “boa ordem”, das “boas práticas” nas cadeias. Esse discurso religioso é utilizado até os dias atuais e é fundamental para entender o protagonismo dos evangélicos intramuros. </w:t>
      </w:r>
    </w:p>
    <w:p w:rsidR="00000000" w:rsidDel="00000000" w:rsidP="00000000" w:rsidRDefault="00000000" w:rsidRPr="00000000" w14:paraId="0000068F">
      <w:pPr>
        <w:spacing w:after="0" w:line="36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seu artigo “Ebó Criminológico: Malandragem epistêmica nos cruzos da criminologia da libertação negra”, Góes (2021, p. 16) defende que “o cristianismo é fundamental, pois determina docilidade e acatamento: aquele que obedece, isto é, que faz boa obra, não deve temer a autoridade. Produz-se assim uma confusão entre obediência e o bem, que nunca mais desaparecerá”</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contrapartida, nas religiões de matriz africana não há o discurso maniqueísta, ou seja, do bem contra o mal, não há demônio para culpabilizar. </w:t>
      </w:r>
    </w:p>
    <w:p w:rsidR="00000000" w:rsidDel="00000000" w:rsidP="00000000" w:rsidRDefault="00000000" w:rsidRPr="00000000" w14:paraId="00000690">
      <w:pPr>
        <w:spacing w:after="0" w:line="36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babalorixá Sidnei Nogueira, que é </w:t>
      </w:r>
      <w:r w:rsidDel="00000000" w:rsidR="00000000" w:rsidRPr="00000000">
        <w:rPr>
          <w:rFonts w:ascii="Times New Roman" w:cs="Times New Roman" w:eastAsia="Times New Roman" w:hAnsi="Times New Roman"/>
          <w:sz w:val="24"/>
          <w:szCs w:val="24"/>
          <w:highlight w:val="white"/>
          <w:rtl w:val="0"/>
        </w:rPr>
        <w:t xml:space="preserve">mestre e doutor em Linguística pela Universidade de São Paulo e autor da obra “Intolerância religiosa”, concedeu uma entrevista ao site Uol no ano de 2022, após a escola de samba Acadêmicos da Grande Rio ser sagrada campeã do Carnaval do Rio de Janeiro, com um enredo que exaltou Exu</w:t>
      </w:r>
      <w:r w:rsidDel="00000000" w:rsidR="00000000" w:rsidRPr="00000000">
        <w:rPr>
          <w:rFonts w:ascii="Times New Roman" w:cs="Times New Roman" w:eastAsia="Times New Roman" w:hAnsi="Times New Roman"/>
          <w:color w:val="666d7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afirmando que a perseguição contra as religiões de matriz africana é em primeiro lugar racista. O referido autor, acrescenta, ainda, que “</w:t>
      </w:r>
      <w:r w:rsidDel="00000000" w:rsidR="00000000" w:rsidRPr="00000000">
        <w:rPr>
          <w:rFonts w:ascii="Times New Roman" w:cs="Times New Roman" w:eastAsia="Times New Roman" w:hAnsi="Times New Roman"/>
          <w:sz w:val="24"/>
          <w:szCs w:val="24"/>
          <w:rtl w:val="0"/>
        </w:rPr>
        <w:t xml:space="preserve">o racismo não é só ferramenta do capitalismo, o racismo é ferramenta das religiões hegemônicas.” Ainda durante a entrevista, o estudioso discorre sobre os evangélicos, afirmando que: “Para eles, o demônio não é branco, o demônio é preto.” Mas, diferentemente do que afirmam para as religiões afro-brasileiras, ele reforça que: “Exu é vida. Não é o demônio, nem Cristão.” </w:t>
      </w:r>
    </w:p>
    <w:p w:rsidR="00000000" w:rsidDel="00000000" w:rsidP="00000000" w:rsidRDefault="00000000" w:rsidRPr="00000000" w14:paraId="0000069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 ressaltar que uma das indagações desse artigo diz respeito ao expansionismo das igrejas evangélicas e se isso afeta a vida das detentas que são, em sua maioria, negras, periféricas e muitas delas passam a se relacionar afetiva e sexualmente com mulheres quando adentram o espaço prisional. O médico e escritor Drauzio Varella explica, em uma entrevista concedida ao jornal El País, no ano de 2017, a respeito do seu livro “Prisioneiras”, que “o único lugar em que a mulher tem liberdade sexual é na cadeia”. O autor relata, ainda, que um número grande de presas se relaciona homoafetivamente, que gira em torno de 80%.</w:t>
      </w:r>
    </w:p>
    <w:p w:rsidR="00000000" w:rsidDel="00000000" w:rsidP="00000000" w:rsidRDefault="00000000" w:rsidRPr="00000000" w14:paraId="0000069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dinâmica da homoafetividade entre mulheres está intimamente ligada ao machismo, uma vez que elas são abandonadas pelos familiares, companheiros e amigos. Já o homem, quando está preso, recebe a visita de um parente, seja a mãe, esposa, filha ou namorada. Para Chernicharo e Boiteux (2014, p. 5), “ao delinquir, a mulher rompe não só com a lei penal, mas também com as normas sociais e com o seu papel cultural e social pré-estabelecidos e, desta forma, ela viola a norma duplamente, razão pela qual é duplamente punida quando adentra as esferas formais de controle”. Essa afirmação reforça a premissa patriarcal que reserva à mulher o lugar do esquecimento, da invisibilidade, fortalecendo cada vez mais o relacionamento entre mulheres na prisão. </w:t>
      </w:r>
    </w:p>
    <w:p w:rsidR="00000000" w:rsidDel="00000000" w:rsidP="00000000" w:rsidRDefault="00000000" w:rsidRPr="00000000" w14:paraId="00000693">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4">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 prestação de assistência religiosa no sistema prisional</w:t>
      </w:r>
    </w:p>
    <w:p w:rsidR="00000000" w:rsidDel="00000000" w:rsidP="00000000" w:rsidRDefault="00000000" w:rsidRPr="00000000" w14:paraId="00000695">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9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Departamento Penitenciário Nacional (Depen) realizou o primeiro levantamento sobre a oferta da prestação religiosa no sistema penitenciário brasileiro, no ano de 2021, que foi elaborado da seguinte forma: O Depen encaminhou ofício direcionado a todas as Secretarias de Administração Prisional estadual ou órgãos congêneres, solicitando o preenchimento pelas unidades, uma vez que cada estabelecimento prisional possui suas próprias dinâmicas de oferta da assistência religiosa. De acordo com o levantamento da Coordenação de Assistência Social e Religiosa – COARE, junto às secretarias de administração penitenciárias dos estados, o sistema prisional brasileiro contava, à época do levantamento, com 1.382 (mil trezentos e oitenta e duas) unidades prisionais. As unidades que responderam ao questionário correspondem a 85% desse total.</w:t>
      </w:r>
    </w:p>
    <w:p w:rsidR="00000000" w:rsidDel="00000000" w:rsidP="00000000" w:rsidRDefault="00000000" w:rsidRPr="00000000" w14:paraId="0000069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desse levantamento, identificamos algumas situações, dentre as quais: a criação de blocos com presos evangélicos como uma boa prática dentro do sistema prisional. A pesquisa identificou, também, que em alguns presídios “foi implantada uma cela em cada pavilhão para as pessoas privadas de liberdade, e que se denominam evangélicas, para que possam conviver e desenvolver práticas religiosas diariamente”, além do “sistema de áudio instalado pela igreja.” (p. 7) Essa fala revela que existe uma conversão, aparentemente, sutil dentro dos presídios brasileiros, reforçando, portanto, a ideia de quase um monopólio cristão-evangélico dentro das prisões.</w:t>
      </w:r>
    </w:p>
    <w:p w:rsidR="00000000" w:rsidDel="00000000" w:rsidP="00000000" w:rsidRDefault="00000000" w:rsidRPr="00000000" w14:paraId="0000069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levantamento demonstrou, ainda, que a questão da falta da diversidade religiosa é um desafio recorrente, principalmente no que diz respeito às religiões de matriz africana, de modo que há o predomínio de algumas instituições religiosas que impossibilitam e/ou dificultam o acesso das demais religiões. O referido trabalho reforça os dados da pesquisadora Ellen Soares Santos, já aqui mencionados, os quais revelam a forte influência dos evangélicos dentro do espaço prisional fluminense em detrimento das religiões de matriz africana, cuja representação equivale a 1%. Isso corrobora a ideia de que o Estado trata de forma assimétrica o reconhecimento de direitos aos grupos evangélicos. </w:t>
      </w:r>
    </w:p>
    <w:p w:rsidR="00000000" w:rsidDel="00000000" w:rsidP="00000000" w:rsidRDefault="00000000" w:rsidRPr="00000000" w14:paraId="00000699">
      <w:pPr>
        <w:spacing w:after="0" w:line="360" w:lineRule="auto"/>
        <w:ind w:firstLine="708"/>
        <w:jc w:val="both"/>
        <w:rPr>
          <w:rFonts w:ascii="Times New Roman" w:cs="Times New Roman" w:eastAsia="Times New Roman" w:hAnsi="Times New Roman"/>
          <w:color w:val="20124d"/>
          <w:sz w:val="24"/>
          <w:szCs w:val="24"/>
        </w:rPr>
      </w:pPr>
      <w:r w:rsidDel="00000000" w:rsidR="00000000" w:rsidRPr="00000000">
        <w:rPr>
          <w:rFonts w:ascii="Times New Roman" w:cs="Times New Roman" w:eastAsia="Times New Roman" w:hAnsi="Times New Roman"/>
          <w:sz w:val="24"/>
          <w:szCs w:val="24"/>
          <w:rtl w:val="0"/>
        </w:rPr>
        <w:t xml:space="preserve">Todavia, não se verifica no levantamento do Depen, tampouco nas pesquisas anteriormente mencionadas, a ascensão das igrejas evangélicas e a relação com as detentas das penitenciárias femininas. É importante destacar que as religiões evangélicas valorizam as identidades cisgêneras – que tem correspondência com o sexo atribuído no momento do nascimento, bem como a heterossexualidade compulsória. No entanto, nos últimos anos o discurso acerca da homoafetividade, especialmente dos cristãos, ultrapassou a barreira da igreja e adentrou os espaços públicos, conforme destacaram Mesquita e Perucchi (2016), no artigo “Não apenas em nome de Deus: discursos religiosos sobre homossexualidade</w:t>
      </w:r>
      <w:r w:rsidDel="00000000" w:rsidR="00000000" w:rsidRPr="00000000">
        <w:rPr>
          <w:rFonts w:ascii="Times New Roman" w:cs="Times New Roman" w:eastAsia="Times New Roman" w:hAnsi="Times New Roman"/>
          <w:color w:val="20124d"/>
          <w:sz w:val="24"/>
          <w:szCs w:val="24"/>
          <w:rtl w:val="0"/>
        </w:rPr>
        <w:t xml:space="preserve">”.  </w:t>
      </w:r>
    </w:p>
    <w:p w:rsidR="00000000" w:rsidDel="00000000" w:rsidP="00000000" w:rsidRDefault="00000000" w:rsidRPr="00000000" w14:paraId="0000069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pensando sob a ótica do cárcere de mulheres, é importante refletirmos a respeito do comportamento das representações religiosas dentro dos presídios em relação às presas que são homoafetivas. As autoras Mesquita e Perucchi discorrem sobre a temática</w:t>
      </w:r>
      <w:r w:rsidDel="00000000" w:rsidR="00000000" w:rsidRPr="00000000">
        <w:rPr>
          <w:rFonts w:ascii="Times New Roman" w:cs="Times New Roman" w:eastAsia="Times New Roman" w:hAnsi="Times New Roman"/>
          <w:color w:val="351c75"/>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através da análise de vídeos disponíveis na internet, cujos protagonistas são lideranças/representantes religiosos nacionalmente conhecidos. As narrativas utilizadas por essas lideranças, a respeito da homoafetividade, correspondem ao “entendimento de uma prática antinatural à criação divina, pelo fato de não envolver os órgãos genitais responsáveis pela reprodução da espécie” (Mesquita e Perucchi, 2016, p. 110). Além da convicção de que é antinatural, acreditam, também, “que as uniões homoafetivas significariam o extermínio da humanidade e da família” (Mesquita e Perucchi, 2016, p. 112), ou seja, os evangélicos demonizam a homoafetividade.</w:t>
      </w:r>
    </w:p>
    <w:p w:rsidR="00000000" w:rsidDel="00000000" w:rsidP="00000000" w:rsidRDefault="00000000" w:rsidRPr="00000000" w14:paraId="0000069B">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Nas palavras de Nogueira (2020, p. 62), “o conservadorismo não suporta a diversidade da encruzilhada e a controvérsia de Exu, porque sobrevive em, por meio de e com um único caminho". Para as religiões afro-brasileiras, não existe o discurso do bem contra o mal, situação oposta às religiões evangélicas. Acrescenta Nogueira “onde já se viu, na sociedade que vive da punição, da tortura e do encarceramento, se conceber a possibilidade de uma lógica exuística, na qual um erro possa vir a ser um acerto?” (2020, p. 62). Para as religiões de matrizes africanas, “Exu é liberdade, o contrário de Exu é encarceramento. Exu é vida, Laroyê!” (2020, p. 62) e a homossexualidade não é condenada, por isso torna-se demonizável.</w:t>
      </w:r>
      <w:r w:rsidDel="00000000" w:rsidR="00000000" w:rsidRPr="00000000">
        <w:rPr>
          <w:rtl w:val="0"/>
        </w:rPr>
      </w:r>
    </w:p>
    <w:p w:rsidR="00000000" w:rsidDel="00000000" w:rsidP="00000000" w:rsidRDefault="00000000" w:rsidRPr="00000000" w14:paraId="0000069C">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Considerações finais</w:t>
      </w:r>
    </w:p>
    <w:p w:rsidR="00000000" w:rsidDel="00000000" w:rsidP="00000000" w:rsidRDefault="00000000" w:rsidRPr="00000000" w14:paraId="0000069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9F">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exposto, nota-se o quão importante se faz a análise de como ocorre a relação entre as detentas, sobretudo homoafetivas e afro-religiosas da penitenciária Talavera Bruce em relação às igrejas evangélicas. Pois, é evidente o avanço e o protagonismo dessas lideranças no espaço prisional, bem como a conversão, aparentemente, sutil, dentro das prisões. </w:t>
      </w:r>
    </w:p>
    <w:p w:rsidR="00000000" w:rsidDel="00000000" w:rsidP="00000000" w:rsidRDefault="00000000" w:rsidRPr="00000000" w14:paraId="000006A0">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homoafetividade, pelo entendimento das igrejas evangélicas é antinatural, é demonizável, em contrapartida, no sistema penitenciário, há um grande número de mulheres que passam a se relacionar</w:t>
      </w:r>
      <w:r w:rsidDel="00000000" w:rsidR="00000000" w:rsidRPr="00000000">
        <w:rPr>
          <w:rFonts w:ascii="Times New Roman" w:cs="Times New Roman" w:eastAsia="Times New Roman" w:hAnsi="Times New Roman"/>
          <w:sz w:val="24"/>
          <w:szCs w:val="24"/>
          <w:highlight w:val="white"/>
          <w:rtl w:val="0"/>
        </w:rPr>
        <w:t xml:space="preserve"> afetiva e sexualmente com outras mulheres</w:t>
      </w:r>
      <w:r w:rsidDel="00000000" w:rsidR="00000000" w:rsidRPr="00000000">
        <w:rPr>
          <w:rFonts w:ascii="Times New Roman" w:cs="Times New Roman" w:eastAsia="Times New Roman" w:hAnsi="Times New Roman"/>
          <w:sz w:val="24"/>
          <w:szCs w:val="24"/>
          <w:rtl w:val="0"/>
        </w:rPr>
        <w:t xml:space="preserve">, com isso é pertinente as seguintes inquirições: se na cadeia a detenta tem maior liberdade sexual, existe alguma censura ou desaprovação pelas lideranças religiosas em relação a essa liberdade? E a liberdade religiosa das presas que professam a religião de matriz africana são respeitadas, pois restou evidente que o conservadorismo não suporta Exu, que é demonizado.  </w:t>
      </w:r>
    </w:p>
    <w:p w:rsidR="00000000" w:rsidDel="00000000" w:rsidP="00000000" w:rsidRDefault="00000000" w:rsidRPr="00000000" w14:paraId="000006A1">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vale ressaltar que a religião de matriz africana, com representação extremamente limitada dentro do sistema prisional em apreço, é realizada apenas pela sacerdotisa, socióloga, líder de um quilombo urbano – a Mãe Flávia Pinto – uma mulher negra, periférica, que sofre a combinação de diversas discriminações. A partir da representação dessa mulher de axé, surgem algumas interrogações como: se sofreu racismo para professar sua fé dentro do sistema prisional mesmo que tenha ocorrido de forma sutil? Se possui os mesmos benefícios e favorecimentos que os líderes das religiões evangélicas? E quais os entraves ao fortalecimento da assistência religiosa prestada pelas religiões de matriz africana? Essas indagações são necessárias, pois são o fio condutor da pesquisa que vai se debruçar sobre a relação das religiões evangélicas e das de matriz africana no trato com as presas que são, em sua maioria, mulheres negras, periféricas e lésbicas: parafraseando Crenshaw, metáfora da interseccionalidade.</w:t>
      </w:r>
    </w:p>
    <w:p w:rsidR="00000000" w:rsidDel="00000000" w:rsidP="00000000" w:rsidRDefault="00000000" w:rsidRPr="00000000" w14:paraId="000006A2">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3">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6A4">
      <w:pPr>
        <w:spacing w:after="0" w:line="36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6A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ALESSI, Gil; ROSSI, Mariana. Drauzio Varella: “O único lugar em que a mulher tem liberdade sexual é na cadeia”. </w:t>
      </w:r>
      <w:r w:rsidDel="00000000" w:rsidR="00000000" w:rsidRPr="00000000">
        <w:rPr>
          <w:rFonts w:ascii="Times New Roman" w:cs="Times New Roman" w:eastAsia="Times New Roman" w:hAnsi="Times New Roman"/>
          <w:b w:val="1"/>
          <w:sz w:val="24"/>
          <w:szCs w:val="24"/>
          <w:highlight w:val="white"/>
          <w:rtl w:val="0"/>
        </w:rPr>
        <w:t xml:space="preserve">El País. </w:t>
      </w:r>
      <w:r w:rsidDel="00000000" w:rsidR="00000000" w:rsidRPr="00000000">
        <w:rPr>
          <w:rFonts w:ascii="Times New Roman" w:cs="Times New Roman" w:eastAsia="Times New Roman" w:hAnsi="Times New Roman"/>
          <w:sz w:val="24"/>
          <w:szCs w:val="24"/>
          <w:highlight w:val="white"/>
          <w:rtl w:val="0"/>
        </w:rPr>
        <w:t xml:space="preserve">09 jul. 2017</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Disponível em:</w:t>
      </w:r>
      <w:hyperlink r:id="rId104">
        <w:r w:rsidDel="00000000" w:rsidR="00000000" w:rsidRPr="00000000">
          <w:rPr>
            <w:rFonts w:ascii="Times New Roman" w:cs="Times New Roman" w:eastAsia="Times New Roman" w:hAnsi="Times New Roman"/>
            <w:sz w:val="24"/>
            <w:szCs w:val="24"/>
            <w:highlight w:val="white"/>
            <w:rtl w:val="0"/>
          </w:rPr>
          <w:t xml:space="preserve"> </w:t>
        </w:r>
      </w:hyperlink>
      <w:hyperlink r:id="rId105">
        <w:r w:rsidDel="00000000" w:rsidR="00000000" w:rsidRPr="00000000">
          <w:rPr>
            <w:rFonts w:ascii="Times New Roman" w:cs="Times New Roman" w:eastAsia="Times New Roman" w:hAnsi="Times New Roman"/>
            <w:sz w:val="24"/>
            <w:szCs w:val="24"/>
            <w:highlight w:val="white"/>
            <w:u w:val="single"/>
            <w:rtl w:val="0"/>
          </w:rPr>
          <w:t xml:space="preserve">https://brasil.elpais.com/brasil/2017/07/05/politica/1499276543_932033.html</w:t>
        </w:r>
      </w:hyperlink>
      <w:r w:rsidDel="00000000" w:rsidR="00000000" w:rsidRPr="00000000">
        <w:rPr>
          <w:rFonts w:ascii="Times New Roman" w:cs="Times New Roman" w:eastAsia="Times New Roman" w:hAnsi="Times New Roman"/>
          <w:sz w:val="24"/>
          <w:szCs w:val="24"/>
          <w:highlight w:val="white"/>
          <w:rtl w:val="0"/>
        </w:rPr>
        <w:t xml:space="preserve">. Acesso em: 10 Jul. 2023. </w:t>
      </w:r>
    </w:p>
    <w:p w:rsidR="00000000" w:rsidDel="00000000" w:rsidP="00000000" w:rsidRDefault="00000000" w:rsidRPr="00000000" w14:paraId="000006A6">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ALMEIDA, Silvio Luiz de. </w:t>
      </w:r>
      <w:r w:rsidDel="00000000" w:rsidR="00000000" w:rsidRPr="00000000">
        <w:rPr>
          <w:rFonts w:ascii="Times New Roman" w:cs="Times New Roman" w:eastAsia="Times New Roman" w:hAnsi="Times New Roman"/>
          <w:b w:val="1"/>
          <w:sz w:val="24"/>
          <w:szCs w:val="24"/>
          <w:highlight w:val="white"/>
          <w:rtl w:val="0"/>
        </w:rPr>
        <w:t xml:space="preserve">Racismo estrutural</w:t>
      </w:r>
      <w:r w:rsidDel="00000000" w:rsidR="00000000" w:rsidRPr="00000000">
        <w:rPr>
          <w:rFonts w:ascii="Times New Roman" w:cs="Times New Roman" w:eastAsia="Times New Roman" w:hAnsi="Times New Roman"/>
          <w:sz w:val="24"/>
          <w:szCs w:val="24"/>
          <w:highlight w:val="white"/>
          <w:rtl w:val="0"/>
        </w:rPr>
        <w:t xml:space="preserve">. São Paulo; Pólen, 2019.</w:t>
      </w:r>
    </w:p>
    <w:p w:rsidR="00000000" w:rsidDel="00000000" w:rsidP="00000000" w:rsidRDefault="00000000" w:rsidRPr="00000000" w14:paraId="000006A8">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9">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BORGES, Juliana. </w:t>
      </w:r>
      <w:r w:rsidDel="00000000" w:rsidR="00000000" w:rsidRPr="00000000">
        <w:rPr>
          <w:rFonts w:ascii="Times New Roman" w:cs="Times New Roman" w:eastAsia="Times New Roman" w:hAnsi="Times New Roman"/>
          <w:b w:val="1"/>
          <w:sz w:val="24"/>
          <w:szCs w:val="24"/>
          <w:highlight w:val="white"/>
          <w:rtl w:val="0"/>
        </w:rPr>
        <w:t xml:space="preserve">Encarceramento em massa</w:t>
      </w:r>
      <w:r w:rsidDel="00000000" w:rsidR="00000000" w:rsidRPr="00000000">
        <w:rPr>
          <w:rFonts w:ascii="Times New Roman" w:cs="Times New Roman" w:eastAsia="Times New Roman" w:hAnsi="Times New Roman"/>
          <w:sz w:val="24"/>
          <w:szCs w:val="24"/>
          <w:highlight w:val="white"/>
          <w:rtl w:val="0"/>
        </w:rPr>
        <w:t xml:space="preserve">. São Paulo; Pólen, 2019.</w:t>
      </w:r>
    </w:p>
    <w:p w:rsidR="00000000" w:rsidDel="00000000" w:rsidP="00000000" w:rsidRDefault="00000000" w:rsidRPr="00000000" w14:paraId="000006AA">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BRASIL. [Constituição (1988)]. Constituição da República Federativa do Brasil. Brasília, DF: Presidência da República, [2022]. Disponível em: http://www.planalto.gov.br/ccivil_03/Constituicao/ Constituiçao.htm. Acesso em: 10 jul. 2023.</w:t>
      </w:r>
    </w:p>
    <w:p w:rsidR="00000000" w:rsidDel="00000000" w:rsidP="00000000" w:rsidRDefault="00000000" w:rsidRPr="00000000" w14:paraId="000006AC">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BRASIL. Ministério da Justiça e Segurança Pública</w:t>
      </w:r>
      <w:r w:rsidDel="00000000" w:rsidR="00000000" w:rsidRPr="00000000">
        <w:rPr>
          <w:rFonts w:ascii="Times New Roman" w:cs="Times New Roman" w:eastAsia="Times New Roman" w:hAnsi="Times New Roman"/>
          <w:b w:val="1"/>
          <w:i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Depen produz 1º Levantamento sobre Prestação de Assistência Religiosa no sistema prisional brasileiro</w:t>
      </w:r>
      <w:r w:rsidDel="00000000" w:rsidR="00000000" w:rsidRPr="00000000">
        <w:rPr>
          <w:rFonts w:ascii="Times New Roman" w:cs="Times New Roman" w:eastAsia="Times New Roman" w:hAnsi="Times New Roman"/>
          <w:i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[Brasília]:Ministério da Justiça e Segurança Pública</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28 set. 2021</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Disponível em:</w:t>
      </w:r>
      <w:hyperlink r:id="rId106">
        <w:r w:rsidDel="00000000" w:rsidR="00000000" w:rsidRPr="00000000">
          <w:rPr>
            <w:rFonts w:ascii="Times New Roman" w:cs="Times New Roman" w:eastAsia="Times New Roman" w:hAnsi="Times New Roman"/>
            <w:sz w:val="24"/>
            <w:szCs w:val="24"/>
            <w:highlight w:val="white"/>
            <w:rtl w:val="0"/>
          </w:rPr>
          <w:t xml:space="preserve"> </w:t>
        </w:r>
      </w:hyperlink>
      <w:hyperlink r:id="rId107">
        <w:r w:rsidDel="00000000" w:rsidR="00000000" w:rsidRPr="00000000">
          <w:rPr>
            <w:rFonts w:ascii="Times New Roman" w:cs="Times New Roman" w:eastAsia="Times New Roman" w:hAnsi="Times New Roman"/>
            <w:sz w:val="24"/>
            <w:szCs w:val="24"/>
            <w:highlight w:val="white"/>
            <w:u w:val="single"/>
            <w:rtl w:val="0"/>
          </w:rPr>
          <w:t xml:space="preserve">https://www.gov.br/senappen/pt-br/assuntos/noticias/depen-produz-1o-levantamento-sobre-prestacao-de-assistencia-religiosa-no-sistema-prisional-brasileiro</w:t>
        </w:r>
      </w:hyperlink>
      <w:r w:rsidDel="00000000" w:rsidR="00000000" w:rsidRPr="00000000">
        <w:rPr>
          <w:rFonts w:ascii="Times New Roman" w:cs="Times New Roman" w:eastAsia="Times New Roman" w:hAnsi="Times New Roman"/>
          <w:sz w:val="24"/>
          <w:szCs w:val="24"/>
          <w:highlight w:val="white"/>
          <w:rtl w:val="0"/>
        </w:rPr>
        <w:t xml:space="preserve">. Acesso em: 20 jun. 2023 </w:t>
      </w:r>
    </w:p>
    <w:p w:rsidR="00000000" w:rsidDel="00000000" w:rsidP="00000000" w:rsidRDefault="00000000" w:rsidRPr="00000000" w14:paraId="000006AE">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CHERNICHARO, Luciana Peluzio; RODRIGUES, Luciana Boiteux de Figueiredo. Encarceramento feminino, seletividade penal e tráfico de drogas em uma perspectiva feminista crítica. In: Seminário Nacional de Estudos Prisionais e Fórum de Vitimização de Mulheres no Sistema de Justiça Criminal. 6. 2014, Marília. </w:t>
      </w:r>
      <w:r w:rsidDel="00000000" w:rsidR="00000000" w:rsidRPr="00000000">
        <w:rPr>
          <w:rFonts w:ascii="Times New Roman" w:cs="Times New Roman" w:eastAsia="Times New Roman" w:hAnsi="Times New Roman"/>
          <w:b w:val="1"/>
          <w:sz w:val="24"/>
          <w:szCs w:val="24"/>
          <w:highlight w:val="white"/>
          <w:rtl w:val="0"/>
        </w:rPr>
        <w:t xml:space="preserve">Anais</w:t>
      </w:r>
      <w:r w:rsidDel="00000000" w:rsidR="00000000" w:rsidRPr="00000000">
        <w:rPr>
          <w:rFonts w:ascii="Times New Roman" w:cs="Times New Roman" w:eastAsia="Times New Roman" w:hAnsi="Times New Roman"/>
          <w:sz w:val="24"/>
          <w:szCs w:val="24"/>
          <w:highlight w:val="white"/>
          <w:rtl w:val="0"/>
        </w:rPr>
        <w:t xml:space="preserve">. Marília, UNESP, 2014. p. 1-6.</w:t>
      </w:r>
    </w:p>
    <w:p w:rsidR="00000000" w:rsidDel="00000000" w:rsidP="00000000" w:rsidRDefault="00000000" w:rsidRPr="00000000" w14:paraId="000006B0">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1">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CORREIA, Mariama. Depois do Carnaval: 'O racismo religioso quer demonizar Exu', diz autor de livro sobre intolerância religiosa. </w:t>
      </w:r>
      <w:r w:rsidDel="00000000" w:rsidR="00000000" w:rsidRPr="00000000">
        <w:rPr>
          <w:rFonts w:ascii="Times New Roman" w:cs="Times New Roman" w:eastAsia="Times New Roman" w:hAnsi="Times New Roman"/>
          <w:b w:val="1"/>
          <w:sz w:val="24"/>
          <w:szCs w:val="24"/>
          <w:highlight w:val="white"/>
          <w:rtl w:val="0"/>
        </w:rPr>
        <w:t xml:space="preserve">Uol. </w:t>
      </w:r>
      <w:r w:rsidDel="00000000" w:rsidR="00000000" w:rsidRPr="00000000">
        <w:rPr>
          <w:rFonts w:ascii="Times New Roman" w:cs="Times New Roman" w:eastAsia="Times New Roman" w:hAnsi="Times New Roman"/>
          <w:sz w:val="24"/>
          <w:szCs w:val="24"/>
          <w:highlight w:val="white"/>
          <w:rtl w:val="0"/>
        </w:rPr>
        <w:t xml:space="preserve">30 abr. 2022. Disponível em:</w:t>
      </w:r>
      <w:hyperlink r:id="rId108">
        <w:r w:rsidDel="00000000" w:rsidR="00000000" w:rsidRPr="00000000">
          <w:rPr>
            <w:rFonts w:ascii="Times New Roman" w:cs="Times New Roman" w:eastAsia="Times New Roman" w:hAnsi="Times New Roman"/>
            <w:sz w:val="24"/>
            <w:szCs w:val="24"/>
            <w:highlight w:val="white"/>
            <w:rtl w:val="0"/>
          </w:rPr>
          <w:t xml:space="preserve"> </w:t>
        </w:r>
      </w:hyperlink>
      <w:hyperlink r:id="rId109">
        <w:r w:rsidDel="00000000" w:rsidR="00000000" w:rsidRPr="00000000">
          <w:rPr>
            <w:rFonts w:ascii="Times New Roman" w:cs="Times New Roman" w:eastAsia="Times New Roman" w:hAnsi="Times New Roman"/>
            <w:sz w:val="24"/>
            <w:szCs w:val="24"/>
            <w:highlight w:val="white"/>
            <w:u w:val="single"/>
            <w:rtl w:val="0"/>
          </w:rPr>
          <w:t xml:space="preserve">https://operamundi.uol.com.br/politica-e-economia/74272/depois-do-carnaval-o-racismo-religioso-quer-demonizar-exu-diz-autor-de-livro-sobre-intolerancia-religiosa</w:t>
        </w:r>
      </w:hyperlink>
      <w:r w:rsidDel="00000000" w:rsidR="00000000" w:rsidRPr="00000000">
        <w:rPr>
          <w:rFonts w:ascii="Times New Roman" w:cs="Times New Roman" w:eastAsia="Times New Roman" w:hAnsi="Times New Roman"/>
          <w:sz w:val="24"/>
          <w:szCs w:val="24"/>
          <w:highlight w:val="white"/>
          <w:rtl w:val="0"/>
        </w:rPr>
        <w:t xml:space="preserve">. Acesso em: 29 Jul. 2023.</w:t>
      </w:r>
    </w:p>
    <w:p w:rsidR="00000000" w:rsidDel="00000000" w:rsidP="00000000" w:rsidRDefault="00000000" w:rsidRPr="00000000" w14:paraId="000006B2">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CRENSHAW, Kimberlé. Documento para o Encontro de especialistas em aspectos da discriminação racial relativos ao gênero. </w:t>
      </w:r>
      <w:r w:rsidDel="00000000" w:rsidR="00000000" w:rsidRPr="00000000">
        <w:rPr>
          <w:rFonts w:ascii="Times New Roman" w:cs="Times New Roman" w:eastAsia="Times New Roman" w:hAnsi="Times New Roman"/>
          <w:b w:val="1"/>
          <w:sz w:val="24"/>
          <w:szCs w:val="24"/>
          <w:highlight w:val="white"/>
          <w:rtl w:val="0"/>
        </w:rPr>
        <w:t xml:space="preserve">Revista Estudos Feministas</w:t>
      </w:r>
      <w:r w:rsidDel="00000000" w:rsidR="00000000" w:rsidRPr="00000000">
        <w:rPr>
          <w:rFonts w:ascii="Times New Roman" w:cs="Times New Roman" w:eastAsia="Times New Roman" w:hAnsi="Times New Roman"/>
          <w:sz w:val="24"/>
          <w:szCs w:val="24"/>
          <w:highlight w:val="white"/>
          <w:rtl w:val="0"/>
        </w:rPr>
        <w:t xml:space="preserve">, Florianópolis, v.10, n. 1, p.171-188, 2002. </w:t>
      </w:r>
    </w:p>
    <w:p w:rsidR="00000000" w:rsidDel="00000000" w:rsidP="00000000" w:rsidRDefault="00000000" w:rsidRPr="00000000" w14:paraId="000006B4">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GÓES, Luciano. Ebó criminológico: malandragem epistêmica nos cruzos da criminologia da libertação negra. </w:t>
      </w:r>
      <w:r w:rsidDel="00000000" w:rsidR="00000000" w:rsidRPr="00000000">
        <w:rPr>
          <w:rFonts w:ascii="Times New Roman" w:cs="Times New Roman" w:eastAsia="Times New Roman" w:hAnsi="Times New Roman"/>
          <w:b w:val="1"/>
          <w:sz w:val="24"/>
          <w:szCs w:val="24"/>
          <w:highlight w:val="white"/>
          <w:rtl w:val="0"/>
        </w:rPr>
        <w:t xml:space="preserve">Boletim do IBCCRIM</w:t>
      </w:r>
      <w:r w:rsidDel="00000000" w:rsidR="00000000" w:rsidRPr="00000000">
        <w:rPr>
          <w:rFonts w:ascii="Times New Roman" w:cs="Times New Roman" w:eastAsia="Times New Roman" w:hAnsi="Times New Roman"/>
          <w:sz w:val="24"/>
          <w:szCs w:val="24"/>
          <w:highlight w:val="white"/>
          <w:rtl w:val="0"/>
        </w:rPr>
        <w:t xml:space="preserve">, v. 29, p. 15-18, 2021. </w:t>
      </w:r>
    </w:p>
    <w:p w:rsidR="00000000" w:rsidDel="00000000" w:rsidP="00000000" w:rsidRDefault="00000000" w:rsidRPr="00000000" w14:paraId="000006B6">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GONZALEZ, Lélia. Racismo e sexismo na cultura brasileira. In: </w:t>
      </w:r>
      <w:r w:rsidDel="00000000" w:rsidR="00000000" w:rsidRPr="00000000">
        <w:rPr>
          <w:rFonts w:ascii="Times New Roman" w:cs="Times New Roman" w:eastAsia="Times New Roman" w:hAnsi="Times New Roman"/>
          <w:b w:val="1"/>
          <w:sz w:val="24"/>
          <w:szCs w:val="24"/>
          <w:highlight w:val="white"/>
          <w:rtl w:val="0"/>
        </w:rPr>
        <w:t xml:space="preserve">Revista Ciências Sociais Hoje</w:t>
      </w:r>
      <w:r w:rsidDel="00000000" w:rsidR="00000000" w:rsidRPr="00000000">
        <w:rPr>
          <w:rFonts w:ascii="Times New Roman" w:cs="Times New Roman" w:eastAsia="Times New Roman" w:hAnsi="Times New Roman"/>
          <w:sz w:val="24"/>
          <w:szCs w:val="24"/>
          <w:highlight w:val="white"/>
          <w:rtl w:val="0"/>
        </w:rPr>
        <w:t xml:space="preserve">, Anpocs, 1984, p. 223-244.</w:t>
      </w:r>
    </w:p>
    <w:p w:rsidR="00000000" w:rsidDel="00000000" w:rsidP="00000000" w:rsidRDefault="00000000" w:rsidRPr="00000000" w14:paraId="000006B8">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9">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LEP BRASIL. Lei nº 7.210, de 11 de julho de 1984. Institui a Lei de Execução Penal. Disponível em:</w:t>
      </w:r>
      <w:hyperlink r:id="rId110">
        <w:r w:rsidDel="00000000" w:rsidR="00000000" w:rsidRPr="00000000">
          <w:rPr>
            <w:rFonts w:ascii="Times New Roman" w:cs="Times New Roman" w:eastAsia="Times New Roman" w:hAnsi="Times New Roman"/>
            <w:sz w:val="24"/>
            <w:szCs w:val="24"/>
            <w:highlight w:val="white"/>
            <w:rtl w:val="0"/>
          </w:rPr>
          <w:t xml:space="preserve"> https://www.planalto.gov.br/ccivil_03/leis/l7210.htm</w:t>
        </w:r>
      </w:hyperlink>
      <w:r w:rsidDel="00000000" w:rsidR="00000000" w:rsidRPr="00000000">
        <w:rPr>
          <w:rFonts w:ascii="Times New Roman" w:cs="Times New Roman" w:eastAsia="Times New Roman" w:hAnsi="Times New Roman"/>
          <w:sz w:val="24"/>
          <w:szCs w:val="24"/>
          <w:highlight w:val="white"/>
          <w:rtl w:val="0"/>
        </w:rPr>
        <w:t xml:space="preserve">. Acesso em: 10 jul. 2023.</w:t>
      </w:r>
    </w:p>
    <w:p w:rsidR="00000000" w:rsidDel="00000000" w:rsidP="00000000" w:rsidRDefault="00000000" w:rsidRPr="00000000" w14:paraId="000006BA">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MESQUITA, Daniele Trindade e Perucchi, Juliana. Não apenas em nome de Deus: discursos religiosos sobre homossexualidade. </w:t>
      </w:r>
      <w:r w:rsidDel="00000000" w:rsidR="00000000" w:rsidRPr="00000000">
        <w:rPr>
          <w:rFonts w:ascii="Times New Roman" w:cs="Times New Roman" w:eastAsia="Times New Roman" w:hAnsi="Times New Roman"/>
          <w:b w:val="1"/>
          <w:sz w:val="24"/>
          <w:szCs w:val="24"/>
          <w:highlight w:val="white"/>
          <w:rtl w:val="0"/>
        </w:rPr>
        <w:t xml:space="preserve">Psicologia &amp; Sociedade</w:t>
      </w:r>
      <w:r w:rsidDel="00000000" w:rsidR="00000000" w:rsidRPr="00000000">
        <w:rPr>
          <w:rFonts w:ascii="Times New Roman" w:cs="Times New Roman" w:eastAsia="Times New Roman" w:hAnsi="Times New Roman"/>
          <w:sz w:val="24"/>
          <w:szCs w:val="24"/>
          <w:highlight w:val="white"/>
          <w:rtl w:val="0"/>
        </w:rPr>
        <w:t xml:space="preserve">. v. 28, n1, p. 105-114, Jan-Apr 2016. Disponível em:</w:t>
      </w:r>
      <w:hyperlink r:id="rId111">
        <w:r w:rsidDel="00000000" w:rsidR="00000000" w:rsidRPr="00000000">
          <w:rPr>
            <w:rFonts w:ascii="Times New Roman" w:cs="Times New Roman" w:eastAsia="Times New Roman" w:hAnsi="Times New Roman"/>
            <w:sz w:val="24"/>
            <w:szCs w:val="24"/>
            <w:highlight w:val="white"/>
            <w:rtl w:val="0"/>
          </w:rPr>
          <w:t xml:space="preserve"> </w:t>
        </w:r>
      </w:hyperlink>
      <w:hyperlink r:id="rId112">
        <w:r w:rsidDel="00000000" w:rsidR="00000000" w:rsidRPr="00000000">
          <w:rPr>
            <w:rFonts w:ascii="Times New Roman" w:cs="Times New Roman" w:eastAsia="Times New Roman" w:hAnsi="Times New Roman"/>
            <w:sz w:val="24"/>
            <w:szCs w:val="24"/>
            <w:highlight w:val="white"/>
            <w:u w:val="single"/>
            <w:rtl w:val="0"/>
          </w:rPr>
          <w:t xml:space="preserve">https://www.scielo.br/j/psoc/a/kkcQJggKT3GTTWpLggHDXSb/?format=html&amp;lang=pt</w:t>
        </w:r>
      </w:hyperlink>
      <w:r w:rsidDel="00000000" w:rsidR="00000000" w:rsidRPr="00000000">
        <w:rPr>
          <w:rFonts w:ascii="Times New Roman" w:cs="Times New Roman" w:eastAsia="Times New Roman" w:hAnsi="Times New Roman"/>
          <w:sz w:val="24"/>
          <w:szCs w:val="24"/>
          <w:highlight w:val="white"/>
          <w:rtl w:val="0"/>
        </w:rPr>
        <w:t xml:space="preserve">. Acesso em: 30 Jul. 2023.  </w:t>
      </w:r>
    </w:p>
    <w:p w:rsidR="00000000" w:rsidDel="00000000" w:rsidP="00000000" w:rsidRDefault="00000000" w:rsidRPr="00000000" w14:paraId="000006BC">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MIRANDA, Ana Paula Mendes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Terreiros sob ataque? A governança criminal em nome de Deus e as disputas do domínio armado no Rio de Janeiro. </w:t>
      </w:r>
      <w:r w:rsidDel="00000000" w:rsidR="00000000" w:rsidRPr="00000000">
        <w:rPr>
          <w:rFonts w:ascii="Times New Roman" w:cs="Times New Roman" w:eastAsia="Times New Roman" w:hAnsi="Times New Roman"/>
          <w:b w:val="1"/>
          <w:sz w:val="24"/>
          <w:szCs w:val="24"/>
          <w:highlight w:val="white"/>
          <w:rtl w:val="0"/>
        </w:rPr>
        <w:t xml:space="preserve">Dilemas - Revista de  Estudos de Conflito e Controle Social</w:t>
      </w:r>
      <w:r w:rsidDel="00000000" w:rsidR="00000000" w:rsidRPr="00000000">
        <w:rPr>
          <w:rFonts w:ascii="Times New Roman" w:cs="Times New Roman" w:eastAsia="Times New Roman" w:hAnsi="Times New Roman"/>
          <w:sz w:val="24"/>
          <w:szCs w:val="24"/>
          <w:highlight w:val="white"/>
          <w:rtl w:val="0"/>
        </w:rPr>
        <w:t xml:space="preserve">, Rio de Janeiro, Edição Especial nº 4, p. 619-650, 2022. </w:t>
      </w:r>
    </w:p>
    <w:p w:rsidR="00000000" w:rsidDel="00000000" w:rsidP="00000000" w:rsidRDefault="00000000" w:rsidRPr="00000000" w14:paraId="000006BE">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NOGUEIRA, Sidnei. </w:t>
      </w:r>
      <w:r w:rsidDel="00000000" w:rsidR="00000000" w:rsidRPr="00000000">
        <w:rPr>
          <w:rFonts w:ascii="Times New Roman" w:cs="Times New Roman" w:eastAsia="Times New Roman" w:hAnsi="Times New Roman"/>
          <w:b w:val="1"/>
          <w:sz w:val="24"/>
          <w:szCs w:val="24"/>
          <w:highlight w:val="white"/>
          <w:rtl w:val="0"/>
        </w:rPr>
        <w:t xml:space="preserve">Intolerância religiosa</w:t>
      </w:r>
      <w:r w:rsidDel="00000000" w:rsidR="00000000" w:rsidRPr="00000000">
        <w:rPr>
          <w:rFonts w:ascii="Times New Roman" w:cs="Times New Roman" w:eastAsia="Times New Roman" w:hAnsi="Times New Roman"/>
          <w:sz w:val="24"/>
          <w:szCs w:val="24"/>
          <w:highlight w:val="white"/>
          <w:rtl w:val="0"/>
        </w:rPr>
        <w:t xml:space="preserve">. São Paulo; Pólen, 2020. </w:t>
      </w:r>
    </w:p>
    <w:p w:rsidR="00000000" w:rsidDel="00000000" w:rsidP="00000000" w:rsidRDefault="00000000" w:rsidRPr="00000000" w14:paraId="000006C0">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C1">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PRADO, Amanda; BASSAN Pedro. RJ tem apenas uma mãe de santo autorizada a entrar em presídios: “A cadeia reproduz o preconceito da sociedade”.</w:t>
      </w:r>
      <w:r w:rsidDel="00000000" w:rsidR="00000000" w:rsidRPr="00000000">
        <w:rPr>
          <w:rFonts w:ascii="Times New Roman" w:cs="Times New Roman" w:eastAsia="Times New Roman" w:hAnsi="Times New Roman"/>
          <w:b w:val="1"/>
          <w:sz w:val="24"/>
          <w:szCs w:val="24"/>
          <w:highlight w:val="white"/>
          <w:rtl w:val="0"/>
        </w:rPr>
        <w:t xml:space="preserve">Portal G1</w:t>
      </w:r>
      <w:r w:rsidDel="00000000" w:rsidR="00000000" w:rsidRPr="00000000">
        <w:rPr>
          <w:rFonts w:ascii="Times New Roman" w:cs="Times New Roman" w:eastAsia="Times New Roman" w:hAnsi="Times New Roman"/>
          <w:sz w:val="24"/>
          <w:szCs w:val="24"/>
          <w:highlight w:val="white"/>
          <w:rtl w:val="0"/>
        </w:rPr>
        <w:t xml:space="preserve">, Rio de Janeiro, 19 nov. 2020. Disponível em:</w:t>
      </w:r>
      <w:hyperlink r:id="rId113">
        <w:r w:rsidDel="00000000" w:rsidR="00000000" w:rsidRPr="00000000">
          <w:rPr>
            <w:rFonts w:ascii="Times New Roman" w:cs="Times New Roman" w:eastAsia="Times New Roman" w:hAnsi="Times New Roman"/>
            <w:sz w:val="24"/>
            <w:szCs w:val="24"/>
            <w:highlight w:val="white"/>
            <w:rtl w:val="0"/>
          </w:rPr>
          <w:t xml:space="preserve"> </w:t>
        </w:r>
      </w:hyperlink>
      <w:hyperlink r:id="rId114">
        <w:r w:rsidDel="00000000" w:rsidR="00000000" w:rsidRPr="00000000">
          <w:rPr>
            <w:rFonts w:ascii="Times New Roman" w:cs="Times New Roman" w:eastAsia="Times New Roman" w:hAnsi="Times New Roman"/>
            <w:sz w:val="24"/>
            <w:szCs w:val="24"/>
            <w:highlight w:val="white"/>
            <w:u w:val="single"/>
            <w:rtl w:val="0"/>
          </w:rPr>
          <w:t xml:space="preserve">https://g1.globo.com/rj/rio-de-janeiro/noticia/2020/11/19/rj-tem-apenas-uma-mae-de-santo-autorizada-a-entrar-em-presidios-a-cadeia-reproduz-o-preconceito-da-sociedade.ghtml</w:t>
        </w:r>
      </w:hyperlink>
      <w:r w:rsidDel="00000000" w:rsidR="00000000" w:rsidRPr="00000000">
        <w:rPr>
          <w:rFonts w:ascii="Times New Roman" w:cs="Times New Roman" w:eastAsia="Times New Roman" w:hAnsi="Times New Roman"/>
          <w:sz w:val="24"/>
          <w:szCs w:val="24"/>
          <w:highlight w:val="white"/>
          <w:rtl w:val="0"/>
        </w:rPr>
        <w:t xml:space="preserve"> . Acesso em: 30 set. 2023.   </w:t>
      </w:r>
    </w:p>
    <w:p w:rsidR="00000000" w:rsidDel="00000000" w:rsidP="00000000" w:rsidRDefault="00000000" w:rsidRPr="00000000" w14:paraId="000006C2">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C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RIBEIRO, Djamila. </w:t>
      </w:r>
      <w:r w:rsidDel="00000000" w:rsidR="00000000" w:rsidRPr="00000000">
        <w:rPr>
          <w:rFonts w:ascii="Times New Roman" w:cs="Times New Roman" w:eastAsia="Times New Roman" w:hAnsi="Times New Roman"/>
          <w:b w:val="1"/>
          <w:sz w:val="24"/>
          <w:szCs w:val="24"/>
          <w:highlight w:val="white"/>
          <w:rtl w:val="0"/>
        </w:rPr>
        <w:t xml:space="preserve">Pequeno Manual Antirracista</w:t>
      </w:r>
      <w:r w:rsidDel="00000000" w:rsidR="00000000" w:rsidRPr="00000000">
        <w:rPr>
          <w:rFonts w:ascii="Times New Roman" w:cs="Times New Roman" w:eastAsia="Times New Roman" w:hAnsi="Times New Roman"/>
          <w:i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1. ed. São Paulo: Companhia das Letras, 2019.</w:t>
      </w:r>
    </w:p>
    <w:p w:rsidR="00000000" w:rsidDel="00000000" w:rsidP="00000000" w:rsidRDefault="00000000" w:rsidRPr="00000000" w14:paraId="000006C4">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C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SOARES, Ellen Santos. De pródigo a honrado: a oferta neopentecostal ao cárcere: Um estudo de caso exploratório sobre o fenômeno neopentecostal e a rede de atenção à pessoa egressa do sistema prisional RAESP/RJ no Rio de Janeiro. 2022. (Dissertação em serviço social) Universidade Federal do Rio de Janeiro, Rio de Janeiro, 2022. Disponível em: https://sucupira.capes.gov.br/sucupira/public/consultas/coleta/trabalhoConclusao/viewTrabalhoConclusao.jsf?popup=true&amp;id_trabalho=11611832. Acesso em: 10 jun. 2023. </w:t>
      </w:r>
    </w:p>
    <w:p w:rsidR="00000000" w:rsidDel="00000000" w:rsidP="00000000" w:rsidRDefault="00000000" w:rsidRPr="00000000" w14:paraId="000006C6">
      <w:pPr>
        <w:spacing w:after="0"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6C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Veja quais deputados e senadores fazem parte da bancada evangélica</w:t>
      </w:r>
      <w:r w:rsidDel="00000000" w:rsidR="00000000" w:rsidRPr="00000000">
        <w:rPr>
          <w:rFonts w:ascii="Times New Roman" w:cs="Times New Roman" w:eastAsia="Times New Roman" w:hAnsi="Times New Roman"/>
          <w:b w:val="1"/>
          <w:sz w:val="24"/>
          <w:szCs w:val="24"/>
          <w:highlight w:val="white"/>
          <w:rtl w:val="0"/>
        </w:rPr>
        <w:t xml:space="preserve">. Congresso em Foco</w:t>
      </w:r>
      <w:r w:rsidDel="00000000" w:rsidR="00000000" w:rsidRPr="00000000">
        <w:rPr>
          <w:rFonts w:ascii="Times New Roman" w:cs="Times New Roman" w:eastAsia="Times New Roman" w:hAnsi="Times New Roman"/>
          <w:i w:val="1"/>
          <w:sz w:val="24"/>
          <w:szCs w:val="24"/>
          <w:highlight w:val="white"/>
          <w:rtl w:val="0"/>
        </w:rPr>
        <w:t xml:space="preserve"> - UOL</w:t>
      </w:r>
      <w:r w:rsidDel="00000000" w:rsidR="00000000" w:rsidRPr="00000000">
        <w:rPr>
          <w:rFonts w:ascii="Times New Roman" w:cs="Times New Roman" w:eastAsia="Times New Roman" w:hAnsi="Times New Roman"/>
          <w:sz w:val="24"/>
          <w:szCs w:val="24"/>
          <w:highlight w:val="white"/>
          <w:rtl w:val="0"/>
        </w:rPr>
        <w:t xml:space="preserve">. 15 set. 2020. Disponível em:</w:t>
      </w:r>
      <w:hyperlink r:id="rId115">
        <w:r w:rsidDel="00000000" w:rsidR="00000000" w:rsidRPr="00000000">
          <w:rPr>
            <w:rFonts w:ascii="Times New Roman" w:cs="Times New Roman" w:eastAsia="Times New Roman" w:hAnsi="Times New Roman"/>
            <w:sz w:val="24"/>
            <w:szCs w:val="24"/>
            <w:highlight w:val="white"/>
            <w:rtl w:val="0"/>
          </w:rPr>
          <w:t xml:space="preserve"> </w:t>
        </w:r>
      </w:hyperlink>
      <w:hyperlink r:id="rId116">
        <w:r w:rsidDel="00000000" w:rsidR="00000000" w:rsidRPr="00000000">
          <w:rPr>
            <w:rFonts w:ascii="Times New Roman" w:cs="Times New Roman" w:eastAsia="Times New Roman" w:hAnsi="Times New Roman"/>
            <w:sz w:val="24"/>
            <w:szCs w:val="24"/>
            <w:highlight w:val="white"/>
            <w:u w:val="single"/>
            <w:rtl w:val="0"/>
          </w:rPr>
          <w:t xml:space="preserve">https://congressoemfoco.uol.com.br/area/congresso-nacional/veja-quais-deputados-e-senadores-fazem-parte-da-bancada-evangelica/</w:t>
        </w:r>
      </w:hyperlink>
      <w:r w:rsidDel="00000000" w:rsidR="00000000" w:rsidRPr="00000000">
        <w:rPr>
          <w:rFonts w:ascii="Times New Roman" w:cs="Times New Roman" w:eastAsia="Times New Roman" w:hAnsi="Times New Roman"/>
          <w:sz w:val="24"/>
          <w:szCs w:val="24"/>
          <w:highlight w:val="white"/>
          <w:rtl w:val="0"/>
        </w:rPr>
        <w:t xml:space="preserve">. Acesso em: 10 jun 2023. </w:t>
      </w:r>
    </w:p>
    <w:p w:rsidR="00000000" w:rsidDel="00000000" w:rsidP="00000000" w:rsidRDefault="00000000" w:rsidRPr="00000000" w14:paraId="000006C8">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WERNECK, Jurema. Nossos passos vêm de longe! Movimentos de mulheres negras e estratégias políticas contra o sexismo e o racismo. </w:t>
      </w:r>
      <w:r w:rsidDel="00000000" w:rsidR="00000000" w:rsidRPr="00000000">
        <w:rPr>
          <w:rFonts w:ascii="Times New Roman" w:cs="Times New Roman" w:eastAsia="Times New Roman" w:hAnsi="Times New Roman"/>
          <w:b w:val="1"/>
          <w:sz w:val="24"/>
          <w:szCs w:val="24"/>
          <w:highlight w:val="white"/>
          <w:rtl w:val="0"/>
        </w:rPr>
        <w:t xml:space="preserve">Revista da ABPN</w:t>
      </w:r>
      <w:r w:rsidDel="00000000" w:rsidR="00000000" w:rsidRPr="00000000">
        <w:rPr>
          <w:rFonts w:ascii="Times New Roman" w:cs="Times New Roman" w:eastAsia="Times New Roman" w:hAnsi="Times New Roman"/>
          <w:sz w:val="24"/>
          <w:szCs w:val="24"/>
          <w:highlight w:val="white"/>
          <w:rtl w:val="0"/>
        </w:rPr>
        <w:t xml:space="preserve">, v.1, n.1, p. 08-17, 2010.</w:t>
      </w:r>
      <w:r w:rsidDel="00000000" w:rsidR="00000000" w:rsidRPr="00000000">
        <w:rPr>
          <w:rtl w:val="0"/>
        </w:rPr>
      </w:r>
    </w:p>
    <w:p w:rsidR="00000000" w:rsidDel="00000000" w:rsidP="00000000" w:rsidRDefault="00000000" w:rsidRPr="00000000" w14:paraId="000006C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F">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VIOLÊNCIA SEXUAL CONTRA MULHERES NA PANDEMIA: CONTEXTOS E DESAFIOS</w:t>
      </w:r>
    </w:p>
    <w:p w:rsidR="00000000" w:rsidDel="00000000" w:rsidP="00000000" w:rsidRDefault="00000000" w:rsidRPr="00000000" w14:paraId="000006D0">
      <w:pPr>
        <w:spacing w:after="0" w:line="360" w:lineRule="auto"/>
        <w:jc w:val="right"/>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sz w:val="24"/>
          <w:szCs w:val="24"/>
          <w:rtl w:val="0"/>
        </w:rPr>
        <w:t xml:space="preserve">Rosária de Fátima de Sá Pereira da Silva</w:t>
      </w: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tl w:val="0"/>
        </w:rPr>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Vivenciamos nos últimos três anos uma crise sanitária de caráter global deflagrada pela pandemia da Covid-19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Menegat (2020) ao analisar os efeitos da crise no mundo, sustenta que o novo coronavírus aprofundaria e muito a crise do sistema capitalista, instituindo o que o autor denominou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Convergência do Terror.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cenário confirma que o modo de produção capitalista nada mais tem a oferecer à sociedade, pois há muito esgotou sua potencialidade civilizatória, restando à humanidade a barbárie. Para Menegat, a covid-19 operacionalizou o contraste que nos permite sintonizar esta assertiva. </w:t>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outro lado, registramos que, para Lukács, o mesmo ser social que vivencia no cotidiano os constrangimentos da barbárie, dialeticamente, não se desprende de seu potencial transformador de si mesmo e da natureza. Para Lukács, verifica-se aqui a existência da dialética de tensões, à medida em que é no cotidiano que ocorre a processualidade da constituição e desenvolvimento do ser social (Netto, 2010, p. 70). </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Desejamos demarcar, nestas linhas iniciais, o caráter aniquilador do período mais crítico da crise sanitária. Apontando seus atravessamentos para a classe trabalhadora brasileira e, principalmente para as mulheres, que sofreram diariamente as consequências do isolamento social: quer seja na intensificação do trabalho feminino e/ou do trabalho doméstico, o que se convencionou na literatura a conceituar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Pr>
        <w:footnoteReference w:customMarkFollows="0" w:id="8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quer seja no importante aprofundamento dos índices de violência sexual contra mulheres no período em destaque. Nossa intenção é, que através deste ensaio possamos construir uma análise sobre o impacto da pandemia da covid-19 para o aumento do fenômeno da violência sexual contra mulheres, neste primeiro quadrimestre do ano de 2020, no Brasil. Este percurso teórico, de caráter inicial, propõe-se a tecer algumas pistas sobre condução política durante o Governo Bolsonaro, com destaque ao recrudescimento da onda neoconservadora que se arvorou no país e que protagonizou um amplo legado de retrocesso no campo das políticas públicas de gênero.</w:t>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argumento, verifica-se o avanço de forças conservadoras, com o objetivo de descontinuar a pauta de gênero nas políticas públicas e, ainda impedir a utilização do termo “gênero” nas legislações federais com vistas ao  enfraquecimento das pautas reivindicatórias, a fim de despotencializar o avanço da agenda feminista, dos movimentos sociais, da academia e demais atores implicados neste campo. O contexto favoreceu a uma luta simbólica entre líderes religiosos, segmentos da sociedade civil organizada, partidos políticos, que demonstravam interesses políticos antagônicos: de um lado os que lutam pela concepção heteronormativa e patriarcal da sociedade e, de outro, os que estão nas trincheiras pela valorização da autonomia dos sujeitos sobre seus corpos e sexualidade. Nesta disputa, observa-se a apropriação errônea da categoria gênero, diferentemente do que foi desenvolvida pelas intelectuais feministas e, posteriormente foi adotada enquanto linguagem de política pública. O discurso moral equivocado legitimado pelo governo anterior e, ainda vigente através de muitos representantes do alto escalão da política brasileira, tem gerado uma enorme tensão no campo das políticas públicas de gênero e direitos humanos, ao passo que intensificou o discurso anti-gênero, como uma tentativa de combater a ampliação dos direitos sexuais e reprodutivos, sob a perspectiva do gênero (Machado, 2018, p. 13).</w:t>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Mota e Rodrigues elucidam que o Brasil experiencia uma profunda ofensiva do segmento moral-cristão e conservador reacionário. Destacam que nem todo conservadorismo é do tipo reacionário. Não obstante, o que viceja no Brasil, se revela com esses atributos. No argumento das autoras, o pensamento social conservador, que não é aqui explicitado como uma referência ao anacronismo, mas é situado como uma categoria que é funcional à dinâmica do capitalismo contemporâneo, dotado de elementos ideológicos estruturantes, que detém centralidade no antagonismo das classes fundamentais. À medida em que avança politicamente, ideologicamente, permeia as instituições e alicerça suas raízes no cotidiano da vida dos sujeitos (Mota e Rodrigues, 2020, p. 203).</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plano formal, é esse segmento que hegemoniza a direção central das políticas públicas no Brasil. Este protagonismo produz efeitos nefastos na condução das políticas públicas enfrentamento a violência de gênero, pois objetivam descontinuar a pauta de gênero nas políticas públicas e nas legislações, impulsionando o discurso anti-gênero ou sobre a famigerada “ideologia de gênero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numa tentativa de frear a ampliação dos direitos sexuais e reprodutivos na perspectiva dos gêneros.</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pandemia da Covid-19, o obscurantismo associado ao conservadorismo de tipo reacionário que alicerçado sob os ideais neoliberais expande seus tentáculos para a desregulamentação, para a privatização da esfera pública aprofundando ainda mais a recessão de direitos, contribuindo para o solapamento das mulheres que sofrem de diversas maneiras os atravessamentos das desigualdade nas relações patriarcais de gênero e, de forma muito particular a objetificação, disciplinamento e reificação de seu corpo, através da violencia sexual.</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Sobre as relações de gênero e patriarcado</w:t>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análise sobre as relações patriarcais de gênero, utilizaremos como referência teórico-conceitual (Federici, 2017; Segato, 2016; Scholz, 1996). Sabemos que as autoras fundamentam suas reflexões por matizes diferenciadas, porém não divergentes entre si. Convergem, sobretudo, na análise de que o capitalismo é a peça fundamental desta engrenagem que intensifica e aprofunda as relações de violência e misoginia contra as mulheres, resultando inclusive na violência de gênero em sua forma mais nefasta: o feminicídio. Federici analisa as relações patriarcais a partir dos processos de expansão do capitalismo originário, assim descrito por Marx como o período de acumulação primitiva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incorre em registros exponenciais de violência e morte de mulheres, a exemplo da caça às bruxas, nos idos dos séculos XV e XVI, período em que as execuções de mulheres tomaram seu ponto máximo. Já nos séculos XVI e XVII as mulheres compreendiam cerca de 80% das pessoas julgadas e condenadas por crimes de bruxaria (Federici, 2017, p. 323). </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Federici analisa que a caça às bruxas foi uma guerra contra as mulheres. Uma tentativa de demonizá-las, degradá-las, condená-las sob o argumento de má reputação, dentre outras coisas, as acusações recorrentes nos julgamentos eram de que as mulheres acusadas de bruxaria eram envolvidas em orgias sexuais, acusadas de deixar os homens impotentes e de gerar uma excessiva paixão erótica nos homens. Este último argumento era inclusive utilizado como justificativa pelos homens para encobrir seus crimes praticados. Argumentavam a respeito da sexualidade feminina, como uma espécie de feitiço e, assim, culpabilizavam as mulheres pelos crimes cometidos por eles mesmos. (Federici, 2017, p.341). Esta é uma importante chave de leitura que demonstra o excessivo controle e disciplinamento sobre os corpos e sexualidade feminina, num contexto em que havia um imenso colapso populacional, em que o contingente da força de trabalho estava em franco declínio. O Estado, para este fim, promoveu uma política de regulação da capacidade de procriação das mulheres, no sentido de aumentar a taxa de natalidade. A crise demográfica na Europa, segundo as análises de Federici, não era uma ocorrência isolada. De modo que eram ocasionadas pelos próprios contextos de expansão capitalista que promovia uma intensa mortandade populacional, a exemplo da peste negra, século XIV, em que cidades foram dizimadas (Federici, 2017, p. 168). A autora argumenta que: “foram nas câmaras de tortura e na fogueira onde se forjaram os ideais burgueses de feminilidade e domesticidade” (Federici, 2017, p.334).</w:t>
      </w:r>
    </w:p>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 o patriarcado, Federici compreende que as relações de poder entre homens e mulheres existiam em período anterior ao advento do capitalismo, assim como um tipo de divisão sexual do trabalho. A autora explica que com o capitalismo a subsunção das mulheres aos homens, dentre outras coisas, tinha um diferencial: o acesso à terra. O capitalismo traz consigo a propriedade privada e, neste aspecto as mulheres deixam de ter acesso ao comum para se tornarem os próprios bens comuns, juntamente com seu trabalho definido como um recurso natural e extrínseco as relações de mercado.  A partir daí significativas mudanças ocorreram na família, se distanciando da esfera pública e tornando-se o lócus privilegiado para a reprodução da força de trabalho (Federici, 2017, p. 192).</w:t>
      </w:r>
    </w:p>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 formulações de Segato é inconteste a existência de estruturas de gênero nas sociedades indígenas e afro-americanas pré-colonizadas. A autora propõe que há uma interface no mundo pré intrusão e na colonialidade moderna, a partir das transformações nas relações de gênero. Neste viés a autora define o gênero como um dos temas da crítica descolonial, bem  como um dos aspectos da dominação no padrão da colonialidade (Segato, 2014, p. 78). Segato localiza seu debate destacando três vertentes do pensamento feminista, quais sejam: A primeira, o feminismo eurocêntrico, em que afirma que o problema da dominação patriarcal e de gênero se consolida de forma universal.  A segunda análise aponta para o posicionamento da autora Maria Lugones que infere sobre a inexistência das relações de gênero no mundo pré-colonizado. E, por fim, a terceira vertente que é a formulada por Segato, na qual defende a existência das relações nas sociedades pré-colonializadas. Na avaliação da autora, há incidência da organização patriarcal nas sociedades indígenas e afro-americanas, mesmo que em condições diferenciadas, neste caso Segato denomina como patriarcado de baixa intensidade (Segato, 2014, p. 76). Sendo assim,  autora compreende que existem dados históricos suficientes que justificam a existência de estruturas semelhantes às relações de gênero na modernidade. Contendo muito claramente hierarquias de prestígio entre homens e mulheres. Há também, segundo Segato, o  reconhecimento de características da pré-intrusão, nas dimensões de masculinidade que acompanham a humanidade há muito tempo, uma espécie de pré-história patriarcal da humanidade (Segato, 2014, p. 78). </w:t>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Nesta concepção, gênero e patriarcado preexistem antes mesmo do período intrusivo, contudo assumem formas de dominação diferentes das que incidem na modernidade. Não obstante, quando essa forma colonial moderna de aproxima do gênero no mundo aldeia, transforma e complexifica estas relações existentes. </w:t>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salienta que o processo de colonização trouxe consigo uma perda radical do poder político das mulheres e “promoveu a domesticação das mulheres e sua maior distância e sujeição para facilitar a empresa colonial”. A moralidade em torno sexualidade feminina, que reduz e objetifica o corpo  das mulheres, ao mesmo tempo forja nestas relações a concepção do pecado (2014, p. 80). Compreende que a expansão da colonialidade moderna acarretou de maneira ampla e massiva um impacto nas relações sociais e, principalmente na organização das relações de gênero, ao passo que, a história do patriarcado condensa fundamentos indispensáveis para apreendermos o que a autora chama de “giro social”, que é evidenciado pelo percurso histórico que significou todo processo de intervenção, reordenamento e agravamento das hierarquias preexistentes. Importa mencionar que a autora defende que esta leitura sobre as transformações possibilita o entendimento de que a vasta quantidade de fenômenos do presente, que oferecem impactos diretos a toda vida social, estão muito além de constituírem apenas o problema da mulher, pois o gênero é o modo primordial de organização do poder nas relações sociais capitalistas (Segato, 2016, p.92). Esta leitura, embora eloquente, oferece um tensionamento para nossa compreensão, à medida que recepcionamos a ideia de que as relações sociais estão engendradas nas contradições fundamentais da sociedade burguesa, estruturadas pela existência das identidades sociais básicas: a de gênero, a de raça/etnia e a de classe. Essas dimensões, na perspectiva adotada, entrelaçam-se como 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sendo possível sua apreensão de forma autônoma, uma vez que estão engendradas pelos antagonismos que lhes originam (Saffioti, 2015, p. 133).</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Violência sexual no contexto da pandemia da Covid-19</w:t>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objetificação do corpo da mulher é uma tônica preponderante nos estudos sobre violência contra a mulher e feminicídio, pois nos corpos das mulheres, ao longo do processo histórico, incidiram forte controle, dominação e disciplinamento, inclusive de sua sexualidade. Não obstante, estes dados revelam também que sobre os corpos das mulheres negras ainda incidem resquícios da objetificação, tal qual as mulheres negras escravizadas, sob a premissa de que as mulheres negras são altamente sexualizadas. hooks destaca que no imaginário social “a mulher negra é liberada e pronta para o sexo” (2019, p. 137). </w:t>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compreensão sobre o fenômeno da violência de gênero em suas variadas expressões, localizada no contexto do modo de produção capitalista, fornece pistas essenciais para a análise do aumento nos índices de violência sexual no primeiro quadrimestre de 2020, quando da vigência das medidas de distanciamento social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decorrência da contaminação pela Covid-19. </w:t>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relatório do Fórum de Segurança Pública que analisou as notificações de estupro e estupro de vulnerável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ocorridas no mês de abril de 2020, em comparação com os dados obtidos em igual período do ano de 2019,  identificou que em abril do ano de 2019 foram registradas 423 notificações de violência sexual, ao passo que em abril de 2020 foram registradas 214 notificações. As pesquisas revelaram a variação de -49,4% de notificações durante a vigência da pandemia.  Na média Nacional, o relatório menciona a redução de 39,3% da média de notificações de violência sexual no país. </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Estes dados apontam para um cenário devastador de silenciamento das mulheres e de subnotificação de dados que explicitem fidedignamente a face da violência sexual neste período. </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Ainda sobre a pesquisa realizada pelo fórum de segurança pública, no período de março a maio de 2020 reafirma o Fórum a redução nos registros de estupro. Neste período houve uma queda de 31,6% em relação ao mesmo período do ano passado. Em relação à média Nacional dos estados pesquisados houve redução de 50% no número de notificações, com destaque para Espírito Santo com 79,8%; Ceará com 64,1% e o Rio de Janeiro com 61,2%, estados que apresentaram os maiores percentuais de redução do número de notificações por violência sexual, neste período de 2020.</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nossa hipótese é que esta redução nem de longe expressa a diminuição dos casos violência sexual, neste ano. Ao contrário, identificamos a gravidade da desproteção social na qual as mulheres estão submetidas, em razão da descontinuidade dos serviços da rede de enfrentamento, que em virtude da pandemia direcionaram esforços para o atendimento remoto, dentre outros fatores. Ofertar denúncia sobre crimes de violência sexual, de um modo geral, produz e reproduz efeitos vilipendiadores na vida das mulheres. Não obstante, depreende-se que tais dificuldades foram agravadas e potencializadas no curso da pandemia, conferindo um grande lastro de subnotificação e, em muitos casos, desproteção social e, ainda, mortalidade de mulheres. </w:t>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a Pesquisa Nacional de Vitimização do Ministério da Justiça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w:t>
      </w:r>
      <w:r w:rsidDel="00000000" w:rsidR="00000000" w:rsidRPr="00000000">
        <w:rPr>
          <w:rFonts w:ascii="Times New Roman" w:cs="Times New Roman" w:eastAsia="Times New Roman" w:hAnsi="Times New Roman"/>
          <w:b w:val="0"/>
          <w:i w:val="0"/>
          <w:smallCaps w:val="0"/>
          <w:strike w:val="0"/>
          <w:color w:val="c0504d"/>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uma maneira geral, o crime de estupro possui baixos percentuais de notificação à Polícia. A pesquisa aponta que apenas 7,5% das vítimas de violência sexual notificam a política. Dentre os fatores pode-se observar: Medo do agressor; Medo de exposição; Incredulidade no sistema de justiça; Misoginia; Cultura do estupro, dentre outros.</w:t>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território geográfico configura uma potente mediação para análise de como as mulheres conformarão e experienciarão as relações de violência em seu cotidiano e, ainda, poderão definir os caminhos para o acesso ao seu enfrentamento.  Neste sentido, mulheres residentes em territórios deflagrados pela violência de grupos armados, podem encontrar mais dificuldades para acessar os espaços de enfrentamento a violência, uma vez que os níveis de disciplinamento e dominação dos corpos femininos obedecem a outros enquadramentos de controle. </w:t>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iluminar nosso argumento, destacamos a análise de Segato: “os crimes do patriarcado se adequam perfeitamente ao contexto faccional, pois ao patriarcado é propícia a lógica horizontal dos pares constituída pela masculinidade”(Segato, 2006, p.6).</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violência dirigida às mulheres nestes territórios, por vezes tem o caráter de atualizar seus acordos, através da exposição cruel de sua capacidade de aniquilamento e crueldade provocada diretamente no corpo da mulher (Segato, 2006, p. 7).</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despeito do ano de 2021, o 16º Anuário Brasileiro de Segurança Pública  aponta o quantitativo de 66.020 estupros em todo país, no referido ano da amostragem. Revela o aumento de 4,2% dos casos, sendo que 75,5% das vítimas eram vulneráveis, incapazes de consentir com o ato sexual. 61,3% das vítimas de violência sexual tinham até 13 anos e em 79,6% dos casos o autor era conhecido da vítima.</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casos de assédio somaram 4.922, aumento de 2,3% e importunação sexual foram 19.209, aumento de 9% em relação ao ano de 2020 (FBSP, 2022, p. 176).</w:t>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obstante, no ano de 2022, os dados do 17º Anuário Brasileiro de Segurança Pública apontam para 65.569 casos de estupro e estupro de vulnerável contra a população feminina. Os casos de estupro tiveram uma variação de 9,5% de aumento em relação ao ano de 2021, contudo os casos de estupro de vulnerável subiram 8,2% em relação ao ano anterior. Além de 6.114 casos de assédio sexual e 27.530 de importunação sexual, em todo território Nacional (FBSP,2023, p. 150).</w:t>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Estes dados indicam a concepção de que a violência contra a mulher é um fenômeno global, mas não afeta todas as mulheres da mesma forma. Raça e gênero são categorias que explicitam discriminações e subalternidades e, que histórica e estruturalmente produzem desigualdades, nas quais as mulheres negras encontram-se em situações de maior vulnerabilidade na sociedade brasileira. As barreiras forjadas pelas relações de raça e classe fazem com que as mulheres negras vivenciem seu cotidiano muitas formas de violência, pobreza, dificuldades de acesso aos serviços de saúde, bem como a falta de assistência específica para os cuidados relativos à saúde das mulheres negras. </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Neste aspecto, historicamente, as mulheres constituem as maiores vítimas da violência sexual, os dados dos anos anteriores apontam nesta direção. </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Na pesquisa veiculada pelo Fórum Brasileiro de Segurança Pública 2019, relativos aos dados de 2018, mostra que o percentual de estupros cresceu cerca de 4,1% em relação ao ano anterior. No ano de 2018, foram notificados uma média de 180 estupros por dia no Brasil. Em todo ano, foram registrados 66.041 casos de violência sexual, maior quantitativo registrado, aponta a pesquisa. Deste universo, 81,8% são mulheres, deste percentual 50,9% são de mulheres negras e 48,5% mulheres brancas.</w:t>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os dados do Dossiê Mulher 2020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violência sexual aumentou 14,2% de 2018 para 2019. Na mesma tendência os casos de  estupro subiram 3,2% e as tentativas de estupro uma média de 8,8% no igual período. </w:t>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mulheres negras constituem 56,3% das vítimas de estupro e 56,5% das vítimas de estupro de vulnerável. </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sentido, o Dossiê Mulher 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registra que houve um aumento significativo nos casos de violência sexual no âmbito do Estado do Rio de Janeiro. A pesquisa sinaliza um crescimento de 10,8% em relação 2021 e 2020. Em números absolutos a pesquisa aponta 5.645 casos no ano de 2020, seguido por 6.255 casos registrados em 2021. </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Gonzalez aponta que o lugar da mulher na sociedade brasileira está situado a partir das dimensões de raça e sexo, à medida em que o racismo constitui a sintomática que caracteriza a neurose cultural brasileira. Para a autora, o mito da democracia racial seria uma estratégia pari passu à ideologia do branqueamento e teria seu sentido no que denomina a “sintomática neurose cultural brasileira”, em que há a prevalência da negação do racismo, por meio do ocultamento e da naturalização das práticas racistas revisitadas cotidianamente, principalmente na vida das mulheres negras. Em contraposição, transbordam manifestações do que não pode ser ocultado: a africanidade consubstanciada nas relações sociais, culturais, religiosas, na linguagem – “o pretuguês” evidenciadas no Brasil. Sendo assim, a articulação do racismo com o sexismo produz efeitos violentos sobre a vida da mulher negra em particular. A autora formula sobre a tripla imagem da mulher negra da sociedade brasileira, analisando-a a partir das noções de mulata, doméstica e mãe preta (Gonzalez, 1984).</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Federici, o avanço do neoconservadorismo político, promove uma política de privatizações, corte em gastos públicos nas políticas sociais e o encarceramento em massa, inclusive o feminino, fenômeno que cresce mormente, em virtude dos altos índices de feminização da pobreza. Este panorama de recrudescimento do controle do estado e do grande  capital na vida dos sujeitos e, principalmente na vida das mulheres, tende a sufocar a capacidade de lutas sociais, bem como o exercício da práxis social. Localizamos na realidade um período de amplo retrocesso não somente na implementação, mas também na garantia de dos direitos das mulheres. No entanto, dialeticamente, ao mesmo tempo em que se retroage em direitos, as lutas feministas avançam na resistência, na denúncia e protagonizando tentativas de suplantar a ordem social imposta (Federici, 2019).</w:t>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realiza uma análise sobre as novas guerras e seus impactos na vida das mulheres, nesta fase apocalíptica do capital. Seu argumento é o de que a violência que assola o feminino se materializa tanto em formas de destruição corporal, como na comercialização do que os corpos podem oferecer até o seu limite. Mesmo com o aparato legal e a promulgação de leis e políticas públicas de proteção às mulheres, sua vulnerabilidade, frente à violência, cresce a passos largos. A autora argumenta que, na atualidade, há a incidência de um padrão de descontinuidade no sistema bélico caracterizado pelo predomínio da informalidade e de uma ação paraestatal, ainda nos casos que o estado seja a agência propulsora. A autora sustenta que a função atribuída ao corpo feminino ou feminizado nas guerras da atualidade, inauguram uma nova atividade bélica, em que a agressão, a dominação e a violência sexual já não são resultantes ou efeitos colaterais da guerra, mas tem adquirido centralidade na estratégica bélica para dominação.</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À exemplo disto citamos que, de acordo com o estudo realizado por Domingues (2020), uma mulher morre a cada dois dias por aborto inseguro no Brasil. Todos os anos 1 milhão de abortos induzidos ocorrem, levando em média 250 mil mulheres à hospitalização. Estes dados nos permitem refletir sobre quais serão os impactos da Portaria do Ministério da Saúde de 2.282 de agosto de 2020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vida das mulheres e, principalmente das mulheres negras.</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dados do aplicativo EVISU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número de registros de violência sexual no sistema único de saúde dobrou entre o período de 2011 e 2016. Em 2016, o SUS contabilizou 22.918 notificações. Analisando o percentual de subnotificações, em decorrência deste tipo de crime, estima-se que que teria havido entre 300 mil  e 500 mil casos de estupro durante o ano de 2016.  Ainda segundo o EVISU a violência sexual oferece impactos contundentes para a vida das mulheres, quais sejam: abandono dos estudos, aborto inseguro, uso abusivo de álcool e outras drogas, doenças relacionadas à saúde mental.</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Considerações finais</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transformações impostas ao cotidiano das mulheres, em suas mais diversas formas de expropriação e dominação aprofundadas pelas novas condições do capitalismo mundial, pela Pandemia da Covid-19 e pela sua consequente implicação nas relações patriarcais de gênero, com ênfase na violência sexual, constituem a matéria-prima fundamental para a elaboração deste ensaio. </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crise sanitária trouxe à visibilidade os graves problemas que as políticas públicas de um modo geral, e as de gênero em particular, vem enfrentando face a conjuntura típica do conservadorismo moral reacionário e ultraneoliberal dirigida pelo capitalismo financeiro e rentista que produz barbárie e condições predatórias para a classe trabalhadora. Muitas são as tensões no cenário econômico, político e social que tiveram como importante marcador o golpe de 2016, em que se atualizou o patriarcado numa de suas faces mais opressoras – a misoginia. Na direção dos rumos econômicos, políticos e sociais que tiveram envergadura no Brasil, após o processo de impeachment, elencamos o agravamento dos índices de feminização da pobreza, como consequência do amplo processo de desemprego estrutural e do aprofundamento das políticas de ajustamento fiscal, com destaque à promulgação da Emenda Constitucional do Teto de Gastos Públicos, em dezembro de 2016, que imprimiu um novo ordenamento nas políticas de seguridade social do país, refletindo em severos impactos nas condições de sobrevivência da classe trabalhadora e, em especial, das mulheres trabalhadoras. </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linhas gerais, as mulheres reivindicam os espaços políticos que historicamente foram protagonizados pelos homens e dinamizam coletivamente as lutas sociais por emancipação humana. As lutas feministas, aponta Federici, tendem a recombinar o que foi fraturado pela divisão social do trabalho no capitalismo, resultantes do processo de cisão entre produção e reprodução das condições de vida. Para a autora, é um imperativo incluir na agenda política feminista a coletivização do trabalho doméstico, como uma forma de organizar e socializar o trabalho e, consequentemente os demais espaços da vida social (Federici, 2019, p. 323). </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Essas lutas são importantes numa tentativa de forjar a ampliação de respostas do Estado para a agenda feminista sobre direitos da mulher, sobre o enfrentamento da violência de gênero, através de políticas que protagonizem o direito e a liberdade das mulheres ao seu próprio corpo, à educação sexual e reprodutiva, ao abortamento legal e seguro. Ao acesso indiscriminado e humanizado à saúde universal, nos casos de violência sexual. </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Acreditamos na existência de possibilidades de resistência contidas na própria dimensão da realidade, a fim de forjar novas possibilidades de sobrevivência e de liberdade. Compreendemos, conforme (Pougy, 2011; Tonet, 2007; Coutinho, 1997) que a cidadania plena é irrealizável numa sociedade capitalista, que tem como norte a conformação de interesses específicos – os da classe dominante. No entanto, consideramos que é possível experimentar faces de uma cidadania e reivindicar sua ampliação na sociedade. Principalmente através das organizações, em que as mulheres possam protagonizar seus próprios processos históricos como sujeitos políticos, verificando as possibilidades contidas na história.</w:t>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Referências bibliográficas </w: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ALMEIDA, S.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Violência de gênero e políticas públicas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UFRJ, 2007.</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S.; LIMA, R. S.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Anuário brasileiro de segurança pública 2019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FBSP, 2019. Disponível em: </w:t>
      </w:r>
      <w:hyperlink r:id="rId11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https://bit.ly/3gj6RRd</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13 de outubro de 2023. </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Racismo, sexismo e desigualdade no Brasil</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Selo Negro, 2011.</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S. Enegrecer o feminismo: a situação da mulher negra na América Latina a partir de uma perspectiva de gênero. In: HOLLANDA, H. B. (Org.).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Pensamento feminista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conceitos fundamentais. Rio de Janeiro: Bazar do Tempo, 2019. p. 313-321.</w:t>
      </w:r>
    </w:p>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COUTINHO, C. N. Notas sobre cidadania e modernidade.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Praia Vermelha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Estudos de política e teoria social. Vol. 1, n.1, Pós-graduação da Escola de Serviço Social da UFRJ, 1997.</w:t>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DAVIS,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Mulheres, raça e classe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 Heci Regina Candiani. São Paulo: Boitempo, 2016.</w:t>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DOMINGUES, Rosa Maria Soares Madeira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Aborto inseguro no Brasil: revisão sistemática da produção científica, 2008-2018. Cadernos de Saúde Pública [online], Rio de Janeiro, v. 36, supl.1. Disponível em  </w:t>
      </w:r>
      <w:hyperlink r:id="rId11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http://bvsms.saude.gov.br/edicoes-2020/is-n-03/3227-aborto-induzido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12 de outubro de 2023.</w:t>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DOSSIE MULHER 2022. Rio de Janeiro: Instituto de Segurança Pública. Edição 16, 2022. Disponível em: </w:t>
      </w:r>
      <w:hyperlink r:id="rId11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https://arquivo.proderj.rj.gov.br/isp_imagens/uploads/DossieMulher2022.pdf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13 de outubro de 2023.</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DOSSIE MULHER 2021. Rio de Janeiro: Instituto de Segurança Pública. Edição 15, 2021. Disponível em: </w:t>
      </w:r>
      <w:hyperlink r:id="rId12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http://arquivo.proderj.rj.gov.br/isp_imagens/uploads/DossieMulher2021.pdf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13 de outubro de 2023.</w:t>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FEDERICI,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calibã e a bruxa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mulheres, corpo e acumulação primitiva. Trad. Coletivo Sycorax. São Paulo: Elefante, 2017.</w:t>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FEDERICI, 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 ponto zero da revolução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trabalho doméstico, reprodução e luta feminista. Trad. Coletivo Sycorax. São Paulo: Elefante, 2019.</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FORUM BRASILEIRO DE SEGURANÇA PÚBLICA.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Técnica Violência Doméstica durante a pandemia de Covid-19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edição 3, 2020. Disponível em: </w:t>
      </w:r>
      <w:hyperlink r:id="rId12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https://forumseguranca.org.br/wp-content/uploads/2018/05/violencia-domestica-covid-19-ed03-v2.pdf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em13 de outubro de 2023 .</w:t>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FORUM BRASILEIRO DE SEGURANÇA PÚBLICA.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17º Anuário Brasileiro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Paulo, edição 17, 2023. Disponível em:</w:t>
      </w:r>
      <w:hyperlink r:id="rId12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https://forumseguranca.org.br/wp-content/uploads/2023/07/anuario-2023.pdf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13 de outubro de 2023. </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FORUM BRASILEIRO DE SEGURANÇA PÚBLICA.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16º Anuário Brasileiro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Paulo, edição 16, 2022. Disponível em: </w:t>
      </w:r>
      <w:hyperlink r:id="rId12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https://forumseguranca.org.br/wp-content/uploads/2022/06/anuario-2022.pdf?v=15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13 de outubro de 2023. </w:t>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GONZALEZ, L. Racismo e sexismo na cultura brasileira.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Ciências Sociais Hoje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2, p. 223-238, 1984. </w:t>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HOOKS, 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Olhares negros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raça e representação. Trad. Stephanie Borges. São Paulo: Elefante, 2019.</w:t>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IANNI, O. A construção da categoria.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HISTEDBR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Campinas, v. 11, n. 41e, p. 397-416, 2011. Número especial.</w:t>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INSTITUTO DE PESQUISA ECONÔMICA APLICADA (Org.).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Atlas da violência 2019</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Brasília, DF: Rio de Janeiro: São Paulo: IPEA: FBSP, 2019. Disponível em: https://bit.ly/314Vxlg. Acesso em: 13 de outubro de 2023.</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INSTITUTO DE SEGURANÇA PÚBLICA (Org).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Dossiê Mulher.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2020. Disponível em: </w:t>
      </w:r>
      <w:hyperlink r:id="rId12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http://www.isp.rj.gov.br/Conteudo.asp?ident=48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12 de outubro de 2023.</w:t>
      </w:r>
    </w:p>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LUKÁCS, 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 bases ontológicas do pensamento e da atividade do homem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 Carlos Nelson Coutinho. São Paulo: Ciências Humanas, 1968. p. 1-18.</w:t>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MARX, K.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Contribuição à crítica da economia política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Expressão Popular, 2008a.</w:t>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MARX, K.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crítica da economia política. Trad. Reginaldo Sant’Anna. Rio de Janeiro: Civilização Brasileira, 2008b. Livro 1, v. 1.</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MARX, K. (1867).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capital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crítica da economia política. Trad. Reginaldo Sant’Anna. Rio de Janeiro: Civilização Brasileira, 2009. Livro 1, v. 2.</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MENEGAT, M. Convergência do Terror.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Metaxy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Disponível em: </w:t>
      </w:r>
      <w:hyperlink r:id="rId12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http://www.nepp-dh.ufrj.br/artigo_07_04_2020_prof_Marildo.pdf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10 de dezembro de 2020.</w:t>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 A face e a máscara: a barbárie da civilização burguesa.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Pegada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8, n 2, p. 27-46, 2007.</w:t>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MINISTÉRIO DA JUSTIÇA E SEGURANÇA PÚBLICA; SECRETARIA NACIONAL DE SEGURANÇA PÚBLICA.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Pesquisa Nacional Sobre Vitimização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Instituto Data Folha: Brasília, 2013. Disponível em: </w:t>
      </w:r>
      <w:hyperlink r:id="rId12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https://www.crisp.ufmg.br/wp-content/uploads/2013/10/Relat%C3%B3rio-PNV-Senasp_final.pdf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21 de dezembro de 2020.</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MOTA, A.E; RODRIGUES, M. Legado do Congresso da Virada em tempos de Conservadorismo reacionário.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Katálysis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Florianópolis, v.23, n. 2, p.199-212, maio/ago. 2020.</w:t>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NETTO, J.P; CARVALHO, M.C.B.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Cotidiano: Conhecimento e Crítica.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 São Paulo: Cortez Editora, 2010.</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POUGY, L.G. Desafios Contemporâneos aos Direitos Humanos no Brasil.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do CFCH – UFRJ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2, nº4. Dez, 2011.</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SAFFIOTI, H. I. B. Violência de gênero: o lugar da práxis na construção da subjetividade.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Lutas Sociais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2, p. 59-79, 1997. Disponível em: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https://bit.ly/2EvBmoO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29 ago. 2019.</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SAFFIOTI, H. I. 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Gênero, patriarcado, violência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ed. São Paulo: Expressão Popular, 2015.</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R. Que és un feminicidio: notas para un debate emergente. In: BELAUSTEGUIGOITIA, M.; MELGAR, L. (Orgs.).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onteras, violencia, justicia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nuevos discursos. Ciudad de México: PUEG: UNIFEM, 2008. 43 p.</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R. Colonialidad y patriarcado moderno: expansión del frene estatal, modernización, y la vida de las mujeres. In: MIÑOSO, Y. E.; CORREAL, D. G.; MUÑOZ, K. O. (Orgs.).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Tejiendo de otro modo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feminismo, epistemologia y apuestas descoloniales en Abya e Yala. El Tambo: UC, 2014. p. 75-91.</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guerra contra las mujeres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Madrid: Traficantes de Sueños, 2016.</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Contra-pedagogías de la crueldad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Buenos Aires: Prometeo Libros, 2018.</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SCHOLZ, R. O valor é o homem: teses sobre a socialização pelo valor e a relação entre os sexos.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Novos Estudos – CEBRAP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45, p. 15-36, 1996.</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TONET, I. Cidadão ou homem livre?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Democracia ou Liberdade?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Maceió: UFAL, 2007.</w:t>
      </w:r>
    </w:p>
    <w:p w:rsidR="00000000" w:rsidDel="00000000" w:rsidP="00000000" w:rsidRDefault="00000000" w:rsidRPr="00000000" w14:paraId="0000075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8">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MULHERES EM SITUAÇÃO DE VIOLÊNCIA DOMÉSTICA E ACESSO AO SISTEMA DE JUSTIÇA: “A VIA CRUCIS” DAS MULHERES</w:t>
      </w:r>
    </w:p>
    <w:p w:rsidR="00000000" w:rsidDel="00000000" w:rsidP="00000000" w:rsidRDefault="00000000" w:rsidRPr="00000000" w14:paraId="00000769">
      <w:pPr>
        <w:spacing w:after="0" w:line="360" w:lineRule="auto"/>
        <w:jc w:val="right"/>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sz w:val="24"/>
          <w:szCs w:val="24"/>
          <w:rtl w:val="0"/>
        </w:rPr>
        <w:t xml:space="preserve">Rosangela Pereira da Silva</w:t>
      </w:r>
      <w:r w:rsidDel="00000000" w:rsidR="00000000" w:rsidRPr="00000000">
        <w:rPr>
          <w:rFonts w:ascii="Times New Roman" w:cs="Times New Roman" w:eastAsia="Times New Roman" w:hAnsi="Times New Roman"/>
          <w:sz w:val="24"/>
          <w:szCs w:val="24"/>
          <w:vertAlign w:val="superscript"/>
        </w:rPr>
        <w:footnoteReference w:customMarkFollows="0" w:id="90"/>
      </w:r>
      <w:r w:rsidDel="00000000" w:rsidR="00000000" w:rsidRPr="00000000">
        <w:rPr>
          <w:rtl w:val="0"/>
        </w:rPr>
      </w:r>
    </w:p>
    <w:p w:rsidR="00000000" w:rsidDel="00000000" w:rsidP="00000000" w:rsidRDefault="00000000" w:rsidRPr="00000000" w14:paraId="0000076A">
      <w:pPr>
        <w:widowControl w:val="0"/>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Perspectiva de Gênero</w:t>
      </w:r>
    </w:p>
    <w:p w:rsidR="00000000" w:rsidDel="00000000" w:rsidP="00000000" w:rsidRDefault="00000000" w:rsidRPr="00000000" w14:paraId="0000076B">
      <w:pPr>
        <w:widowControl w:val="0"/>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6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de gênero, expressão de poder e dominação masculina baseada nas desigualdades sociais entre os gêneros, é um conceito amplo que reconhece a violência não como um ato isolado, mas como parte de um sistema social patriarcal que busca manter a subordinação das mulheres (Saffioti, 2001). Essa forma de violência está enraizada em normas, valores e estruturas sociais que, para se manterem, necessitam perpetuar as desigualdades entre os gêneros. </w:t>
      </w:r>
    </w:p>
    <w:p w:rsidR="00000000" w:rsidDel="00000000" w:rsidP="00000000" w:rsidRDefault="00000000" w:rsidRPr="00000000" w14:paraId="0000076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sistema patriarcal, os homens detêm o poder de impor normas sociais e, assim, são autorizados (ou tolerados) pela sociedade a punir o que consideram desviante deste sistema (Saffioti, 2001). No Brasil, assim como em outros países, o patriarcado contou com instrumentos legais para submeter as mulheres a um sistema de exploração e dominação. Dentre eles, destacamos as Ordenações Filipinas (entre os séculos XVI e XIX), em que se reconhecia o direito do marido matar a mulher em caso de adultério, ou em suspeita de tal. </w:t>
      </w:r>
    </w:p>
    <w:p w:rsidR="00000000" w:rsidDel="00000000" w:rsidP="00000000" w:rsidRDefault="00000000" w:rsidRPr="00000000" w14:paraId="0000076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encontramos o Código Penal Brasileiro de 1830, que declarava que o marido não possuía mais o direito de matar sua esposa, entretanto, o crime passaria a ser atenuado caso houvesse uma acusação de adultério contra a mulher. Mesmo já tendo se passado quase dois séculos, podemos dizer que a chamada “legítima defesa da honra” vigora no imaginário da nossa sociedade, e que é possível encontrar esse argumento como defesa a feminicidas como justificativa para assassinatos de mulheres.  Cabe ponderar que a legítima defesa da honra apenas é utilizada para justificar ou atenuar assassinatos de mulheres por homens. Não vale para mulheres que eventualmente matem homens adúlteros ou para mulheres que matam outras mulheres que violaram a monogamia. Somente em agosto de 2023 o Supremo Tribunal Federal promulgou uma ADPF - Arguição de Descumprimento de Preceito Fundamental, proibindo a utilização da “legítima defesa da honra” em sentenças</w:t>
      </w:r>
      <w:r w:rsidDel="00000000" w:rsidR="00000000" w:rsidRPr="00000000">
        <w:rPr>
          <w:rFonts w:ascii="Times New Roman" w:cs="Times New Roman" w:eastAsia="Times New Roman" w:hAnsi="Times New Roman"/>
          <w:sz w:val="24"/>
          <w:szCs w:val="24"/>
          <w:vertAlign w:val="superscript"/>
        </w:rPr>
        <w:footnoteReference w:customMarkFollows="0" w:id="9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6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importante compreendermos que sexo e gênero são conceitos distintos, porém relacionados. O sexo é uma construção social e cultural de poder ancorado principalmente nas características biológicas (sobretudo, as físicas), tais como os órgãos reprodutivos, entre outros aspectos que são tidos como masculinos ou femininos. As interpretações culturais e sociais dessas características biológicas são variáveis e dependem do contexto cultural, geográfico e histórico (Butler, 2013). Já o gênero é identificado como uma construção social que se refere às expectativas culturais e normas sociais em relação às identidades e comportamentos classificados socialmente como masculinos e femininos: as performances de gênero. Entendendo o gênero como performático, ou seja, que é algo que se faz, e não algo que se é, assume-se o gênero como uma construção social que se manifesta através de atos e performances que são repetidas ao longo do tempo e que são reconhecidas socialmente. Tendo base em uma binaridade entre o masculino e o feminino, o gênero como construção social de poder masculino restringe a expressão de outras identidades de gênero (Butler, 2013). </w:t>
      </w:r>
    </w:p>
    <w:p w:rsidR="00000000" w:rsidDel="00000000" w:rsidP="00000000" w:rsidRDefault="00000000" w:rsidRPr="00000000" w14:paraId="0000077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complexidade das identidades sociais e a importância de entender as diferentes formas de opressão e privilégio apresenta a perspectiva interseccional (Collins, 2021) como uma importante abordagem teórica e política que se baseia na ideia de que as desigualdades sociais, como raça, gênero, identidade, classe, sexualidade, origem geográfica, orientação religiosa e outras condições sociais e materiais não podem ser observadas de forma separada e independente, mas, ao contrário, devem ser estudadas em conjunto, interconectadas e mutuamente constitutivas. A perspectiva interseccional propõe uma análise mais complexa e profunda do que orientações teórico-metodológicas fragmentadas e episódicas.</w:t>
      </w:r>
    </w:p>
    <w:p w:rsidR="00000000" w:rsidDel="00000000" w:rsidP="00000000" w:rsidRDefault="00000000" w:rsidRPr="00000000" w14:paraId="0000077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complexidade da engrenagem que impulsiona os meios de acesso à segurança e justiça necessitam considerar as especificidades e os níveis de desigualdades e discriminação que diferentes grupos sociais sofrem sob o argumento de um direito formal e liberal que defende uma igualdade e uma universalidade virtuais, que não podem ser encontradas na realidade concreta, e que um sistema de justiça baseado num sujeito universal cartesiano ou num sujeito desengajado kantiano não atende satisfatoriamente todas as pessoas reais, e, portanto, não é capaz de garantir o preceito constitucional da isonomia, porque a singularidade dos sujeitos fornece muito mais complexidade que um único modelo de ser humano. Uma perspectiva mais próxima da realidade precisa considerar as singularidades dos sujeitos, as particularidades conjunturais e relacionar isso com a totalidade, que é complexa e contraditória - mesmo que saibamos que todas as particularidades confirmam a totalidade, ainda que de maneira contraditória.</w:t>
      </w:r>
    </w:p>
    <w:p w:rsidR="00000000" w:rsidDel="00000000" w:rsidP="00000000" w:rsidRDefault="00000000" w:rsidRPr="00000000" w14:paraId="0000077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3">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Violência contra a mulher</w:t>
      </w:r>
    </w:p>
    <w:p w:rsidR="00000000" w:rsidDel="00000000" w:rsidP="00000000" w:rsidRDefault="00000000" w:rsidRPr="00000000" w14:paraId="00000774">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7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Representando um importante marco teórico para a proposição e construção de políticas públicas para prevenir, punir e erradicar a violência contra as mulheres no Brasil, no ano de 1994, o Mecanismo de Monitoramento da Implementação da Convenção Interamericana para Prevenir, Punir e Erradicar a Violência contra a Mulher (MESECVI), ou como mais conhecida, Convenção de Belém do Pará (Brasil, 1994), foi fundamental para fornecer base conceitual sobre violência doméstica e de gênero com grande impacto para formulação de políticas públicas no país.</w:t>
      </w:r>
    </w:p>
    <w:p w:rsidR="00000000" w:rsidDel="00000000" w:rsidP="00000000" w:rsidRDefault="00000000" w:rsidRPr="00000000" w14:paraId="0000077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Visto que a violência contra as mulheres se manifesta de diferentes formas, a assistência e o enfrentamento à violência também exigem processos e ações complexas. Assim, no ano de 2003, pela primeira vez, tivemos no Brasil uma Secretaria Nacional de Políticas para a Mulher – SPM, que representava a institucionalização de políticas públicas de caráter integrado e continuado voltadas para a equidade de gênero.  </w:t>
      </w:r>
    </w:p>
    <w:p w:rsidR="00000000" w:rsidDel="00000000" w:rsidP="00000000" w:rsidRDefault="00000000" w:rsidRPr="00000000" w14:paraId="0000077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ano de 2006, com a promulgação da Lei 11.340, a Lei Maria da Penha (Brasil, 2006), passamos a dispor de uma tipificação das diferentes formas de violência doméstica contra a mulher, assim como as diretrizes, ações e estratégias de gestão e monitoramento de políticas adotadas na prevenção e no enfrentamento à violência contra as mulheres em todo o território brasileiro. Além dos serviços já existentes, o país passou a contar com órgãos específicos para julgar e atender casos de violência contra a mulher, assim como para acolher essas mulheres.</w:t>
      </w:r>
    </w:p>
    <w:p w:rsidR="00000000" w:rsidDel="00000000" w:rsidP="00000000" w:rsidRDefault="00000000" w:rsidRPr="00000000" w14:paraId="0000077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contra a mulher é um fenômeno complexo que requer políticas públicas de caráter abrangente e com ações coordenadas com vistas à prevenção, assistência, proteção, combate à violência e garantia de direitos. Para além de segurança e justiça, as políticas setoriais de assistência social, saúde, educação, habitação, trabalho e renda, dentre outras, são previstas como eixos transversais a serem trabalhados de forma integrada. Entretanto, anos após a promulgação da Lei Maria da Penha, as mulheres continuam a se deparar com diversos obstáculos para acessar patamares simplórios de segurança e justiça, assim como às demais políticas setoriais.</w:t>
      </w:r>
    </w:p>
    <w:p w:rsidR="00000000" w:rsidDel="00000000" w:rsidP="00000000" w:rsidRDefault="00000000" w:rsidRPr="00000000" w14:paraId="0000077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ano de 2015 foi promulgada a Lei 13.104, Lei do Feminicídio (Brasil, 2015).  É importante destacar que neste mesmo ano a Faculdade Latino-Americana de Ciências Sociais (FLACSO), divulgou dados do Mapa da Violência, apresentando o Brasil, entre 83 países, como o 5º país no mundo em que mais se mata mulheres (FLACSO, 2015). Infelizmente, no ano de 2023 continuamos a ocupar a mesma posição.</w:t>
      </w:r>
    </w:p>
    <w:p w:rsidR="00000000" w:rsidDel="00000000" w:rsidP="00000000" w:rsidRDefault="00000000" w:rsidRPr="00000000" w14:paraId="0000077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no ano de 2015, a CEDAW (Committee on the Elimination of All Forms of Discrimination Against Women), um comitê da ONU composto por 23 peritas com a responsabilidade de garantir a aplicação da Convenção para a Eliminação de todas as Formas de Discriminação contra a Mulher, publicou a Recomendação Geral Nº 33, sobre o acesso das mulheres à justiça. No documento o Comitê faz apontamentos sobre diversos obstáculos e restrições enfrentadas pelas mulheres ao tentar realizar o direito de acesso à justiça.</w:t>
      </w:r>
    </w:p>
    <w:p w:rsidR="00000000" w:rsidDel="00000000" w:rsidP="00000000" w:rsidRDefault="00000000" w:rsidRPr="00000000" w14:paraId="0000077B">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C">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prática, o Comitê observou uma série de obstáculos e restrições que impedem as mulheres de realizar seu direito de acesso à justiça, com base na igualdade, incluindo a falta de proteção jurisdicional efetiva dos Estados partes em relação a todas as dimensões do acesso à justiça. Esses obstáculos ocorrem em um contexto estrutural de discriminação e desigualdade, devido a fatores como estereótipos de gênero, leis discriminatórias, discriminação interseccional ou composta, requisitos, procedimentos e práticas em matéria probatória, e à falha em sistematicamente assegurar que os mecanismos judiciais sejam física, econômica, social e culturalmente acessíveis a todas as mulheres. Todos esses obstáculos constituem persistentes violações dos direitos humanos das mulheres. (CEDAW, 2015:3).</w:t>
      </w:r>
    </w:p>
    <w:p w:rsidR="00000000" w:rsidDel="00000000" w:rsidP="00000000" w:rsidRDefault="00000000" w:rsidRPr="00000000" w14:paraId="0000077D">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77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Recomendação nº33 reconhece que a discriminação contra as mulheres tem como base o patriarcado, que reproduz estereótipos, estigmas e violência baseada no gênero, impactando diretamente o acesso das mulheres à justiça. Destaca também os agravos por fatores interseccionais que afetam as mulheres em graus e modos diferentes daqueles que afetam os homens. </w:t>
      </w:r>
    </w:p>
    <w:p w:rsidR="00000000" w:rsidDel="00000000" w:rsidP="00000000" w:rsidRDefault="00000000" w:rsidRPr="00000000" w14:paraId="0000077F">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0">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elementos para a discriminação interseccional ou composta podem incluir etnia/raça, condição de indígena ou minoria, cor, situação socioeconômica e/ou casta, língua, religião ou crença, opinião política, origem nacional, estado civil e/ou maternal, idade, localização urbana/rural, estado de saúde, deficiência, titularidade da propriedade e identidade como mulher lésbica, bissexual ou transgênero ou pessoa intersexual. Esses fatores de intersecção tornam mais difícil para mulheres pertencentes a esses grupos obter o acesso à justiça (CEDAW, 2015).</w:t>
      </w:r>
    </w:p>
    <w:p w:rsidR="00000000" w:rsidDel="00000000" w:rsidP="00000000" w:rsidRDefault="00000000" w:rsidRPr="00000000" w14:paraId="00000781">
      <w:pPr>
        <w:spacing w:after="0" w:lineRule="auto"/>
        <w:ind w:left="2268"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8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Mesmo com recomendações, protocolos e leis, a engrenagem que impulsiona os meios de acesso à segurança e justiça ainda não consideram as especificidades e os níveis de desigualdade, opressão e discriminação dos diferentes grupos sociais, tendo em vista as dificuldades enfrentadas pelas mulheres no sistema de segurança e justiça, em especial as mulheres negras e transgênero (FBSP, 2022). </w:t>
      </w:r>
    </w:p>
    <w:p w:rsidR="00000000" w:rsidDel="00000000" w:rsidP="00000000" w:rsidRDefault="00000000" w:rsidRPr="00000000" w14:paraId="0000078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Dossiê Assassinatos contra Travestis e Transexuais Brasileiras em 2022 (Antra, 2023), mulheres transgênero e travestis possuem 38 vezes mais chances de serem assassinadas em relação aos homens transgênero e às pessoas não-binárias. O Brasil ocupa o primeiro lugar no mundo em assassinatos a pessoas GLBTQIAPN+, com uma morte violenta a cada 32 horas. </w:t>
      </w:r>
    </w:p>
    <w:p w:rsidR="00000000" w:rsidDel="00000000" w:rsidP="00000000" w:rsidRDefault="00000000" w:rsidRPr="00000000" w14:paraId="0000078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no relatório “Elas vivem: dados que não se calam”, da Rede de Observatórios da Segurança, os dados relativos ao ano de 2022 demonstram que a violência contra as mulheres no estado do Rio de Janeiro aumentou 45% em relação ao ano anterior. O número de feminicídios registrados no ano de 2022 supera todos os anos anteriores, tendo crescido 5% referente ao ano de 2021. No ano de 2022, no Brasil, a cada 6 horas uma mulher foi vítima de feminicídio.</w:t>
      </w:r>
    </w:p>
    <w:p w:rsidR="00000000" w:rsidDel="00000000" w:rsidP="00000000" w:rsidRDefault="00000000" w:rsidRPr="00000000" w14:paraId="0000078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Pesquisas apresentadas pelo Fórum Brasileiro de Segurança Pública “Visível e Invisível – a vitimização de mulheres no Brasil” (FBSP, 2022), apontam que 28,9% de mulheres sofreram algum tipo de violência ou agressão, isso se refere à 18,6 milhões de brasileiras. Destas, a média de agressões sofridas gira em torno de quatro, entretanto, quando se trata de mulheres divorciadas, a média sobe para nove agressões sofridas. A pesquisa reitera que as mulheres negras continuam como as maiores vítimas, sendo 65,6%, enquanto as mulheres brancas representam 29%, e indígenas 2,3%. Sobre o baixo índice de notificações dos povos originários, é importante ponderar sobre a subnotificação em casos de comunidades isoladas, seja por não possuírem o mesmo ordenamento de justiça que as pessoas da cidade, de comunidades que ficam geograficamente distantes do sistema de justiça ou mesmo que não possuem equipamentos públicos específicos em seus territórios. Outro dado que chama atenção na pesquisa se refere ao fato de 57% das mulheres vítimas de violência possuírem filhos, apresentando que mulheres com filhos(as) possuem mais riscos. Ao compararmos os dados de mulheres divorciadas e mulheres com filhos, podemos compreender que a violência não termina com fim da relação, e que mulheres divorciadas que possuem filhos estão em maior risco de vitimização.</w:t>
      </w:r>
    </w:p>
    <w:p w:rsidR="00000000" w:rsidDel="00000000" w:rsidP="00000000" w:rsidRDefault="00000000" w:rsidRPr="00000000" w14:paraId="0000078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os dados acima e a existência de serviços de segurança destinados às mulheres em situação de violência no Brasil, que datam da década de 1980, podemos constatar que, até hoje, e apesar da existência de uma rede de serviços a partir da criação de instituições, serviços, leis e recomendações, o acesso ao direito à justiça e segurança continuam cercados de obstáculos e restrições para as mulheres.</w:t>
      </w:r>
    </w:p>
    <w:p w:rsidR="00000000" w:rsidDel="00000000" w:rsidP="00000000" w:rsidRDefault="00000000" w:rsidRPr="00000000" w14:paraId="00000787">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palavra da mulher</w:t>
      </w:r>
    </w:p>
    <w:p w:rsidR="00000000" w:rsidDel="00000000" w:rsidP="00000000" w:rsidRDefault="00000000" w:rsidRPr="00000000" w14:paraId="0000078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8A">
      <w:pPr>
        <w:spacing w:after="0" w:before="20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Mesmo com uma lei que ratifica que a medida protetiva pode ser deferida a partir da solicitação a partir da palavra da mulher, Aline</w:t>
      </w:r>
      <w:r w:rsidDel="00000000" w:rsidR="00000000" w:rsidRPr="00000000">
        <w:rPr>
          <w:rFonts w:ascii="Times New Roman" w:cs="Times New Roman" w:eastAsia="Times New Roman" w:hAnsi="Times New Roman"/>
          <w:sz w:val="24"/>
          <w:szCs w:val="24"/>
          <w:vertAlign w:val="superscript"/>
        </w:rPr>
        <w:footnoteReference w:customMarkFollows="0" w:id="92"/>
      </w:r>
      <w:r w:rsidDel="00000000" w:rsidR="00000000" w:rsidRPr="00000000">
        <w:rPr>
          <w:rFonts w:ascii="Times New Roman" w:cs="Times New Roman" w:eastAsia="Times New Roman" w:hAnsi="Times New Roman"/>
          <w:sz w:val="24"/>
          <w:szCs w:val="24"/>
          <w:rtl w:val="0"/>
        </w:rPr>
        <w:t xml:space="preserve">, uma mulher pobre, de 41 anos, separada, mãe, moradora da Zona Oeste do Rio de Janeiro, território dominado pelo poder paralelo de grupos armados, território de muitos casos de feminicídios tentados e consumados; filha única e principal cuidadora dos pais; com diversas denúncias registradas em delegacia; com processos tramitando em Juizado Criminal da Infância e Adolescência e de Violência Doméstica e familiar contra a Mulher, teve suas solicitações de medida protetiva negadas. </w:t>
      </w:r>
    </w:p>
    <w:p w:rsidR="00000000" w:rsidDel="00000000" w:rsidP="00000000" w:rsidRDefault="00000000" w:rsidRPr="00000000" w14:paraId="0000078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Indagando se a palavra da mulher possui valor, através da apresentação do caso de Aline, iremos refletir quanto sua condição de gênero, sua posição enquanto genitora, sua classe social e seu território de origem/moradia podem ter gerado obstáculos ou restrições para seu pleno acesso ao direito e à justiça. A palavra da mulher vítima: quanto ela vale quando se trata de uma denúncia contra um homem branco, heterossexual, genitor? Para recompor seu percurso judiciário, ou “</w:t>
      </w:r>
      <w:r w:rsidDel="00000000" w:rsidR="00000000" w:rsidRPr="00000000">
        <w:rPr>
          <w:rFonts w:ascii="Times New Roman" w:cs="Times New Roman" w:eastAsia="Times New Roman" w:hAnsi="Times New Roman"/>
          <w:i w:val="1"/>
          <w:sz w:val="24"/>
          <w:szCs w:val="24"/>
          <w:rtl w:val="0"/>
        </w:rPr>
        <w:t xml:space="preserve">via crucis”</w:t>
      </w:r>
      <w:r w:rsidDel="00000000" w:rsidR="00000000" w:rsidRPr="00000000">
        <w:rPr>
          <w:rFonts w:ascii="Times New Roman" w:cs="Times New Roman" w:eastAsia="Times New Roman" w:hAnsi="Times New Roman"/>
          <w:sz w:val="24"/>
          <w:szCs w:val="24"/>
          <w:rtl w:val="0"/>
        </w:rPr>
        <w:t xml:space="preserve"> – como nomeiam muitas mulheres, foram utilizados documentos públicos e matérias publicadas em mídia social sobre este caso. Infelizmente, a história de Aline finda com seu brutal assassinato, cometido por seu ex-companheiro na porta da escola e na presença de seu filho de oito anos de idade.</w:t>
      </w:r>
    </w:p>
    <w:p w:rsidR="00000000" w:rsidDel="00000000" w:rsidP="00000000" w:rsidRDefault="00000000" w:rsidRPr="00000000" w14:paraId="0000078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Neste caso temos quatro figuras que se destacam:  </w:t>
      </w:r>
      <w:r w:rsidDel="00000000" w:rsidR="00000000" w:rsidRPr="00000000">
        <w:rPr>
          <w:rFonts w:ascii="Times New Roman" w:cs="Times New Roman" w:eastAsia="Times New Roman" w:hAnsi="Times New Roman"/>
          <w:b w:val="1"/>
          <w:sz w:val="24"/>
          <w:szCs w:val="24"/>
          <w:rtl w:val="0"/>
        </w:rPr>
        <w:t xml:space="preserve">1) a vítima 1</w:t>
      </w:r>
      <w:r w:rsidDel="00000000" w:rsidR="00000000" w:rsidRPr="00000000">
        <w:rPr>
          <w:rFonts w:ascii="Times New Roman" w:cs="Times New Roman" w:eastAsia="Times New Roman" w:hAnsi="Times New Roman"/>
          <w:sz w:val="24"/>
          <w:szCs w:val="24"/>
          <w:rtl w:val="0"/>
        </w:rPr>
        <w:t xml:space="preserve">: Aline, brasileira, 41 anos, natural e residente no Rio de Janeiro;</w:t>
      </w:r>
      <w:r w:rsidDel="00000000" w:rsidR="00000000" w:rsidRPr="00000000">
        <w:rPr>
          <w:rFonts w:ascii="Times New Roman" w:cs="Times New Roman" w:eastAsia="Times New Roman" w:hAnsi="Times New Roman"/>
          <w:b w:val="1"/>
          <w:sz w:val="24"/>
          <w:szCs w:val="24"/>
          <w:rtl w:val="0"/>
        </w:rPr>
        <w:t xml:space="preserve"> 2) a vítima 2</w:t>
      </w:r>
      <w:r w:rsidDel="00000000" w:rsidR="00000000" w:rsidRPr="00000000">
        <w:rPr>
          <w:rFonts w:ascii="Times New Roman" w:cs="Times New Roman" w:eastAsia="Times New Roman" w:hAnsi="Times New Roman"/>
          <w:sz w:val="24"/>
          <w:szCs w:val="24"/>
          <w:rtl w:val="0"/>
        </w:rPr>
        <w:t xml:space="preserve">: o filho de 8 anos, que estava sob a guarda da genitora; </w:t>
      </w:r>
      <w:r w:rsidDel="00000000" w:rsidR="00000000" w:rsidRPr="00000000">
        <w:rPr>
          <w:rFonts w:ascii="Times New Roman" w:cs="Times New Roman" w:eastAsia="Times New Roman" w:hAnsi="Times New Roman"/>
          <w:b w:val="1"/>
          <w:sz w:val="24"/>
          <w:szCs w:val="24"/>
          <w:rtl w:val="0"/>
        </w:rPr>
        <w:t xml:space="preserve">3) o autor 1</w:t>
      </w:r>
      <w:r w:rsidDel="00000000" w:rsidR="00000000" w:rsidRPr="00000000">
        <w:rPr>
          <w:rFonts w:ascii="Times New Roman" w:cs="Times New Roman" w:eastAsia="Times New Roman" w:hAnsi="Times New Roman"/>
          <w:sz w:val="24"/>
          <w:szCs w:val="24"/>
          <w:rtl w:val="0"/>
        </w:rPr>
        <w:t xml:space="preserve">: Marcius, brasileiro, 39 anos, natural e residente no Rio de Janeiro; </w:t>
      </w:r>
      <w:r w:rsidDel="00000000" w:rsidR="00000000" w:rsidRPr="00000000">
        <w:rPr>
          <w:rFonts w:ascii="Times New Roman" w:cs="Times New Roman" w:eastAsia="Times New Roman" w:hAnsi="Times New Roman"/>
          <w:b w:val="1"/>
          <w:sz w:val="24"/>
          <w:szCs w:val="24"/>
          <w:rtl w:val="0"/>
        </w:rPr>
        <w:t xml:space="preserve">3) a autora 2</w:t>
      </w:r>
      <w:r w:rsidDel="00000000" w:rsidR="00000000" w:rsidRPr="00000000">
        <w:rPr>
          <w:rFonts w:ascii="Times New Roman" w:cs="Times New Roman" w:eastAsia="Times New Roman" w:hAnsi="Times New Roman"/>
          <w:sz w:val="24"/>
          <w:szCs w:val="24"/>
          <w:rtl w:val="0"/>
        </w:rPr>
        <w:t xml:space="preserve">: Rafaella, brasileira, 38 anos, natural e residente em Brasília, então namorada de Marcius. </w:t>
      </w:r>
    </w:p>
    <w:p w:rsidR="00000000" w:rsidDel="00000000" w:rsidP="00000000" w:rsidRDefault="00000000" w:rsidRPr="00000000" w14:paraId="0000078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Aline S. R. de Oliveira foi brutalmente assassinada no dia 05 de maio de 2023, por volta das 12h, na Rua Bombaim, em frente ao nº 320, em Bangu, Rio de Janeiro, endereço da escola do filho de 8 anos, pelo ex-companheiro, Marcius R.R. Oliveira e sua atual namorada, Rafaella A.C. Regis. O crime foi muito noticiado pelas redes sociais locais da Zona Oeste e logo ocupou muitas manchetes de jornais no Rio de Janeiro. A justificativa para o crime se refere a motivo torpe: vingança, pelo fato de a vítima ter obtido a guarda unilateral do filho.</w:t>
      </w:r>
    </w:p>
    <w:p w:rsidR="00000000" w:rsidDel="00000000" w:rsidP="00000000" w:rsidRDefault="00000000" w:rsidRPr="00000000" w14:paraId="0000078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relatos da mídia e documentos, Aline foi buscar o filho na escola e foi abordada por Rafaella, que a distraiu para que Marcius pudesse se aproximar e executar a ex-companheira com disparos de arma de fogo. Tudo ocorreu na porta da escola na frente do filho que, após presenciar o feminicídio da mãe, foi levado à força pelo casal em um carro com placa previamente adulterada. Na fuga, houve perseguição policial e disparos de Marcius contra o carro dos policiais, o que colocou a vida do filho e de outras pessoas em risco. Marcius acabou sendo preso em flagrante pelo assassinato de Aline, assim como sendo acusado por outros atos criminosos como homicídio qualificado, subtração de incapaz, fuga, tentativa de homicídio de policiais, prisão em flagrante com resistência.</w:t>
      </w:r>
    </w:p>
    <w:p w:rsidR="00000000" w:rsidDel="00000000" w:rsidP="00000000" w:rsidRDefault="00000000" w:rsidRPr="00000000" w14:paraId="0000078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importante destacar que muitas mulheres vítimas de feminicídio não possuem registros anteriores em delegacias ou processos nos Juizados de Violência Doméstica e Familiar contra a Mulher, o que não era o caso de Aline. Mesmo buscando os serviços de segurança e justiça, Aline terminou como mais um número na estatística de feminicídio no Rio de Janeiro. </w:t>
      </w:r>
    </w:p>
    <w:p w:rsidR="00000000" w:rsidDel="00000000" w:rsidP="00000000" w:rsidRDefault="00000000" w:rsidRPr="00000000" w14:paraId="0000079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Monitor do Feminicídio no Brasil (MFB), do Laboratório de Estudos de Feminicídios (LESFEM), que registra casos de feminicídios ocorridos no território brasileiro, por notícias veiculadas pela imprensa, somente de janeiro a junho de 2023, o MFB registrou 862 feminicídios, sendo 599 consumados e 263 tentados.  Dos 862 feminicídios consumados e tentados, 75% dos casos foi de feminicídio íntimo, sendo em 72% o atual ou ex-companheiro. Em 142 casos, que representam 16,5%, foi noticiada a presença de filha ou filho no local do crime. De acordo com o MFB, o Rio de Janeiro teve 60 casos de feminicídio somente no primeiro semestre.</w:t>
      </w:r>
    </w:p>
    <w:p w:rsidR="00000000" w:rsidDel="00000000" w:rsidP="00000000" w:rsidRDefault="00000000" w:rsidRPr="00000000" w14:paraId="00000791">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2">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explicación del feminicidio se encuentra en el dominio de género: caracterizado tanto por la supremacia masculina como por la opresión, discriminación, explotación y, sobre todo, exclusión social de niñas y mujeres como propone Haydee Birgin. Todo ello, legitimado por una percepción social desvalorizadora, hostil y degradante de las mujeres. La arbitrariedad e inequidad social se potencian con la impunidad social y judicial en torno a los delitos contra las mujeres. (Lagarde, 2015:1).</w:t>
      </w:r>
    </w:p>
    <w:p w:rsidR="00000000" w:rsidDel="00000000" w:rsidP="00000000" w:rsidRDefault="00000000" w:rsidRPr="00000000" w14:paraId="00000793">
      <w:pPr>
        <w:ind w:firstLine="70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9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Lagarde (2015), antes do assassinato, a violência já está presente ao longo da vida das mulheres de diversas formas. E, depois que ocorre o assassinato, continua como violência institucional através da impunidade. Fato este corroborado quando analisamos que no ano de 2016 em que a ONU e o Brasil lançam Diretrizes Nacionais para Investigação de Feminicídio, para investigar, processar e julgar com perspectiva de gênero as mortes violentas de mulheres, entretanto, ainda hoje não percebemos o impacto com a diminuição dos crimes letais contra o gênero feminino. </w:t>
      </w:r>
    </w:p>
    <w:p w:rsidR="00000000" w:rsidDel="00000000" w:rsidP="00000000" w:rsidRDefault="00000000" w:rsidRPr="00000000" w14:paraId="0000079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Confirmando Lagarde (2015), antes do assassinato a violência já estava presente na vida de Aline de diversas formas, mas esta, acreditando na justiça, fez diversos registros policiais em delegacia denunciando o ex-companheiro por violência doméstica, cárcere privado, estupro, subtração de incapaz, ameaça e calúnia, solicitando Medida Protetiva de Urgência (MPU) de afastamento e de prisão preventiva, sendo que as duas últimas solicitações foram feitas em março de 2023.</w:t>
      </w:r>
    </w:p>
    <w:p w:rsidR="00000000" w:rsidDel="00000000" w:rsidP="00000000" w:rsidRDefault="00000000" w:rsidRPr="00000000" w14:paraId="0000079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Anuário Brasileiro de Segurança Pública de 2022, publicado pelo Fórum Brasileiro de Segurança Pública (FBSP), encontramos o registro de 1.341 casos de feminicídios no Brasil, ou seja, uma mulher assassinada a cada 7 horas no Brasil (FBSP, 2022). Podemos considerar como um dos fatores para o aumento de todos os indicadores de violência contra as mulheres, o fim do financiamento das políticas públicas de enfrentamento à violência contra à mulher e o fortalecimento, por parte do governo federal, notadamente no governo genocida de Jair Bolsonaro, de movimentos ultraconservadores.</w:t>
      </w:r>
    </w:p>
    <w:p w:rsidR="00000000" w:rsidDel="00000000" w:rsidP="00000000" w:rsidRDefault="00000000" w:rsidRPr="00000000" w14:paraId="0000079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cada vez mais comum no Brasil encontrar grupos misóginos que pregam ódio às mulheres. Alguns se denominam como “redpills” – pregam que é necessário se aproveitar das mulheres e torna-las submissas para recuperar a virilidade; “incel” – autointitulados </w:t>
      </w:r>
      <w:r w:rsidDel="00000000" w:rsidR="00000000" w:rsidRPr="00000000">
        <w:rPr>
          <w:rFonts w:ascii="Times New Roman" w:cs="Times New Roman" w:eastAsia="Times New Roman" w:hAnsi="Times New Roman"/>
          <w:i w:val="1"/>
          <w:sz w:val="24"/>
          <w:szCs w:val="24"/>
          <w:rtl w:val="0"/>
        </w:rPr>
        <w:t xml:space="preserve">celibatários involuntários,</w:t>
      </w:r>
      <w:r w:rsidDel="00000000" w:rsidR="00000000" w:rsidRPr="00000000">
        <w:rPr>
          <w:rFonts w:ascii="Times New Roman" w:cs="Times New Roman" w:eastAsia="Times New Roman" w:hAnsi="Times New Roman"/>
          <w:sz w:val="24"/>
          <w:szCs w:val="24"/>
          <w:rtl w:val="0"/>
        </w:rPr>
        <w:t xml:space="preserve"> culpam as mulheres por não conseguirem ter relações sexuais e endossam a violência contra qualquer grupo sexualmente ativo, inclusive contra comunidades LGBTQIAPN+; “mgtow” – sigla para </w:t>
      </w:r>
      <w:r w:rsidDel="00000000" w:rsidR="00000000" w:rsidRPr="00000000">
        <w:rPr>
          <w:rFonts w:ascii="Times New Roman" w:cs="Times New Roman" w:eastAsia="Times New Roman" w:hAnsi="Times New Roman"/>
          <w:i w:val="1"/>
          <w:sz w:val="24"/>
          <w:szCs w:val="24"/>
          <w:rtl w:val="0"/>
        </w:rPr>
        <w:t xml:space="preserve">man going their own way</w:t>
      </w:r>
      <w:r w:rsidDel="00000000" w:rsidR="00000000" w:rsidRPr="00000000">
        <w:rPr>
          <w:rFonts w:ascii="Times New Roman" w:cs="Times New Roman" w:eastAsia="Times New Roman" w:hAnsi="Times New Roman"/>
          <w:sz w:val="24"/>
          <w:szCs w:val="24"/>
          <w:rtl w:val="0"/>
        </w:rPr>
        <w:t xml:space="preserve"> (traduzido como: homens seguindo seu próprio caminho), acreditam que a sociedade deve romper com as mulheres porque, segundo eles, o feminismo tornou as mulheres perigosas</w:t>
      </w:r>
      <w:r w:rsidDel="00000000" w:rsidR="00000000" w:rsidRPr="00000000">
        <w:rPr>
          <w:rFonts w:ascii="Times New Roman" w:cs="Times New Roman" w:eastAsia="Times New Roman" w:hAnsi="Times New Roman"/>
          <w:sz w:val="24"/>
          <w:szCs w:val="24"/>
          <w:vertAlign w:val="superscript"/>
        </w:rPr>
        <w:footnoteReference w:customMarkFollows="0" w:id="93"/>
      </w:r>
      <w:r w:rsidDel="00000000" w:rsidR="00000000" w:rsidRPr="00000000">
        <w:rPr>
          <w:rFonts w:ascii="Times New Roman" w:cs="Times New Roman" w:eastAsia="Times New Roman" w:hAnsi="Times New Roman"/>
          <w:sz w:val="24"/>
          <w:szCs w:val="24"/>
          <w:rtl w:val="0"/>
        </w:rPr>
        <w:t xml:space="preserve">, dentre outros. Se valendo do privilégio de homem branco, heteronormativo, Marcius se apresentava como advogado criminalista, psicanalista, policial e pastor, tendo concedido diversas entrevistas, misóginas, em rádio e vídeo se apresentando como especialista na defesa de homens acusados pela Lei Maria da Penha, sendo um defensor da Lei de Alienação Parental e de homens prejudicados e vitimizados por mulheres (Espirito Santo, 2023).</w:t>
      </w:r>
    </w:p>
    <w:p w:rsidR="00000000" w:rsidDel="00000000" w:rsidP="00000000" w:rsidRDefault="00000000" w:rsidRPr="00000000" w14:paraId="0000079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Muitas foram as violências que Aline sofreu e denunciou sobre seu ex-companheiro. Dentre elas, ser mantida em cárcere privado por dias, sendo violentada sexualmente por Marcius. Aline o denunciava de privação de liberdade, de a ter forçado a fazer uma tatuagem na coxa com o nome dele, e a pagar com o dinheiro dela; dele ter divulgado fotos de íntimas dela; de fazer vídeos a difamando-a, e tudo isso contando com a impunidade de um sistema de justiça lento e patriarcal, tolerante com diversas formas de violência contra as mulheres. </w:t>
      </w:r>
    </w:p>
    <w:p w:rsidR="00000000" w:rsidDel="00000000" w:rsidP="00000000" w:rsidRDefault="00000000" w:rsidRPr="00000000" w14:paraId="0000079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dezembro de 2022, o processo no qual Aline era a ré e Marcius o autor, na 3ª Vara de Família de Bangu-RJ, foi emitida sentença que julgou improcedente o pedido de reversão de guarda permanente/unilateral para o autor, e procedente o pedido de guarda definitiva do filho para genitora.  Cabe destacar que, inicialmente, Aline obteve a guarda provisória da criança. Quando a guarda passou a ser compartilhada, o genitor não mais respeitou as decisões judiciais e exercia de fato, de forma arbitrária e sem provas, uma guarda unilateral alegando negligência e maus tratos por parte de Aline, que passou a não mais conseguir ter contato com o filho durante alguns meses. A avó paterna também disputou a guarda provisória da criança, conseguindo durante um período, mas sendo posteriormente revogada e restabelecida a guarda alternada entre os genitores. Marcius foi denunciado por expedir atestado médico falso para não comparecer à Delegacia de Polícia para prestar depoimento, assim como, na Vara de Família de Bangu-RJ. Marcius utilizou o subterfúgio de mudar constantemente de endereço para não ser encontrado por ela e pela justiça, impedindo-a de ter acesso ao filho de 16/10/2021 a 16/02/2023, quando Aline conseguiu descobrir o paradeiro da criança, que estava em Brasília, onde se apurou a possibilidade de Marcius sair do país levando o filho. </w:t>
      </w:r>
    </w:p>
    <w:p w:rsidR="00000000" w:rsidDel="00000000" w:rsidP="00000000" w:rsidRDefault="00000000" w:rsidRPr="00000000" w14:paraId="0000079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disputa de guarda e o desaparecimento do filho por 16 meses, levaram Aline a buscar o Conselho Tutelar, a Delegacia de Polícia, a I Vara Especializada em Crimes contra a Criança e o Adolescente, e o II Juizado de Violência Doméstica e Familiar contra a Mulher para garantir seu direito enquanto genitora de ter acesso a seu filho, assim como medidas protetivas para si e seu filho. Cabe destacar que Marcius fez uma denúncia contra Aline por suposta alienação parental, entretanto Aline conseguiu provar que a alienação era produzida por mais uma mulher silenciada pela violência de gênero produzida e reproduzida por homens, mulheres e instituições da justiça. Encontramos o apelo midiático que, ao mesmo tempo que expõe sua história dando visibilidade ao caso, também demonstram para as mulheres que não é seguro contar com o sistema de justiça, conforme pode-se depurar da análise das manchetes de jornal mais recentes que se seguem: pelo genitor e não por ela.</w:t>
      </w:r>
    </w:p>
    <w:p w:rsidR="00000000" w:rsidDel="00000000" w:rsidP="00000000" w:rsidRDefault="00000000" w:rsidRPr="00000000" w14:paraId="0000079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todo histórico de violências cometidas pelo ex-companheiro, em 10/03/23, Aline solicitou reconsideração do pedido de Medida Protetiva de Urgência de prisão preventiva de Marcius, que foi avaliada e negada em 10/04/23, o que demonstra por parte do judiciário total desconsideração da fala e alegações de risco que Aline apresentava. Após recuperar o filho, Aline e seus familiares começam a receber ameaças de Rafaella e Marcius. A então namorada de Marcius inicialmente se apresentou como conselheira tutelar de Brasília, o que levou Aline a fazer registro de ocorrência na Delegacia de Polícia. Em abril Aline recebeu nova ameaça de morte e, temendo por sua vida e de seus pais, fez novo registro de ocorrência, que seria o seu último. Mediante todos os fatos, o Ministério Público solicitou prisão preventiva de Marcius, que em 12/04/2023 foi indeferida pela 1ª Vara Especializada em Crimes contra Criança e o Adolescente.</w:t>
      </w:r>
    </w:p>
    <w:p w:rsidR="00000000" w:rsidDel="00000000" w:rsidP="00000000" w:rsidRDefault="00000000" w:rsidRPr="00000000" w14:paraId="0000079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Aline fez seu último registro de ocorrência e solicitação de MPU duas semanas antes de seu assassinato. Aline precisou morrer para que a magistradas e promotoras acreditassem que estava em risco. A inexistência de perspectiva de gênero não é algo isolado e incomum no sistema de justiça. No mês de julho de 2023 encontramos em matéria publicada no site do Jornal do Brasil a publicação de uma audiência em que juíza e promotora, da 9ª Vara de Família da Comarca do Rio de Janeiro, falam explicitamente que “a mulher pode apanhar do marido e ele ser um ‘excelente pai’”, que a mulher era responsável pelas violências sofridas, dizendo que “a mulher tinha tanta culpa quanto o homem porque se </w:t>
      </w:r>
      <w:r w:rsidDel="00000000" w:rsidR="00000000" w:rsidRPr="00000000">
        <w:rPr>
          <w:rFonts w:ascii="Times New Roman" w:cs="Times New Roman" w:eastAsia="Times New Roman" w:hAnsi="Times New Roman"/>
          <w:i w:val="1"/>
          <w:sz w:val="24"/>
          <w:szCs w:val="24"/>
          <w:rtl w:val="0"/>
        </w:rPr>
        <w:t xml:space="preserve">deixou</w:t>
      </w:r>
      <w:r w:rsidDel="00000000" w:rsidR="00000000" w:rsidRPr="00000000">
        <w:rPr>
          <w:rFonts w:ascii="Times New Roman" w:cs="Times New Roman" w:eastAsia="Times New Roman" w:hAnsi="Times New Roman"/>
          <w:sz w:val="24"/>
          <w:szCs w:val="24"/>
          <w:rtl w:val="0"/>
        </w:rPr>
        <w:t xml:space="preserve"> agredir”. </w:t>
      </w:r>
    </w:p>
    <w:p w:rsidR="00000000" w:rsidDel="00000000" w:rsidP="00000000" w:rsidRDefault="00000000" w:rsidRPr="00000000" w14:paraId="0000079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Infelizmente são muitos os relatos de mulheres em situação de violência doméstica que ouvem em audiência que elas têm que “virar a página”, “perdoar o agressor”, “filho sem pai vira bandido”, “que ela não pode impedir o convívio do filho com o pai”; que “ele pode agredir a mãe, mas ser um excelente pai”. Muitas mulheres deixam de acreditar e buscar o sistema de justiça quando são revitimizadas por seus agentes, entendendo que quem acessar a justiça é perpetuar a violência, acessando novas formas de violências, no caso a institucional.  </w:t>
      </w:r>
    </w:p>
    <w:p w:rsidR="00000000" w:rsidDel="00000000" w:rsidP="00000000" w:rsidRDefault="00000000" w:rsidRPr="00000000" w14:paraId="0000079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três solicitações de prisão preventiva, todas indeferidas, no dia 05 de maio Aline foi brutalmente assassinada pelo genitor de seu filho, com dois tiros disparados contra sua cabeça. Dados do Sistema Nacional de Armas – Sinarm, da Polícia Federal apontam que entre os anos de 2018 e 2022, o número de pessoas com certificado de arma de fogo passou de 117,5 mil para 783,4 mil, um aumento de quase sete vezes.</w:t>
      </w:r>
    </w:p>
    <w:p w:rsidR="00000000" w:rsidDel="00000000" w:rsidP="00000000" w:rsidRDefault="00000000" w:rsidRPr="00000000" w14:paraId="0000079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assassinato de Aline representou mais uma mulher silenciada pela violência de gênero produzida e reproduzida por homens, mulheres e instituições da justiça. Encontramos o apelo midiático que, ao mesmo tempo que expõe sua história dando visibilidade ao caso, também demonstram para as mulheres que não é seguro contar com o sistema de justiça, conforme pode-se depurar da análise de manchetes recentes (2023) dos jornais O Dia, O Globo, Portal G1 e Intercept Brasil:</w:t>
      </w:r>
    </w:p>
    <w:p w:rsidR="00000000" w:rsidDel="00000000" w:rsidP="00000000" w:rsidRDefault="00000000" w:rsidRPr="00000000" w14:paraId="000007A0">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“Mulher assassinada pelo ex avisou à polícia uma semana antes do crime sobre as ameaças”;</w:t>
      </w:r>
    </w:p>
    <w:p w:rsidR="00000000" w:rsidDel="00000000" w:rsidP="00000000" w:rsidRDefault="00000000" w:rsidRPr="00000000" w14:paraId="000007A1">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“Ministério Público denuncia por feminicídio ex-companheiro e namorada por morte de mulher em Bangu”; </w:t>
      </w:r>
    </w:p>
    <w:p w:rsidR="00000000" w:rsidDel="00000000" w:rsidP="00000000" w:rsidRDefault="00000000" w:rsidRPr="00000000" w14:paraId="000007A2">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“Ninguém vai devolver minha filha, diz mãe de mulher morta pelo ex-marido na frente do filho”;  </w:t>
      </w:r>
    </w:p>
    <w:p w:rsidR="00000000" w:rsidDel="00000000" w:rsidP="00000000" w:rsidRDefault="00000000" w:rsidRPr="00000000" w14:paraId="000007A3">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“Preso pela morte da ex teve 2 pedidos de prisão negados pela justiça antes do crime e já havia sequestrado o filho</w:t>
      </w:r>
    </w:p>
    <w:p w:rsidR="00000000" w:rsidDel="00000000" w:rsidP="00000000" w:rsidRDefault="00000000" w:rsidRPr="00000000" w14:paraId="000007A4">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“Meu pai matou minha mãe com dois tiros na cabeça”:  mãe de mulher morta em Bangu relata fala do neto, que está “com trauma”. </w:t>
      </w:r>
    </w:p>
    <w:p w:rsidR="00000000" w:rsidDel="00000000" w:rsidP="00000000" w:rsidRDefault="00000000" w:rsidRPr="00000000" w14:paraId="000007A5">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“Ela precisou morrer para que Marcius fosse preso”, lamenta advogada de Aline, assassinada por ex em Bangu”. </w:t>
      </w:r>
    </w:p>
    <w:p w:rsidR="00000000" w:rsidDel="00000000" w:rsidP="00000000" w:rsidRDefault="00000000" w:rsidRPr="00000000" w14:paraId="000007A6">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“Após feminicídio da filha, pais assumem guarda do neto e vivem incerteza quanto ao futuro”;</w:t>
      </w:r>
    </w:p>
    <w:p w:rsidR="00000000" w:rsidDel="00000000" w:rsidP="00000000" w:rsidRDefault="00000000" w:rsidRPr="00000000" w14:paraId="000007A7">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“Promotora e juíza em Vara de Família no Rio culpam mãe vítima de violência doméstica”;</w:t>
      </w:r>
    </w:p>
    <w:p w:rsidR="00000000" w:rsidDel="00000000" w:rsidP="00000000" w:rsidRDefault="00000000" w:rsidRPr="00000000" w14:paraId="000007A8">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“Mulher foi constrangida por juíza e por promotora em audiências pela guarda do filho do ex-casal, na cidade do Rio de Janeiro”. </w:t>
      </w:r>
    </w:p>
    <w:p w:rsidR="00000000" w:rsidDel="00000000" w:rsidP="00000000" w:rsidRDefault="00000000" w:rsidRPr="00000000" w14:paraId="000007A9">
      <w:pPr>
        <w:spacing w:line="240" w:lineRule="auto"/>
        <w:ind w:left="2268"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A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Muitos são os fatores que acrescentaram para o aumento da violência em todo território brasileiro, entretanto, aqui destacaremos: 1) o discurso de ódio e o crescimento de grupos ultraconservadores; 2) a não alocação de recursos financeiros para políticas e ações de enfrentamento à violência contra as mulheres, mesmo com os números crescentes de casos; 3) aumento da posse de armas, incentivada do Governo Federal na gestão de Jair Bolsonaro; 4) a não concessão de Medida protetiva com base na fala e alegações da mulher; 5) magistradas/os insensíveis às desigualdades e opressões de gênero; 6) discriminação e revitimização das mulheres no sistema de justiça; 7) falta de mecanismos para averiguar qualquer discriminação contra mulheres cometida por profissionais do sistema de justiça.</w:t>
      </w:r>
    </w:p>
    <w:p w:rsidR="00000000" w:rsidDel="00000000" w:rsidP="00000000" w:rsidRDefault="00000000" w:rsidRPr="00000000" w14:paraId="000007AB">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C">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D">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E">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Considerações finais </w:t>
      </w:r>
    </w:p>
    <w:p w:rsidR="00000000" w:rsidDel="00000000" w:rsidP="00000000" w:rsidRDefault="00000000" w:rsidRPr="00000000" w14:paraId="000007AF">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B0">
      <w:pPr>
        <w:spacing w:after="0" w:before="20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Muitos são os fatores que dificultam o acesso das mulheres à justiça, contudo, a discriminação contra as mulheres, baseada em estereótipos de gênero, estigmas, normas culturais nocivas e patriarcais e a violência baseada no gênero continuam impactando profundamente a capacidade das mulheres em obter acesso à justiça em base de igualdade com os homens (CEDAW, Recomendação nº 33, p.4).  </w:t>
      </w:r>
    </w:p>
    <w:p w:rsidR="00000000" w:rsidDel="00000000" w:rsidP="00000000" w:rsidRDefault="00000000" w:rsidRPr="00000000" w14:paraId="000007B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entender e explicar o feminicídio, diversas autoras feministas têm se debruçado no estudo da temática. A compreensão da violência de gênero como uma expressão de poder e dominação enraizada nas desigualdades sociais entre homens e mulheres nos apresenta o feminicídio como a expressão máxima de poder e opressão do patriarcado, já que são autorizados ou tolerados pela sociedade a punir o que consideram desviantes de suas normas (Saffioti, 2001). </w:t>
      </w:r>
    </w:p>
    <w:p w:rsidR="00000000" w:rsidDel="00000000" w:rsidP="00000000" w:rsidRDefault="00000000" w:rsidRPr="00000000" w14:paraId="000007B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encontramos a explicação do feminicídio como uma questão cultural relacionada à concepção de masculinidade hegemônica e a objetificação das mulheres demonstrando como a violência é reproduzida e justificada socialmente (Segato, 2006). Porém, é o conceito de feminicídio íntimo (Lagarde, 2015) que amplia o entendimento do feminicídio para além dos casos extremos e explora a violência cotidiana e sistemática sofrida pelas mulheres em suas relações afetivas e familiares, evidenciando a dimensão estrutural dessa violência. </w:t>
      </w:r>
    </w:p>
    <w:p w:rsidR="00000000" w:rsidDel="00000000" w:rsidP="00000000" w:rsidRDefault="00000000" w:rsidRPr="00000000" w14:paraId="000007B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Recomendação nº 33 (CEDAW, 2015), enfatiza a importância dos Estados em implementarem medidas para prevenir, investigar e punir, fornecer proteção às vítimas, bem como destaca a necessidade de combater os estereótipos de gênero e promover a igualdade de gênero para enfrentar efetivamente essa forma extrema e cruel de violência contra as mulheres.</w:t>
      </w:r>
    </w:p>
    <w:p w:rsidR="00000000" w:rsidDel="00000000" w:rsidP="00000000" w:rsidRDefault="00000000" w:rsidRPr="00000000" w14:paraId="000007B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dificuldades das mulheres em obterem o devido acesso à justiça revela a importância de uma abordagem interseccional para compreender as opressões enfrentadas e a necessidade de políticas integradas para lidar com os níveis de desigualdade e discriminação entre os diferentes grupos de mulheres, e com os homens. </w:t>
      </w:r>
    </w:p>
    <w:p w:rsidR="00000000" w:rsidDel="00000000" w:rsidP="00000000" w:rsidRDefault="00000000" w:rsidRPr="00000000" w14:paraId="000007B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recomendação nº 33 (CEDAW, 2015), observa que o estereótipo e preconceitos de gênero no sistema de justiça é uma questão real e presente, que precisa ser identificada, corrigida por meio de capacitação, assim como repreendida pelos Estados partes:</w:t>
      </w:r>
    </w:p>
    <w:p w:rsidR="00000000" w:rsidDel="00000000" w:rsidP="00000000" w:rsidRDefault="00000000" w:rsidRPr="00000000" w14:paraId="000007B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7">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 Considerem a promoção de diálogo sobre o impacto negativo de estereótipos e preconceitos de gênero no sistema de justiça e a necessidade de melhores resultados de justiça para mulheres vítimas e sobreviventes da violência; (...) f) Proporcionem programas de capacitação para juízes, promotores, advogados e funcionários encarregados de fazer cumprir a lei sobre a aplicação dos instrumentos jurídicos internacionais relacionados aos direitos humanos, incluindo a Convenção e a jurisprudência do Comitê, bem como a aplicação da legislação proibindo a discriminação contra as mulheres. (CEDAW, 2015:15)</w:t>
      </w:r>
    </w:p>
    <w:p w:rsidR="00000000" w:rsidDel="00000000" w:rsidP="00000000" w:rsidRDefault="00000000" w:rsidRPr="00000000" w14:paraId="000007B8">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a Organização Mundial de Saúde</w:t>
      </w:r>
      <w:r w:rsidDel="00000000" w:rsidR="00000000" w:rsidRPr="00000000">
        <w:rPr>
          <w:rFonts w:ascii="Times New Roman" w:cs="Times New Roman" w:eastAsia="Times New Roman" w:hAnsi="Times New Roman"/>
          <w:sz w:val="24"/>
          <w:szCs w:val="24"/>
          <w:vertAlign w:val="superscript"/>
        </w:rPr>
        <w:footnoteReference w:customMarkFollows="0" w:id="94"/>
      </w:r>
      <w:r w:rsidDel="00000000" w:rsidR="00000000" w:rsidRPr="00000000">
        <w:rPr>
          <w:rFonts w:ascii="Times New Roman" w:cs="Times New Roman" w:eastAsia="Times New Roman" w:hAnsi="Times New Roman"/>
          <w:sz w:val="24"/>
          <w:szCs w:val="24"/>
          <w:rtl w:val="0"/>
        </w:rPr>
        <w:t xml:space="preserve">, violência provocada por parceiro íntimo é definida como qualquer comportamento no âmbito de uma relação íntima que cause danos físicos, sexuais, psicológico e comportamentos controladores, durante ou após o término de uma relação. </w:t>
      </w:r>
    </w:p>
    <w:p w:rsidR="00000000" w:rsidDel="00000000" w:rsidP="00000000" w:rsidRDefault="00000000" w:rsidRPr="00000000" w14:paraId="000007B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números crescentes da violência de gênero no Brasil, principalmente da violência doméstica, evidenciam que as mulheres continuam encontrando obstáculos e restrições para acessarem a justiça e segurança. A criação da Lei 14550/2023, que prevê a concessão de medida protetiva com base na palavra da mulher perante autoridade policial ou apresentação de suas alegações por escrito, demonstra que a palavra da mulher continua a necessitar de criação de novas leis para ser considerada. </w:t>
      </w:r>
    </w:p>
    <w:p w:rsidR="00000000" w:rsidDel="00000000" w:rsidP="00000000" w:rsidRDefault="00000000" w:rsidRPr="00000000" w14:paraId="000007B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Fatores como a integração ou desarticulação dos serviços, a presença ou ausência de profissionais com perspectiva de gênero, assim como a existência de protocolos institucionais destinados ao acolhimento e orientação às mulheres, são determinantes que influenciam o concreto acolhimento e encorajamento necessário para que uma mulher possa tomar a decisão de buscar ou não o sistema de segurança e justiça para romper um relacionamento ou situação de abusiva. </w:t>
      </w:r>
    </w:p>
    <w:p w:rsidR="00000000" w:rsidDel="00000000" w:rsidP="00000000" w:rsidRDefault="00000000" w:rsidRPr="00000000" w14:paraId="000007B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Aline ilustra a triste realidade de que no ano de 2023, em uma sociedade patriarcal, sexista e misógina, com agentes do sistema de justiça reproduzindo violência de gênero, a palavra e provas apresentadas por uma mulher não são suficientes para garantir o seu direito à segurança e à justiça. </w:t>
      </w:r>
    </w:p>
    <w:p w:rsidR="00000000" w:rsidDel="00000000" w:rsidP="00000000" w:rsidRDefault="00000000" w:rsidRPr="00000000" w14:paraId="000007BD">
      <w:pPr>
        <w:spacing w:after="0" w:before="20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7BE">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F">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ALVES, Luana. “Ninguém vai devolver minha filha” – diz mãe de mulher morta pelo ex-marido na frente do filho.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 Globo. </w:t>
      </w:r>
      <w:r w:rsidDel="00000000" w:rsidR="00000000" w:rsidRPr="00000000">
        <w:rPr>
          <w:rFonts w:ascii="Times New Roman" w:cs="Times New Roman" w:eastAsia="Times New Roman" w:hAnsi="Times New Roman"/>
          <w:sz w:val="24"/>
          <w:szCs w:val="24"/>
          <w:rtl w:val="0"/>
        </w:rPr>
        <w:t xml:space="preserve">Rio de Janeiro, 2023. Disponível em:  </w:t>
      </w:r>
      <w:hyperlink r:id="rId127">
        <w:r w:rsidDel="00000000" w:rsidR="00000000" w:rsidRPr="00000000">
          <w:rPr>
            <w:rFonts w:ascii="Times New Roman" w:cs="Times New Roman" w:eastAsia="Times New Roman" w:hAnsi="Times New Roman"/>
            <w:sz w:val="24"/>
            <w:szCs w:val="24"/>
            <w:u w:val="single"/>
            <w:rtl w:val="0"/>
          </w:rPr>
          <w:t xml:space="preserve">https://g1.globo.com/rj/rio-de-janeiro/noticia/2023/05/08/ninguem-vai-devolver-minha-filha-diz-mae-de-mulher-morta-pelo-ex-marido-na-frente-do-filho.ghtml</w:t>
        </w:r>
      </w:hyperlink>
      <w:r w:rsidDel="00000000" w:rsidR="00000000" w:rsidRPr="00000000">
        <w:rPr>
          <w:rFonts w:ascii="Times New Roman" w:cs="Times New Roman" w:eastAsia="Times New Roman" w:hAnsi="Times New Roman"/>
          <w:sz w:val="24"/>
          <w:szCs w:val="24"/>
          <w:rtl w:val="0"/>
        </w:rPr>
        <w:t xml:space="preserve">. Acesso em 10 jul. 2023. </w:t>
      </w:r>
    </w:p>
    <w:p w:rsidR="00000000" w:rsidDel="00000000" w:rsidP="00000000" w:rsidRDefault="00000000" w:rsidRPr="00000000" w14:paraId="000007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_______________.</w:t>
      </w:r>
      <w:r w:rsidDel="00000000" w:rsidR="00000000" w:rsidRPr="00000000">
        <w:rPr>
          <w:rFonts w:ascii="Times New Roman" w:cs="Times New Roman" w:eastAsia="Times New Roman" w:hAnsi="Times New Roman"/>
          <w:sz w:val="24"/>
          <w:szCs w:val="24"/>
          <w:rtl w:val="0"/>
        </w:rPr>
        <w:t xml:space="preserve"> “Meu pai matou minha mãe com dois tiros na cabeça” – mãe de mulher morta relata fala do neto, que está com trauma.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 Globo. </w:t>
      </w:r>
      <w:r w:rsidDel="00000000" w:rsidR="00000000" w:rsidRPr="00000000">
        <w:rPr>
          <w:rFonts w:ascii="Times New Roman" w:cs="Times New Roman" w:eastAsia="Times New Roman" w:hAnsi="Times New Roman"/>
          <w:sz w:val="24"/>
          <w:szCs w:val="24"/>
          <w:rtl w:val="0"/>
        </w:rPr>
        <w:t xml:space="preserve">Rio de Janeiro, 2023. Disponível em:   </w:t>
      </w:r>
      <w:hyperlink r:id="rId128">
        <w:r w:rsidDel="00000000" w:rsidR="00000000" w:rsidRPr="00000000">
          <w:rPr>
            <w:rFonts w:ascii="Times New Roman" w:cs="Times New Roman" w:eastAsia="Times New Roman" w:hAnsi="Times New Roman"/>
            <w:sz w:val="24"/>
            <w:szCs w:val="24"/>
            <w:u w:val="single"/>
            <w:rtl w:val="0"/>
          </w:rPr>
          <w:t xml:space="preserve">https://g1.globo.com/rj/rio-de-janeiro/noticia/2023/05/08/meu-pai-matou-minha-mae-com-dois-tiros-na-cabeca-mae-de-mulher-morta-em-bangu-relata-fala-do-neto-que-esta-com-trauma.ghtml</w:t>
        </w:r>
      </w:hyperlink>
      <w:r w:rsidDel="00000000" w:rsidR="00000000" w:rsidRPr="00000000">
        <w:rPr>
          <w:rFonts w:ascii="Times New Roman" w:cs="Times New Roman" w:eastAsia="Times New Roman" w:hAnsi="Times New Roman"/>
          <w:sz w:val="24"/>
          <w:szCs w:val="24"/>
          <w:rtl w:val="0"/>
        </w:rPr>
        <w:t xml:space="preserve">. Acesso em 19 jun. 2023.</w:t>
      </w:r>
    </w:p>
    <w:p w:rsidR="00000000" w:rsidDel="00000000" w:rsidP="00000000" w:rsidRDefault="00000000" w:rsidRPr="00000000" w14:paraId="000007C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ANTRA, 2023. </w:t>
      </w:r>
      <w:r w:rsidDel="00000000" w:rsidR="00000000" w:rsidRPr="00000000">
        <w:rPr>
          <w:rFonts w:ascii="Times New Roman" w:cs="Times New Roman" w:eastAsia="Times New Roman" w:hAnsi="Times New Roman"/>
          <w:b w:val="1"/>
          <w:sz w:val="24"/>
          <w:szCs w:val="24"/>
          <w:rtl w:val="0"/>
        </w:rPr>
        <w:t xml:space="preserve">Dossiê Assassinatos contra Travestis e Transexuais Brasileiras em 2022.</w:t>
      </w:r>
      <w:r w:rsidDel="00000000" w:rsidR="00000000" w:rsidRPr="00000000">
        <w:rPr>
          <w:rFonts w:ascii="Times New Roman" w:cs="Times New Roman" w:eastAsia="Times New Roman" w:hAnsi="Times New Roman"/>
          <w:sz w:val="24"/>
          <w:szCs w:val="24"/>
          <w:rtl w:val="0"/>
        </w:rPr>
        <w:t xml:space="preserve"> Associação Nacional de Travestis, 2023. Disponível em: </w:t>
      </w:r>
      <w:hyperlink r:id="rId129">
        <w:r w:rsidDel="00000000" w:rsidR="00000000" w:rsidRPr="00000000">
          <w:rPr>
            <w:rFonts w:ascii="Times New Roman" w:cs="Times New Roman" w:eastAsia="Times New Roman" w:hAnsi="Times New Roman"/>
            <w:sz w:val="24"/>
            <w:szCs w:val="24"/>
            <w:u w:val="single"/>
            <w:rtl w:val="0"/>
          </w:rPr>
          <w:t xml:space="preserve">https://observatoriomorteseviolenciaslgbtibrasil.org/dossie/mortes-lgbt-2022/</w:t>
        </w:r>
      </w:hyperlink>
      <w:r w:rsidDel="00000000" w:rsidR="00000000" w:rsidRPr="00000000">
        <w:rPr>
          <w:rFonts w:ascii="Times New Roman" w:cs="Times New Roman" w:eastAsia="Times New Roman" w:hAnsi="Times New Roman"/>
          <w:sz w:val="24"/>
          <w:szCs w:val="24"/>
          <w:rtl w:val="0"/>
        </w:rPr>
        <w:t xml:space="preserve">. Acesso em 10 jul. 2023. </w:t>
      </w:r>
    </w:p>
    <w:p w:rsidR="00000000" w:rsidDel="00000000" w:rsidP="00000000" w:rsidRDefault="00000000" w:rsidRPr="00000000" w14:paraId="000007C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FÓRUM BRASILEIRO DE SEGURANÇA PÚBLICA. </w:t>
      </w:r>
      <w:r w:rsidDel="00000000" w:rsidR="00000000" w:rsidRPr="00000000">
        <w:rPr>
          <w:rFonts w:ascii="Times New Roman" w:cs="Times New Roman" w:eastAsia="Times New Roman" w:hAnsi="Times New Roman"/>
          <w:b w:val="1"/>
          <w:sz w:val="24"/>
          <w:szCs w:val="24"/>
          <w:rtl w:val="0"/>
        </w:rPr>
        <w:t xml:space="preserve">Anuário Brasileiro de Segurança Pública 2022</w:t>
      </w:r>
      <w:r w:rsidDel="00000000" w:rsidR="00000000" w:rsidRPr="00000000">
        <w:rPr>
          <w:rFonts w:ascii="Times New Roman" w:cs="Times New Roman" w:eastAsia="Times New Roman" w:hAnsi="Times New Roman"/>
          <w:sz w:val="24"/>
          <w:szCs w:val="24"/>
          <w:rtl w:val="0"/>
        </w:rPr>
        <w:t xml:space="preserve">. Disponível em: </w:t>
      </w:r>
      <w:hyperlink r:id="rId130">
        <w:r w:rsidDel="00000000" w:rsidR="00000000" w:rsidRPr="00000000">
          <w:rPr>
            <w:rFonts w:ascii="Times New Roman" w:cs="Times New Roman" w:eastAsia="Times New Roman" w:hAnsi="Times New Roman"/>
            <w:sz w:val="24"/>
            <w:szCs w:val="24"/>
            <w:u w:val="single"/>
            <w:rtl w:val="0"/>
          </w:rPr>
          <w:t xml:space="preserve">https://forumseguranca.org.br/wp-content/uploads/2022/07/10-anuario-2022-feminicidios-caem-mas-outras-formas-de-violencia-contra-meninas-e-mulheres-crescem-em-2021.pdf</w:t>
        </w:r>
      </w:hyperlink>
      <w:r w:rsidDel="00000000" w:rsidR="00000000" w:rsidRPr="00000000">
        <w:rPr>
          <w:rFonts w:ascii="Times New Roman" w:cs="Times New Roman" w:eastAsia="Times New Roman" w:hAnsi="Times New Roman"/>
          <w:sz w:val="24"/>
          <w:szCs w:val="24"/>
          <w:rtl w:val="0"/>
        </w:rPr>
        <w:t xml:space="preserve"> Acesso em: 19 jun. 2023.</w:t>
      </w:r>
    </w:p>
    <w:p w:rsidR="00000000" w:rsidDel="00000000" w:rsidP="00000000" w:rsidRDefault="00000000" w:rsidRPr="00000000" w14:paraId="000007C5">
      <w:pPr>
        <w:spacing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Lei nº 13.340, de 07 de agosto de 2006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Lei Maria da Penha. Brasília, DF.</w:t>
      </w:r>
    </w:p>
    <w:p w:rsidR="00000000" w:rsidDel="00000000" w:rsidP="00000000" w:rsidRDefault="00000000" w:rsidRPr="00000000" w14:paraId="000007C6">
      <w:pPr>
        <w:spacing w:after="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Lei nº 13.104, de 9 de março de 2015</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Lei do Feminicídio. Brasília, DF: Presidência da República, 2015.</w:t>
      </w:r>
    </w:p>
    <w:p w:rsidR="00000000" w:rsidDel="00000000" w:rsidP="00000000" w:rsidRDefault="00000000" w:rsidRPr="00000000" w14:paraId="000007C7">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Diretrizes Nacionais para Investigar, Processar e Julgar com Perspectiva de Gênero as Mortes Violentas de Mulheres – Feminicídios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Ministério das Mulheres, da Igualdade Racial, da Juventude e dos Direitos Humanos.  Secretaria de Políticas para Mulheres Brasília, 2016.</w:t>
      </w:r>
    </w:p>
    <w:p w:rsidR="00000000" w:rsidDel="00000000" w:rsidP="00000000" w:rsidRDefault="00000000" w:rsidRPr="00000000" w14:paraId="000007C9">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7C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Judith. </w:t>
      </w:r>
      <w:r w:rsidDel="00000000" w:rsidR="00000000" w:rsidRPr="00000000">
        <w:rPr>
          <w:rFonts w:ascii="Times New Roman" w:cs="Times New Roman" w:eastAsia="Times New Roman" w:hAnsi="Times New Roman"/>
          <w:b w:val="1"/>
          <w:sz w:val="24"/>
          <w:szCs w:val="24"/>
          <w:rtl w:val="0"/>
        </w:rPr>
        <w:t xml:space="preserve">Sujeitos do sexo/gênero/desejo</w:t>
      </w:r>
      <w:r w:rsidDel="00000000" w:rsidR="00000000" w:rsidRPr="00000000">
        <w:rPr>
          <w:rFonts w:ascii="Times New Roman" w:cs="Times New Roman" w:eastAsia="Times New Roman" w:hAnsi="Times New Roman"/>
          <w:i w:val="1"/>
          <w:sz w:val="24"/>
          <w:szCs w:val="24"/>
          <w:rtl w:val="0"/>
        </w:rPr>
        <w:t xml:space="preserve">. In:</w:t>
      </w:r>
      <w:r w:rsidDel="00000000" w:rsidR="00000000" w:rsidRPr="00000000">
        <w:rPr>
          <w:rFonts w:ascii="Times New Roman" w:cs="Times New Roman" w:eastAsia="Times New Roman" w:hAnsi="Times New Roman"/>
          <w:sz w:val="24"/>
          <w:szCs w:val="24"/>
          <w:rtl w:val="0"/>
        </w:rPr>
        <w:t xml:space="preserve"> Problemas de Gênero: feminismo e subversão da identidade. Rio de Janeiro: Civilização brasileira: 2013. p. 113-140.</w:t>
      </w:r>
    </w:p>
    <w:p w:rsidR="00000000" w:rsidDel="00000000" w:rsidP="00000000" w:rsidRDefault="00000000" w:rsidRPr="00000000" w14:paraId="000007CB">
      <w:pPr>
        <w:spacing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CEDAW. Comissão Internacional de Direitos Humanos. Convenção Interamericana para Prevenir, Punir e Erradicar a Violência contra a Mulher. Convenção de Belém do Pará. 1994.</w:t>
      </w:r>
    </w:p>
    <w:p w:rsidR="00000000" w:rsidDel="00000000" w:rsidP="00000000" w:rsidRDefault="00000000" w:rsidRPr="00000000" w14:paraId="000007CC">
      <w:pPr>
        <w:spacing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CEDAW. Recomendação Geral Nº 33, sobre o acesso das mulheres à justiça. CEDAW/ONU. 2015.</w:t>
      </w:r>
    </w:p>
    <w:p w:rsidR="00000000" w:rsidDel="00000000" w:rsidP="00000000" w:rsidRDefault="00000000" w:rsidRPr="00000000" w14:paraId="000007CD">
      <w:pPr>
        <w:spacing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COLLINS, Patricia Hill; Bilge, Sirma. </w:t>
      </w:r>
      <w:r w:rsidDel="00000000" w:rsidR="00000000" w:rsidRPr="00000000">
        <w:rPr>
          <w:rFonts w:ascii="Times New Roman" w:cs="Times New Roman" w:eastAsia="Times New Roman" w:hAnsi="Times New Roman"/>
          <w:b w:val="1"/>
          <w:sz w:val="24"/>
          <w:szCs w:val="24"/>
          <w:rtl w:val="0"/>
        </w:rPr>
        <w:t xml:space="preserve">Interseccionalidade</w:t>
      </w:r>
      <w:r w:rsidDel="00000000" w:rsidR="00000000" w:rsidRPr="00000000">
        <w:rPr>
          <w:rFonts w:ascii="Times New Roman" w:cs="Times New Roman" w:eastAsia="Times New Roman" w:hAnsi="Times New Roman"/>
          <w:sz w:val="24"/>
          <w:szCs w:val="24"/>
          <w:rtl w:val="0"/>
        </w:rPr>
        <w:t xml:space="preserve">. São Paulo: Boitempo. 2021.</w:t>
      </w:r>
    </w:p>
    <w:p w:rsidR="00000000" w:rsidDel="00000000" w:rsidP="00000000" w:rsidRDefault="00000000" w:rsidRPr="00000000" w14:paraId="000007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ESPÍRITO SANTO, Thais. “Preso por feminicídio se dizia especialista na defesa de homens acusados pela Lei Maria da Penha”.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O Globo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2023. Disponível em: </w:t>
      </w:r>
      <w:hyperlink r:id="rId131">
        <w:r w:rsidDel="00000000" w:rsidR="00000000" w:rsidRPr="00000000">
          <w:rPr>
            <w:rFonts w:ascii="Times New Roman" w:cs="Times New Roman" w:eastAsia="Times New Roman" w:hAnsi="Times New Roman"/>
            <w:sz w:val="24"/>
            <w:szCs w:val="24"/>
            <w:u w:val="single"/>
            <w:rtl w:val="0"/>
          </w:rPr>
          <w:t xml:space="preserve">https://g1.globo.com/rj/rio-de-janeiro/noticia/2023/05/09/preso-por-feminicidio-se-dizia-especialista-na-defesa-de-homens-acusados-pela-lei-maria-da-penha.ghtml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FACULDADE LATINO-AMERICANA DE CIÊNCIAS SOCIAIS. </w:t>
      </w:r>
      <w:r w:rsidDel="00000000" w:rsidR="00000000" w:rsidRPr="00000000">
        <w:rPr>
          <w:rFonts w:ascii="Times New Roman" w:cs="Times New Roman" w:eastAsia="Times New Roman" w:hAnsi="Times New Roman"/>
          <w:b w:val="1"/>
          <w:sz w:val="24"/>
          <w:szCs w:val="24"/>
          <w:rtl w:val="0"/>
        </w:rPr>
        <w:t xml:space="preserve">Mapa da violência 2015</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homicídio de mulheres no Brasil. Brasília, DF: FLACSO, 2015. Disponível em: </w:t>
      </w:r>
      <w:hyperlink r:id="rId132">
        <w:r w:rsidDel="00000000" w:rsidR="00000000" w:rsidRPr="00000000">
          <w:rPr>
            <w:rFonts w:ascii="Times New Roman" w:cs="Times New Roman" w:eastAsia="Times New Roman" w:hAnsi="Times New Roman"/>
            <w:sz w:val="24"/>
            <w:szCs w:val="24"/>
            <w:u w:val="single"/>
            <w:rtl w:val="0"/>
          </w:rPr>
          <w:t xml:space="preserve">https://flacso.org.br/2015/11/09/mapa-da-violencia-2015-homicidio-de-mulheres-no-brasil/</w:t>
        </w:r>
      </w:hyperlink>
      <w:r w:rsidDel="00000000" w:rsidR="00000000" w:rsidRPr="00000000">
        <w:rPr>
          <w:rFonts w:ascii="Times New Roman" w:cs="Times New Roman" w:eastAsia="Times New Roman" w:hAnsi="Times New Roman"/>
          <w:sz w:val="24"/>
          <w:szCs w:val="24"/>
          <w:rtl w:val="0"/>
        </w:rPr>
        <w:t xml:space="preserve">.  Acesso em: 19 jun. 2023.</w:t>
      </w:r>
    </w:p>
    <w:p w:rsidR="00000000" w:rsidDel="00000000" w:rsidP="00000000" w:rsidRDefault="00000000" w:rsidRPr="00000000" w14:paraId="000007D1">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FELIZARDO, Nayara. Juíza diz que mulher pode apanhar do marido mas ele ser um excelente pai.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Intercept Brasil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(online)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2023. Disponível em:  https://www.intercept.com.br/2023/07/27 /juiza-diz-mulher-pode-apanhar-do-marido-mas-ele-ser-excelente-pai/. Acesso em 10 jul. 2023.</w:t>
      </w:r>
    </w:p>
    <w:p w:rsidR="00000000" w:rsidDel="00000000" w:rsidP="00000000" w:rsidRDefault="00000000" w:rsidRPr="00000000" w14:paraId="000007D3">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D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LABORATÓRIO DE ESTUDOS DE FEMINICÍDIOS. Disponível em: &lt; https://sites.uel.br/lesfem/mapa-brasil/&gt; Acesso em: 19 jun. 2023</w:t>
      </w:r>
    </w:p>
    <w:p w:rsidR="00000000" w:rsidDel="00000000" w:rsidP="00000000" w:rsidRDefault="00000000" w:rsidRPr="00000000" w14:paraId="000007D5">
      <w:pPr>
        <w:spacing w:after="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LAGARDE, Marcela. </w:t>
      </w:r>
      <w:r w:rsidDel="00000000" w:rsidR="00000000" w:rsidRPr="00000000">
        <w:rPr>
          <w:rFonts w:ascii="Times New Roman" w:cs="Times New Roman" w:eastAsia="Times New Roman" w:hAnsi="Times New Roman"/>
          <w:b w:val="1"/>
          <w:sz w:val="24"/>
          <w:szCs w:val="24"/>
          <w:rtl w:val="0"/>
        </w:rPr>
        <w:t xml:space="preserve">A qué llamamos feminicídio?</w:t>
      </w:r>
      <w:r w:rsidDel="00000000" w:rsidR="00000000" w:rsidRPr="00000000">
        <w:rPr>
          <w:rFonts w:ascii="Times New Roman" w:cs="Times New Roman" w:eastAsia="Times New Roman" w:hAnsi="Times New Roman"/>
          <w:sz w:val="24"/>
          <w:szCs w:val="24"/>
          <w:rtl w:val="0"/>
        </w:rPr>
        <w:t xml:space="preserve"> Cidade do México: s.n, 2015. 4 p. Disponível em: &lt;</w:t>
      </w:r>
      <w:hyperlink r:id="rId133">
        <w:r w:rsidDel="00000000" w:rsidR="00000000" w:rsidRPr="00000000">
          <w:rPr>
            <w:rFonts w:ascii="Times New Roman" w:cs="Times New Roman" w:eastAsia="Times New Roman" w:hAnsi="Times New Roman"/>
            <w:sz w:val="24"/>
            <w:szCs w:val="24"/>
            <w:u w:val="single"/>
            <w:rtl w:val="0"/>
          </w:rPr>
          <w:t xml:space="preserve">https://xenero.webs.uvigo.es/profesorado/Marcela</w:t>
        </w:r>
      </w:hyperlink>
      <w:r w:rsidDel="00000000" w:rsidR="00000000" w:rsidRPr="00000000">
        <w:rPr>
          <w:rFonts w:ascii="Times New Roman" w:cs="Times New Roman" w:eastAsia="Times New Roman" w:hAnsi="Times New Roman"/>
          <w:sz w:val="24"/>
          <w:szCs w:val="24"/>
          <w:rtl w:val="0"/>
        </w:rPr>
        <w:t xml:space="preserve"> lagarde/feminicidio.pdf&gt;. Acessado em: 19 jun. 2023</w:t>
      </w:r>
    </w:p>
    <w:p w:rsidR="00000000" w:rsidDel="00000000" w:rsidP="00000000" w:rsidRDefault="00000000" w:rsidRPr="00000000" w14:paraId="000007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MANSUR, Gabriel. Promotora e juíza de Vara de Família no rio culpam mãe vítima de violência doméstica.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Jornal do Brasil.</w:t>
      </w:r>
      <w:r w:rsidDel="00000000" w:rsidR="00000000" w:rsidRPr="00000000">
        <w:rPr>
          <w:rFonts w:ascii="Times New Roman" w:cs="Times New Roman" w:eastAsia="Times New Roman" w:hAnsi="Times New Roman"/>
          <w:sz w:val="24"/>
          <w:szCs w:val="24"/>
          <w:rtl w:val="0"/>
        </w:rPr>
        <w:t xml:space="preserve"> Rio de Janeiro, 2023. Disponível em:  </w:t>
      </w:r>
      <w:hyperlink r:id="rId134">
        <w:r w:rsidDel="00000000" w:rsidR="00000000" w:rsidRPr="00000000">
          <w:rPr>
            <w:rFonts w:ascii="Times New Roman" w:cs="Times New Roman" w:eastAsia="Times New Roman" w:hAnsi="Times New Roman"/>
            <w:sz w:val="24"/>
            <w:szCs w:val="24"/>
            <w:u w:val="single"/>
            <w:rtl w:val="0"/>
          </w:rPr>
          <w:t xml:space="preserve">https://www.jb.com.br/brasil/justica/2023/07/1045112-promotora-e-juiza-em-vara-de-familia-no-rio-culpam-mae-vitima-de-violencia-domestica.html</w:t>
        </w:r>
      </w:hyperlink>
      <w:r w:rsidDel="00000000" w:rsidR="00000000" w:rsidRPr="00000000">
        <w:rPr>
          <w:rFonts w:ascii="Times New Roman" w:cs="Times New Roman" w:eastAsia="Times New Roman" w:hAnsi="Times New Roman"/>
          <w:sz w:val="24"/>
          <w:szCs w:val="24"/>
          <w:rtl w:val="0"/>
        </w:rPr>
        <w:t xml:space="preserve">. Acesso em 30 jul. 2023.</w:t>
      </w:r>
    </w:p>
    <w:p w:rsidR="00000000" w:rsidDel="00000000" w:rsidP="00000000" w:rsidRDefault="00000000" w:rsidRPr="00000000" w14:paraId="000007D8">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MARTINS, Bruna. “Ela precisou morrer para que Marcius fosse preso” – lamenta advogada de Aline, assassinada por ex em Bangu.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O Globo.</w:t>
      </w:r>
      <w:r w:rsidDel="00000000" w:rsidR="00000000" w:rsidRPr="00000000">
        <w:rPr>
          <w:rFonts w:ascii="Times New Roman" w:cs="Times New Roman" w:eastAsia="Times New Roman" w:hAnsi="Times New Roman"/>
          <w:sz w:val="24"/>
          <w:szCs w:val="24"/>
          <w:rtl w:val="0"/>
        </w:rPr>
        <w:t xml:space="preserve"> Rio de Janeiro, 2023. Disponível em:   </w:t>
      </w:r>
      <w:hyperlink r:id="rId135">
        <w:r w:rsidDel="00000000" w:rsidR="00000000" w:rsidRPr="00000000">
          <w:rPr>
            <w:rFonts w:ascii="Times New Roman" w:cs="Times New Roman" w:eastAsia="Times New Roman" w:hAnsi="Times New Roman"/>
            <w:sz w:val="24"/>
            <w:szCs w:val="24"/>
            <w:u w:val="single"/>
            <w:rtl w:val="0"/>
          </w:rPr>
          <w:t xml:space="preserve">https://extra.globo.com/rio/casos-de-policia/noticia/2023/05/ela-precisou-morrer-para-que-marcius-fosse-preso-lamenta-advogada-de-aline-assassinada-por-ex-em-bangu.ghtml</w:t>
        </w:r>
      </w:hyperlink>
      <w:r w:rsidDel="00000000" w:rsidR="00000000" w:rsidRPr="00000000">
        <w:rPr>
          <w:rFonts w:ascii="Times New Roman" w:cs="Times New Roman" w:eastAsia="Times New Roman" w:hAnsi="Times New Roman"/>
          <w:sz w:val="24"/>
          <w:szCs w:val="24"/>
          <w:rtl w:val="0"/>
        </w:rPr>
        <w:t xml:space="preserve">. Acesso em 19 jun. 2023.</w:t>
      </w:r>
    </w:p>
    <w:p w:rsidR="00000000" w:rsidDel="00000000" w:rsidP="00000000" w:rsidRDefault="00000000" w:rsidRPr="00000000" w14:paraId="000007DA">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DB">
      <w:pPr>
        <w:spacing w:after="0"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_________________. </w:t>
      </w:r>
      <w:r w:rsidDel="00000000" w:rsidR="00000000" w:rsidRPr="00000000">
        <w:rPr>
          <w:rFonts w:ascii="Times New Roman" w:cs="Times New Roman" w:eastAsia="Times New Roman" w:hAnsi="Times New Roman"/>
          <w:sz w:val="24"/>
          <w:szCs w:val="24"/>
          <w:rtl w:val="0"/>
        </w:rPr>
        <w:t xml:space="preserve">Após feminicídio da filha, pais assumem guarda do neto e vivem incerteza quanto ao futuro.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O Globo. </w:t>
      </w:r>
      <w:r w:rsidDel="00000000" w:rsidR="00000000" w:rsidRPr="00000000">
        <w:rPr>
          <w:rFonts w:ascii="Times New Roman" w:cs="Times New Roman" w:eastAsia="Times New Roman" w:hAnsi="Times New Roman"/>
          <w:sz w:val="24"/>
          <w:szCs w:val="24"/>
          <w:rtl w:val="0"/>
        </w:rPr>
        <w:t xml:space="preserve">Rio de Janeiro, 2023. Disponível em:  </w:t>
      </w:r>
      <w:hyperlink r:id="rId136">
        <w:r w:rsidDel="00000000" w:rsidR="00000000" w:rsidRPr="00000000">
          <w:rPr>
            <w:rFonts w:ascii="Times New Roman" w:cs="Times New Roman" w:eastAsia="Times New Roman" w:hAnsi="Times New Roman"/>
            <w:sz w:val="24"/>
            <w:szCs w:val="24"/>
            <w:u w:val="single"/>
            <w:rtl w:val="0"/>
          </w:rPr>
          <w:t xml:space="preserve">https://oglobo.globo.com/rio/noticia/2023/06/apos-feminicidio-da-filha-pais-assumem-guarda-do-neto-e-vivem-incerteza-quanto-ao-futuro.ghtml</w:t>
        </w:r>
      </w:hyperlink>
      <w:r w:rsidDel="00000000" w:rsidR="00000000" w:rsidRPr="00000000">
        <w:rPr>
          <w:rFonts w:ascii="Times New Roman" w:cs="Times New Roman" w:eastAsia="Times New Roman" w:hAnsi="Times New Roman"/>
          <w:sz w:val="24"/>
          <w:szCs w:val="24"/>
          <w:rtl w:val="0"/>
        </w:rPr>
        <w:t xml:space="preserve">. Acesso em 19 jun. 2023.</w:t>
      </w:r>
    </w:p>
    <w:p w:rsidR="00000000" w:rsidDel="00000000" w:rsidP="00000000" w:rsidRDefault="00000000" w:rsidRPr="00000000" w14:paraId="000007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MP denuncia por feminicídio ex-companheiro e namorada por morte de mulher em Bangu.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O Globo. </w:t>
      </w:r>
      <w:r w:rsidDel="00000000" w:rsidR="00000000" w:rsidRPr="00000000">
        <w:rPr>
          <w:rFonts w:ascii="Times New Roman" w:cs="Times New Roman" w:eastAsia="Times New Roman" w:hAnsi="Times New Roman"/>
          <w:sz w:val="24"/>
          <w:szCs w:val="24"/>
          <w:rtl w:val="0"/>
        </w:rPr>
        <w:t xml:space="preserve"> Rio de Janeiro, 2023. </w:t>
      </w:r>
      <w:hyperlink r:id="rId137">
        <w:r w:rsidDel="00000000" w:rsidR="00000000" w:rsidRPr="00000000">
          <w:rPr>
            <w:rFonts w:ascii="Times New Roman" w:cs="Times New Roman" w:eastAsia="Times New Roman" w:hAnsi="Times New Roman"/>
            <w:sz w:val="24"/>
            <w:szCs w:val="24"/>
            <w:u w:val="single"/>
            <w:rtl w:val="0"/>
          </w:rPr>
          <w:t xml:space="preserve">https://g1.globo.com/rj/rio-de-janeiro/noticia/2023/05/22/mp-denuncia-por-feminicidio-ex-companheiro-e-namorada-por-morte-de-mulher-em-bangu.ghtml</w:t>
        </w:r>
      </w:hyperlink>
      <w:r w:rsidDel="00000000" w:rsidR="00000000" w:rsidRPr="00000000">
        <w:rPr>
          <w:rFonts w:ascii="Times New Roman" w:cs="Times New Roman" w:eastAsia="Times New Roman" w:hAnsi="Times New Roman"/>
          <w:sz w:val="24"/>
          <w:szCs w:val="24"/>
          <w:rtl w:val="0"/>
        </w:rPr>
        <w:t xml:space="preserve">. Acesso em 19 jun. 2023. </w:t>
      </w:r>
    </w:p>
    <w:p w:rsidR="00000000" w:rsidDel="00000000" w:rsidP="00000000" w:rsidRDefault="00000000" w:rsidRPr="00000000" w14:paraId="000007D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F">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OBSERVATÓRIO DE MORTES E VIOLÊNCIA LGBTI+ NO BRASIL. Bahia, 2023. </w:t>
      </w:r>
      <w:r w:rsidDel="00000000" w:rsidR="00000000" w:rsidRPr="00000000">
        <w:rPr>
          <w:rFonts w:ascii="Times New Roman" w:cs="Times New Roman" w:eastAsia="Times New Roman" w:hAnsi="Times New Roman"/>
          <w:b w:val="1"/>
          <w:sz w:val="24"/>
          <w:szCs w:val="24"/>
          <w:rtl w:val="0"/>
        </w:rPr>
        <w:t xml:space="preserve">Dossiê denuncia 273 mortes e violências de pessoas LGBT em 2022</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&lt; </w:t>
      </w:r>
      <w:hyperlink r:id="rId138">
        <w:r w:rsidDel="00000000" w:rsidR="00000000" w:rsidRPr="00000000">
          <w:rPr>
            <w:rFonts w:ascii="Times New Roman" w:cs="Times New Roman" w:eastAsia="Times New Roman" w:hAnsi="Times New Roman"/>
            <w:sz w:val="24"/>
            <w:szCs w:val="24"/>
            <w:u w:val="single"/>
            <w:rtl w:val="0"/>
          </w:rPr>
          <w:t xml:space="preserve">https://observatoriomorteseviolenciaslgbtibrasil.org/ dossie/mortes-lgbt-2022/</w:t>
        </w:r>
      </w:hyperlink>
      <w:r w:rsidDel="00000000" w:rsidR="00000000" w:rsidRPr="00000000">
        <w:rPr>
          <w:rFonts w:ascii="Times New Roman" w:cs="Times New Roman" w:eastAsia="Times New Roman" w:hAnsi="Times New Roman"/>
          <w:sz w:val="24"/>
          <w:szCs w:val="24"/>
          <w:rtl w:val="0"/>
        </w:rPr>
        <w:t xml:space="preserve">&gt; Acesso em: 30 jul. 2023.</w:t>
      </w:r>
      <w:r w:rsidDel="00000000" w:rsidR="00000000" w:rsidRPr="00000000">
        <w:rPr>
          <w:rtl w:val="0"/>
        </w:rPr>
      </w:r>
    </w:p>
    <w:p w:rsidR="00000000" w:rsidDel="00000000" w:rsidP="00000000" w:rsidRDefault="00000000" w:rsidRPr="00000000" w14:paraId="000007E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Globo. Preso pela morte da ex teve 2 pedidos de prisão negados pela justiça antes do crime e já havia sequestrado o filho</w:t>
      </w:r>
      <w:r w:rsidDel="00000000" w:rsidR="00000000" w:rsidRPr="00000000">
        <w:rPr>
          <w:rFonts w:ascii="Times New Roman" w:cs="Times New Roman" w:eastAsia="Times New Roman" w:hAnsi="Times New Roman"/>
          <w:i w:val="1"/>
          <w:sz w:val="24"/>
          <w:szCs w:val="24"/>
          <w:rtl w:val="0"/>
        </w:rPr>
        <w:t xml:space="preserve">. In: O </w:t>
      </w:r>
      <w:r w:rsidDel="00000000" w:rsidR="00000000" w:rsidRPr="00000000">
        <w:rPr>
          <w:rFonts w:ascii="Times New Roman" w:cs="Times New Roman" w:eastAsia="Times New Roman" w:hAnsi="Times New Roman"/>
          <w:b w:val="1"/>
          <w:sz w:val="24"/>
          <w:szCs w:val="24"/>
          <w:rtl w:val="0"/>
        </w:rPr>
        <w:t xml:space="preserve">Globo</w:t>
      </w:r>
      <w:r w:rsidDel="00000000" w:rsidR="00000000" w:rsidRPr="00000000">
        <w:rPr>
          <w:rFonts w:ascii="Times New Roman" w:cs="Times New Roman" w:eastAsia="Times New Roman" w:hAnsi="Times New Roman"/>
          <w:sz w:val="24"/>
          <w:szCs w:val="24"/>
          <w:rtl w:val="0"/>
        </w:rPr>
        <w:t xml:space="preserve"> (online). Rio de Janeiro, 2023. Disponível em: &lt; https://correiocarioca.com.br/2023/05/05/preso-pela-morte-da-ex-teve-2-pedidos-de-prisao-negados-pela-justica-antes-do-crime-e-ja-havia-sequestrado-o-filho/ &gt; Acesso em 05 out. 23.</w:t>
      </w:r>
    </w:p>
    <w:p w:rsidR="00000000" w:rsidDel="00000000" w:rsidP="00000000" w:rsidRDefault="00000000" w:rsidRPr="00000000" w14:paraId="000007E2">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MULHERES. ONU Mulheres e governo brasileiro lançam em 8/4 diretrizes nacionais para investigação de feminicídios.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ONU Mulheres.</w:t>
      </w:r>
      <w:r w:rsidDel="00000000" w:rsidR="00000000" w:rsidRPr="00000000">
        <w:rPr>
          <w:rFonts w:ascii="Times New Roman" w:cs="Times New Roman" w:eastAsia="Times New Roman" w:hAnsi="Times New Roman"/>
          <w:sz w:val="24"/>
          <w:szCs w:val="24"/>
          <w:rtl w:val="0"/>
        </w:rPr>
        <w:t xml:space="preserve"> Disponível em: </w:t>
      </w:r>
      <w:hyperlink r:id="rId139">
        <w:r w:rsidDel="00000000" w:rsidR="00000000" w:rsidRPr="00000000">
          <w:rPr>
            <w:rFonts w:ascii="Times New Roman" w:cs="Times New Roman" w:eastAsia="Times New Roman" w:hAnsi="Times New Roman"/>
            <w:sz w:val="24"/>
            <w:szCs w:val="24"/>
            <w:u w:val="single"/>
            <w:rtl w:val="0"/>
          </w:rPr>
          <w:t xml:space="preserve">http://www.onumulheres.org.br/noticias/onu-mulheres-e-governo-brasileiro-lancam-em-84-diretrizes-nacionais-para-investigacao-de-feminicidios/</w:t>
        </w:r>
      </w:hyperlink>
      <w:r w:rsidDel="00000000" w:rsidR="00000000" w:rsidRPr="00000000">
        <w:rPr>
          <w:rFonts w:ascii="Times New Roman" w:cs="Times New Roman" w:eastAsia="Times New Roman" w:hAnsi="Times New Roman"/>
          <w:sz w:val="24"/>
          <w:szCs w:val="24"/>
          <w:rtl w:val="0"/>
        </w:rPr>
        <w:t xml:space="preserve">. Acesso em 20 jul. 2023.</w:t>
      </w:r>
    </w:p>
    <w:p w:rsidR="00000000" w:rsidDel="00000000" w:rsidP="00000000" w:rsidRDefault="00000000" w:rsidRPr="00000000" w14:paraId="000007E4">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7E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MUNDIAL DA SAÚDE. </w:t>
      </w:r>
      <w:r w:rsidDel="00000000" w:rsidR="00000000" w:rsidRPr="00000000">
        <w:rPr>
          <w:rFonts w:ascii="Times New Roman" w:cs="Times New Roman" w:eastAsia="Times New Roman" w:hAnsi="Times New Roman"/>
          <w:b w:val="1"/>
          <w:sz w:val="24"/>
          <w:szCs w:val="24"/>
          <w:rtl w:val="0"/>
        </w:rPr>
        <w:t xml:space="preserve">Violence agaisnt women.</w:t>
      </w:r>
      <w:r w:rsidDel="00000000" w:rsidR="00000000" w:rsidRPr="00000000">
        <w:rPr>
          <w:rFonts w:ascii="Times New Roman" w:cs="Times New Roman" w:eastAsia="Times New Roman" w:hAnsi="Times New Roman"/>
          <w:sz w:val="24"/>
          <w:szCs w:val="24"/>
          <w:rtl w:val="0"/>
        </w:rPr>
        <w:t xml:space="preserve"> OMS/OPAS. Disponível em: </w:t>
      </w:r>
      <w:hyperlink r:id="rId140">
        <w:r w:rsidDel="00000000" w:rsidR="00000000" w:rsidRPr="00000000">
          <w:rPr>
            <w:rFonts w:ascii="Times New Roman" w:cs="Times New Roman" w:eastAsia="Times New Roman" w:hAnsi="Times New Roman"/>
            <w:sz w:val="24"/>
            <w:szCs w:val="24"/>
            <w:u w:val="single"/>
            <w:rtl w:val="0"/>
          </w:rPr>
          <w:t xml:space="preserve">https://www.paho.org/pt/topics/violence-against-women</w:t>
        </w:r>
      </w:hyperlink>
      <w:r w:rsidDel="00000000" w:rsidR="00000000" w:rsidRPr="00000000">
        <w:rPr>
          <w:rFonts w:ascii="Times New Roman" w:cs="Times New Roman" w:eastAsia="Times New Roman" w:hAnsi="Times New Roman"/>
          <w:sz w:val="24"/>
          <w:szCs w:val="24"/>
          <w:rtl w:val="0"/>
        </w:rPr>
        <w:t xml:space="preserve">. Acesso em 10 jul. 2023. </w:t>
      </w:r>
    </w:p>
    <w:p w:rsidR="00000000" w:rsidDel="00000000" w:rsidP="00000000" w:rsidRDefault="00000000" w:rsidRPr="00000000" w14:paraId="000007E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QUEIROZ, Thalita. Mulher assassinada pelo ex avisou à polícia uma semana antes do crime sobre as ameaças. </w:t>
      </w:r>
      <w:r w:rsidDel="00000000" w:rsidR="00000000" w:rsidRPr="00000000">
        <w:rPr>
          <w:rFonts w:ascii="Times New Roman" w:cs="Times New Roman" w:eastAsia="Times New Roman" w:hAnsi="Times New Roman"/>
          <w:i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O Dia</w:t>
      </w:r>
      <w:r w:rsidDel="00000000" w:rsidR="00000000" w:rsidRPr="00000000">
        <w:rPr>
          <w:rFonts w:ascii="Times New Roman" w:cs="Times New Roman" w:eastAsia="Times New Roman" w:hAnsi="Times New Roman"/>
          <w:sz w:val="24"/>
          <w:szCs w:val="24"/>
          <w:rtl w:val="0"/>
        </w:rPr>
        <w:t xml:space="preserve">. Rio de Janeiro, 2023. Disponível em: </w:t>
      </w:r>
      <w:hyperlink r:id="rId141">
        <w:r w:rsidDel="00000000" w:rsidR="00000000" w:rsidRPr="00000000">
          <w:rPr>
            <w:rFonts w:ascii="Times New Roman" w:cs="Times New Roman" w:eastAsia="Times New Roman" w:hAnsi="Times New Roman"/>
            <w:sz w:val="24"/>
            <w:szCs w:val="24"/>
            <w:u w:val="single"/>
            <w:rtl w:val="0"/>
          </w:rPr>
          <w:t xml:space="preserve">https://odia.ig.com.br/rio-de-janeiro/2023/05/6627391-mulher-assassinada-pelo-ex-avisou-a-policia-uma-semana-antes-do-crime-sobre-as-ameacas.html</w:t>
        </w:r>
      </w:hyperlink>
      <w:r w:rsidDel="00000000" w:rsidR="00000000" w:rsidRPr="00000000">
        <w:rPr>
          <w:rFonts w:ascii="Times New Roman" w:cs="Times New Roman" w:eastAsia="Times New Roman" w:hAnsi="Times New Roman"/>
          <w:sz w:val="24"/>
          <w:szCs w:val="24"/>
          <w:rtl w:val="0"/>
        </w:rPr>
        <w:t xml:space="preserve">. Acesso em 15 jul. 2023.</w:t>
      </w:r>
    </w:p>
    <w:p w:rsidR="00000000" w:rsidDel="00000000" w:rsidP="00000000" w:rsidRDefault="00000000" w:rsidRPr="00000000" w14:paraId="000007E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REDE DE OBSERVATÓRIOS DA SEGURANÇA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Elas vivem</w:t>
      </w:r>
      <w:r w:rsidDel="00000000" w:rsidR="00000000" w:rsidRPr="00000000">
        <w:rPr>
          <w:rFonts w:ascii="Times New Roman" w:cs="Times New Roman" w:eastAsia="Times New Roman" w:hAnsi="Times New Roman"/>
          <w:sz w:val="24"/>
          <w:szCs w:val="24"/>
          <w:rtl w:val="0"/>
        </w:rPr>
        <w:t xml:space="preserve">: dados que não se calam. Rio de Janeiro: CESeC, março de 2023. Disponível em: &lt;</w:t>
      </w:r>
      <w:hyperlink r:id="rId142">
        <w:r w:rsidDel="00000000" w:rsidR="00000000" w:rsidRPr="00000000">
          <w:rPr>
            <w:rFonts w:ascii="Times New Roman" w:cs="Times New Roman" w:eastAsia="Times New Roman" w:hAnsi="Times New Roman"/>
            <w:sz w:val="24"/>
            <w:szCs w:val="24"/>
            <w:u w:val="single"/>
            <w:rtl w:val="0"/>
          </w:rPr>
          <w:t xml:space="preserve">https://cesecseguranca.com.br/textodownload/elas-vivem-dados-que-nao-se-calam/</w:t>
        </w:r>
      </w:hyperlink>
      <w:r w:rsidDel="00000000" w:rsidR="00000000" w:rsidRPr="00000000">
        <w:rPr>
          <w:rFonts w:ascii="Times New Roman" w:cs="Times New Roman" w:eastAsia="Times New Roman" w:hAnsi="Times New Roman"/>
          <w:sz w:val="24"/>
          <w:szCs w:val="24"/>
          <w:rtl w:val="0"/>
        </w:rPr>
        <w:t xml:space="preserve">&gt;  Acesso em: 30 jul. 2023.</w:t>
      </w:r>
    </w:p>
    <w:p w:rsidR="00000000" w:rsidDel="00000000" w:rsidP="00000000" w:rsidRDefault="00000000" w:rsidRPr="00000000" w14:paraId="000007E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SAFFIOTI, Heleieth. </w:t>
      </w:r>
      <w:r w:rsidDel="00000000" w:rsidR="00000000" w:rsidRPr="00000000">
        <w:rPr>
          <w:rFonts w:ascii="Times New Roman" w:cs="Times New Roman" w:eastAsia="Times New Roman" w:hAnsi="Times New Roman"/>
          <w:b w:val="1"/>
          <w:sz w:val="24"/>
          <w:szCs w:val="24"/>
          <w:rtl w:val="0"/>
        </w:rPr>
        <w:t xml:space="preserve">Contribuições feministas para o estudo da violência de gênero</w:t>
      </w:r>
      <w:r w:rsidDel="00000000" w:rsidR="00000000" w:rsidRPr="00000000">
        <w:rPr>
          <w:rFonts w:ascii="Times New Roman" w:cs="Times New Roman" w:eastAsia="Times New Roman" w:hAnsi="Times New Roman"/>
          <w:i w:val="1"/>
          <w:sz w:val="24"/>
          <w:szCs w:val="24"/>
          <w:rtl w:val="0"/>
        </w:rPr>
        <w:t xml:space="preserve">.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Cadernos Pagu</w:t>
      </w:r>
      <w:r w:rsidDel="00000000" w:rsidR="00000000" w:rsidRPr="00000000">
        <w:rPr>
          <w:rFonts w:ascii="Times New Roman" w:cs="Times New Roman" w:eastAsia="Times New Roman" w:hAnsi="Times New Roman"/>
          <w:sz w:val="24"/>
          <w:szCs w:val="24"/>
          <w:rtl w:val="0"/>
        </w:rPr>
        <w:t xml:space="preserve">, 16, Campinas: Unicamp, 2001.</w:t>
      </w:r>
    </w:p>
    <w:p w:rsidR="00000000" w:rsidDel="00000000" w:rsidP="00000000" w:rsidRDefault="00000000" w:rsidRPr="00000000" w14:paraId="000007E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w:t>
      </w:r>
      <w:r w:rsidDel="00000000" w:rsidR="00000000" w:rsidRPr="00000000">
        <w:rPr>
          <w:rFonts w:ascii="Times New Roman" w:cs="Times New Roman" w:eastAsia="Times New Roman" w:hAnsi="Times New Roman"/>
          <w:b w:val="1"/>
          <w:sz w:val="24"/>
          <w:szCs w:val="24"/>
          <w:rtl w:val="0"/>
        </w:rPr>
        <w:t xml:space="preserve">Qué es un femicidio?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Notas para um debate emergente. Brasília: UNB; 2006.</w:t>
      </w:r>
    </w:p>
    <w:p w:rsidR="00000000" w:rsidDel="00000000" w:rsidP="00000000" w:rsidRDefault="00000000" w:rsidRPr="00000000" w14:paraId="000007E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VIOLÊNCIA CONTRA A MULHER E FEMINICIDIO: POR UMA POLÍTICA PÚBLICA EFETIVA DE REPARAÇÃO ÀS VÍTIMAS SOBREVIVENTES E ÀS VÍTIMAS INDIRETAS</w:t>
      </w:r>
      <w:r w:rsidDel="00000000" w:rsidR="00000000" w:rsidRPr="00000000">
        <w:rPr>
          <w:rtl w:val="0"/>
        </w:rPr>
      </w:r>
    </w:p>
    <w:p w:rsidR="00000000" w:rsidDel="00000000" w:rsidP="00000000" w:rsidRDefault="00000000" w:rsidRPr="00000000" w14:paraId="000007F8">
      <w:pPr>
        <w:spacing w:after="0" w:line="360" w:lineRule="auto"/>
        <w:jc w:val="right"/>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Danielle Paula de Jesus de Souza</w:t>
      </w:r>
      <w:r w:rsidDel="00000000" w:rsidR="00000000" w:rsidRPr="00000000">
        <w:rPr>
          <w:rFonts w:ascii="Times New Roman" w:cs="Times New Roman" w:eastAsia="Times New Roman" w:hAnsi="Times New Roman"/>
          <w:sz w:val="24"/>
          <w:szCs w:val="24"/>
          <w:vertAlign w:val="superscript"/>
        </w:rPr>
        <w:footnoteReference w:customMarkFollows="0" w:id="95"/>
      </w:r>
      <w:r w:rsidDel="00000000" w:rsidR="00000000" w:rsidRPr="00000000">
        <w:rPr>
          <w:rtl w:val="0"/>
        </w:rPr>
      </w:r>
    </w:p>
    <w:p w:rsidR="00000000" w:rsidDel="00000000" w:rsidP="00000000" w:rsidRDefault="00000000" w:rsidRPr="00000000" w14:paraId="000007F9">
      <w:pPr>
        <w:pStyle w:val="Heading1"/>
        <w:spacing w:line="360" w:lineRule="auto"/>
        <w:ind w:left="0" w:firstLine="0"/>
        <w:rPr>
          <w:b w:val="0"/>
          <w:i w:val="1"/>
        </w:rPr>
      </w:pPr>
      <w:r w:rsidDel="00000000" w:rsidR="00000000" w:rsidRPr="00000000">
        <w:rPr>
          <w:b w:val="0"/>
          <w:i w:val="1"/>
          <w:rtl w:val="0"/>
        </w:rPr>
        <w:t xml:space="preserve">Introdução</w:t>
      </w:r>
    </w:p>
    <w:p w:rsidR="00000000" w:rsidDel="00000000" w:rsidP="00000000" w:rsidRDefault="00000000" w:rsidRPr="00000000" w14:paraId="000007FA">
      <w:pPr>
        <w:pStyle w:val="Heading1"/>
        <w:spacing w:line="360" w:lineRule="auto"/>
        <w:ind w:left="0" w:firstLine="0"/>
        <w:rPr>
          <w:b w:val="0"/>
          <w:i w:val="1"/>
        </w:rPr>
      </w:pPr>
      <w:r w:rsidDel="00000000" w:rsidR="00000000" w:rsidRPr="00000000">
        <w:rPr>
          <w:rtl w:val="0"/>
        </w:rPr>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feminicídio, referido como a morte de mulheres em razão do gênero (pelo simples fato de serem mulheres) ou como resultado de abusos ocorridos no âmbito doméstico e familiar, tem sido denunciado pelos movimentos sociais feministas há mais de trinta anos e, portanto, há algum tempo já se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sabe que a violência de gênero contra as mulheres tem uma expressão letal. </w:t>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autora Diana Russell foi uma das primeiras a usar a terminologia em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Femicide: The Politics of Woman Killing</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superscript"/>
        </w:rPr>
        <w:footnoteReference w:customMarkFollows="0" w:id="96"/>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que significa assassinato de mulheres mas acrescentando a ele uma significação política: a de genocídio contra as mulheres. Entretanto, o reconhecimento dessas mortes como um “feminicídio” é um processo mais recente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cujo objetivo foi provocar modificações legislativas que conferissem visibilidade às situações de menosprezo e dominação da mulher. Acrescenta-se, ainda, que mulheres marginalizadas são as que correm mais risco de feminicídio tais como as negras, indígenas, pobres, trans e lésbicas.</w:t>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Lagarde (2006, p. 99)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descreve o feminicídio como “um crime de ódio contra as mulheres por serem mulheres. Constitui o ponto culminante de um espiral de violência originada na relação desigual entre homens e mulheres na sociedade patriarcal”. Para Segato (2006, p. 4) “os crimes do patriarcado ou feminicídio são, claramente, crimes de poder, ou seja, crimes cuja dupla função é, neste modelo, simultaneamente, a retenção ou manutenção ou a reprodução do poder”. </w:t>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considerando o contexto histórico e cultural, a relação de gênero pode variar em cada sociedade e essas relações de poder e dominação podem prevalecer surgindo outra categoria atrelada ao gênero, o patriarcado, tendo a socióloga brasileira Heleieth Saffioti como referência nesta abordagem. </w:t>
      </w:r>
    </w:p>
    <w:p w:rsidR="00000000" w:rsidDel="00000000" w:rsidP="00000000" w:rsidRDefault="00000000" w:rsidRPr="00000000" w14:paraId="000007FF">
      <w:pPr>
        <w:spacing w:after="0" w:line="360" w:lineRule="auto"/>
        <w:ind w:righ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 palavras de Saffioti (2004, p. 44-45) a discussão sobre gênero não pode estar dissociada do patriarcado, pois o primeiro está relacionado com a construção social dos sujeitos masculino-feminino, e o segundo é recente e está ligado à opressão, desigualdade, dominação e poder. Essa coligação é relevante para se compreender a violência contra mulher pois a violência de gênero denuncia essas relações de poder que hierarquizam os gêneros, confrontando a naturalização e a banalização da violência sofrida pela mulher. </w:t>
      </w:r>
    </w:p>
    <w:p w:rsidR="00000000" w:rsidDel="00000000" w:rsidP="00000000" w:rsidRDefault="00000000" w:rsidRPr="00000000" w14:paraId="00000800">
      <w:pPr>
        <w:spacing w:after="0" w:line="360" w:lineRule="auto"/>
        <w:ind w:righ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Dessa forma, </w:t>
      </w:r>
      <w:r w:rsidDel="00000000" w:rsidR="00000000" w:rsidRPr="00000000">
        <w:rPr>
          <w:rFonts w:ascii="Times New Roman" w:cs="Times New Roman" w:eastAsia="Times New Roman" w:hAnsi="Times New Roman"/>
          <w:color w:val="000000"/>
          <w:sz w:val="24"/>
          <w:szCs w:val="24"/>
          <w:rtl w:val="0"/>
        </w:rPr>
        <w:t xml:space="preserve">não se pode pensar em uma tipificação específica para a morte violenta de mulheres que esteja desvinculada do conceito de gênero, tendo em vista que no Brasil ainda são recorrentes os casos em que utilizam-se argumentos de descontrole e violenta emoção a fim de minimizar o comportamento do companheiro, ou ex-companheiro, e apresentar o assassinato como um ato isolado, responsabilizando a vítima e sua memória pela hostilidade sofrida. </w:t>
      </w:r>
    </w:p>
    <w:p w:rsidR="00000000" w:rsidDel="00000000" w:rsidP="00000000" w:rsidRDefault="00000000" w:rsidRPr="00000000" w14:paraId="00000801">
      <w:pPr>
        <w:spacing w:after="0" w:line="360" w:lineRule="auto"/>
        <w:ind w:righ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Nesse sentido,</w:t>
      </w:r>
      <w:r w:rsidDel="00000000" w:rsidR="00000000" w:rsidRPr="00000000">
        <w:rPr>
          <w:rFonts w:ascii="Times New Roman" w:cs="Times New Roman" w:eastAsia="Times New Roman" w:hAnsi="Times New Roman"/>
          <w:sz w:val="24"/>
          <w:szCs w:val="24"/>
          <w:rtl w:val="0"/>
        </w:rPr>
        <w:t xml:space="preserve"> o presente artigo tem o condão de visibilizar a rede de pessoas atingidas pela violência aborda a importância de fomentar políticas públicas de reparação às mulheres vítimas de tentativa de feminicídio bem como aos familiares, vítimas indiretas do feminicídio consumado demonstrando que o Estado tem a obrigação de </w:t>
      </w:r>
      <w:r w:rsidDel="00000000" w:rsidR="00000000" w:rsidRPr="00000000">
        <w:rPr>
          <w:rFonts w:ascii="Times New Roman" w:cs="Times New Roman" w:eastAsia="Times New Roman" w:hAnsi="Times New Roman"/>
          <w:color w:val="000000"/>
          <w:sz w:val="24"/>
          <w:szCs w:val="24"/>
          <w:rtl w:val="0"/>
        </w:rPr>
        <w:t xml:space="preserve">assegurar às vítimas sobreviventes e às vítimas indiretas, além do acesso ao sistema de justiça, uma reparação justa e eficaz pelos danos sofridos.</w:t>
      </w:r>
    </w:p>
    <w:p w:rsidR="00000000" w:rsidDel="00000000" w:rsidP="00000000" w:rsidRDefault="00000000" w:rsidRPr="00000000" w14:paraId="00000802">
      <w:pPr>
        <w:spacing w:after="0" w:line="360" w:lineRule="auto"/>
        <w:ind w:righ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É </w:t>
      </w:r>
      <w:r w:rsidDel="00000000" w:rsidR="00000000" w:rsidRPr="00000000">
        <w:rPr>
          <w:rFonts w:ascii="Times New Roman" w:cs="Times New Roman" w:eastAsia="Times New Roman" w:hAnsi="Times New Roman"/>
          <w:sz w:val="24"/>
          <w:szCs w:val="24"/>
          <w:rtl w:val="0"/>
        </w:rPr>
        <w:t xml:space="preserve">bastante significativo o número de crianças que são mortas na frente das mães, por vingança, ou juntamente com elas. Também casos de crianças, vítimas dessa violência, que são encaminhadas para adoção ou que desapareceram porque foram levadas pelo pai agressor. Sem a mãe e o pai, os descendentes chegam na casa de parentes que, por muitas vezes, não têm condições financeiras para arcar com as despesas de mais um integrante. Além da mudança no orçamento familiar, uma criança enlutada e marcada pela violência no seio familiar precisa de acompanhamento psicológico, atenção e amor redobrados para que esse trauma não traga consequências para a vida adulta e não cresçam com crenças limitantes já que na maior parte dos casos essas mulheres são o pilar que sustenta a família não apenas financeira como psicologicamente. </w:t>
        <w:tab/>
        <w:t xml:space="preserve"> </w:t>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Feminicídio como violência de gênero extremada na legislação penal e nos tribunais brasileiros</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evolução histórica sobre a condição da mulher no direito penal brasileiro evidencia os sinais do patriarcado. As referências ao feminino sempre se fundaram na percepção da mulher como vítima, condição, certamente, decorrente do papel que foi atribuído à mulher, nas sociedades patriarcais, o qual se fundava no entendimento da mulher como um ser mais frágil, portanto, carente de proteção. Porém tal justificativa reforça a dominação sendo a violência em todos os seus matizes um instrumento hábil para exercício desse controle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anos 80 podem ser considerados um marco inicial para a implementação de políticas públicas voltadas ao combate à violência contra a mulher no Brasil uma vez que os homicídios praticados contra mulheres tornaram-se paradigmáticos da violência feminina sofrida e com bastante repercussão nas mídias da época. </w:t>
      </w:r>
    </w:p>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resultado, surgiram as primeiras denúncias contra a tolerância de órgãos da justiça e da sociedade em relação aos crimes tidos como passionais, nos quais os autores eram costumeiramente absolvidos sob a alegação de os terem praticado em legítima defesa da honra. Assim, o processo de deslocamento da discussão acerca da violência de gênero do espaço privado para o público deve-se às lutas feministas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buscaram na atuação do Estado uma resposta efetiva no enfrentamento a esta violência. E essa resposta veio através da criminalização. </w:t>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2006 foi criada a lei nº 11.340, Lei Maria da Penha, que inaugurou mecanismos para coibir a violência doméstica e familiar contra as mulheres. O diploma legal trouxe medidas integradas de prevenção da violência contra a mulher e de assistência à mulher em situação de violência, inaugurando, por exemplo, as medidas protetivas de urgência e trazendo alterações do ponto de vista processual penal como o afastamento da aplicação da Lei nº 9.099/95 a esse tipo de crime. </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continuidade, foi apresentado em 2013 o Projeto de Lei do Senado nº 292 decorrente de uma Comissão Parlamentar Mista de Inquérito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criada para investigar a violência contra a mulher sendo este Projeto o embrião da Lei 13.104/15 que, dando continuidade à legislação penal de combate à violência inseriu a categoria feminicídio no art. 121. §2º, VI do Código Penal Brasileiro. Ressalte-se, ainda, que há no §7º uma causa de aumento da pena quando o feminicídio for praticado durante a gestação ou nos três meses posteriores ao parto, quando for praticado contra pessoa menor de 14 anos ou maior de 60, ou com deficiência ou, ainda, quando for praticado na presença de ascedente ou descendente da vítima. </w:t>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Tecnicamente, como em todos os crimes, as investigações sobre as mortes de mulheres por seus companheiros, maridos e ex-parceiros são feitas pela polícia através  do procedimento administrativo do Inquérito Policial cujo objetivo é a produção preliminar de provas, com o intuito de apurar a prática do crime e sua autoria. Por ser um procedimento inquisitivo, não há oportunidade de defesa. O Inquérito é sigiloso uma vez que o acesso aos autos é possibilitado apenas ao advogado. Se houver provas suficientes de autoria e materialidade do crime pela polícia, o Ministério Público oferece a denúncia. A partir disso, as provas do crime são colhidas diante do juiz togado respeitando o contraditório e a ampla defesa.</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Verificada a materialidade do feminicídio, consumado ou tentado, após a instrução processual, o juiz decidirá se é viável ou não enviar o caso para ser apreciado pelo Tribunal do Júri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nesse momento poderá pronunciar o réu, impronunciá-lo, absolvê-lo sumariamente ou desclassificar a infração. </w:t>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Caso o réu seja pronunciado, é iniciada a fase de preparação do plenário, em que testemunhas irão novamente depor e novos documentos poderão ser juntados aos autos, bem como novas diligências realizadas. Ao fim do interrogatório do réu, da inquirição de testemunhas e dos debates entre Ministério Público e defesa, o Conselho de Sentença, composto por jurados leigos, irá julgar o caso. Os jurados devem votar sim ou não, sem necessidade de justificação, aos quesitos apresentados sobre o desfecho do crime e a punição do agressor. </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 que diz respeito ao aspecto punitivo, para a Lei do Feminicídio seja aplicada com efetividade, um instrumento interessante no auxílio aos operadores de Justiça nessa missão são as Diretrizes Nacionais do Feminicídio para Investigar, Processar e Julgar com Perspectiva de Gênero as mortes violentas de mulheres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superscript"/>
        </w:rPr>
        <w:footnoteReference w:customMarkFollows="0" w:id="101"/>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que nada mais é a adaptação do Modelo do Protocolo Latino-americano para investigação de morte violenta de mulheres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elaborado pelo Escritório Regional do Alto Comissariado das Nações Unidas para os Direitos Humanos (ACNUDH)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direção, o Brasil foi selecionado como país-piloto para o processo de adaptação do Modelo de Protocolo e sua incorporação às normativas e diretrizes nacionais. Conforme disposto no documento, os critérios de seleção basearam-se: 1) na prevalência e relevância das mortes violentas de mulheres por razões de gênero no país; 2) na capacidade de sua implementação no sistema de justiça criminal; 3) na existência prévia de relações interinstitucionais entre os parceiros; 4) na capacidade técnica dos escritórios da ONU Mulheres, do PNUD e do Escritório do ACNUDH para implementar o projeto no país; e 5) na presença de representação diplomática da Áustria através de sua Embaixada em Brasília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11">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Através dessa normativa internacional, pode-se afirmar que os Estados, nos casos de violência contra as mulheres por razões de gênero, possuem quatro tipos de obrigações: o dever de atuar com a devida diligência, o dever de prevenção, o dever de investigar e sancionar e o dever de garantir uma justa e eficaz reparação. Os Estados devem adotar medidas holísticas e sustentáveis para prevenir, proteger, sancionar e reparar os atos de violência contra as mulheres, tanto a partir de uma abordagem sistêmica, com vistas a atacar suas causas e consequências, bem como no âmbito individual que impõe aos Estados estabelecerem medidas efetivas de prevenção, proteção, sanção e reparação do caso individual. </w:t>
      </w:r>
    </w:p>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Feitas essas considerações e em consonância com o Modelo de Protocolo Latino-americano de Investigação de Mortes Violentas, é necessário que a resposta do sistema de justiça seja dada em tempo razoável, considerando que a demora na resolução do caso aliada à falta de efetiva reparação pode, mesmo que haja uma condenação dos autores do crime, provocar a sensação de impunidade. </w:t>
      </w:r>
    </w:p>
    <w:p w:rsidR="00000000" w:rsidDel="00000000" w:rsidP="00000000" w:rsidRDefault="00000000" w:rsidRPr="00000000" w14:paraId="00000813">
      <w:pPr>
        <w:rPr/>
      </w:pPr>
      <w:r w:rsidDel="00000000" w:rsidR="00000000" w:rsidRPr="00000000">
        <w:rPr>
          <w:rtl w:val="0"/>
        </w:rPr>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Dever de garantia de reparação justa e eficaz pelo às vítimas sobreviventes e indiretas</w:t>
      </w:r>
    </w:p>
    <w:p w:rsidR="00000000" w:rsidDel="00000000" w:rsidP="00000000" w:rsidRDefault="00000000" w:rsidRPr="00000000" w14:paraId="00000815">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16">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Conforme comentado, a investigação eficiente, o processamento e julgamento adequado dos casos das mortes violentas de mulheres por razão de gênero poderia, por si só, cumprir um papel reparador, considerando a responsabilização da autoria pelo crime e a mensagem de rejeição da violência baseada no gênero que é enviada à sociedade. Ocorre que a reparação deve também ser considerada sob uma ótica mais ampla principalmente nos casos em que há considerável repercussão, seja pela mídia, seja pela mobilização de grupos de mulheres ou da própria comunidade. </w:t>
      </w:r>
    </w:p>
    <w:p w:rsidR="00000000" w:rsidDel="00000000" w:rsidP="00000000" w:rsidRDefault="00000000" w:rsidRPr="00000000" w14:paraId="00000817">
      <w:pPr>
        <w:spacing w:after="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w:t>
      </w:r>
    </w:p>
    <w:p w:rsidR="00000000" w:rsidDel="00000000" w:rsidP="00000000" w:rsidRDefault="00000000" w:rsidRPr="00000000" w14:paraId="00000818">
      <w:pPr>
        <w:spacing w:after="0" w:line="360" w:lineRule="auto"/>
        <w:ind w:firstLine="70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19">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Declaração das Nações Unidas sobre a Eliminação da Violência contra a Mulher – assim como a Convenção de Belém do Pará – estabelece a obrigação, para os Estados, de garantir às mulheres vítimas de violência um </w:t>
      </w:r>
      <w:r w:rsidDel="00000000" w:rsidR="00000000" w:rsidRPr="00000000">
        <w:rPr>
          <w:rFonts w:ascii="Times New Roman" w:cs="Times New Roman" w:eastAsia="Times New Roman" w:hAnsi="Times New Roman"/>
          <w:i w:val="1"/>
          <w:sz w:val="20"/>
          <w:szCs w:val="20"/>
          <w:rtl w:val="0"/>
        </w:rPr>
        <w:t xml:space="preserve">acesso aos mecanismos de justiça e a uma reparação justa e eficaz</w:t>
      </w:r>
      <w:r w:rsidDel="00000000" w:rsidR="00000000" w:rsidRPr="00000000">
        <w:rPr>
          <w:rFonts w:ascii="Times New Roman" w:cs="Times New Roman" w:eastAsia="Times New Roman" w:hAnsi="Times New Roman"/>
          <w:sz w:val="20"/>
          <w:szCs w:val="20"/>
          <w:rtl w:val="0"/>
        </w:rPr>
        <w:t xml:space="preserve"> pelo dano que tiverem sofrido (MODELO DE PROTOCOLO, § 71, 2014, p. 31). </w:t>
      </w:r>
    </w:p>
    <w:p w:rsidR="00000000" w:rsidDel="00000000" w:rsidP="00000000" w:rsidRDefault="00000000" w:rsidRPr="00000000" w14:paraId="0000081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B">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com base neste dispositivo a emblemática decisão da Comissão Internacional de Direitos Humanos no caso Maria da Penha </w:t>
      </w:r>
      <w:r w:rsidDel="00000000" w:rsidR="00000000" w:rsidRPr="00000000">
        <w:rPr>
          <w:rFonts w:ascii="Times New Roman" w:cs="Times New Roman" w:eastAsia="Times New Roman" w:hAnsi="Times New Roman"/>
          <w:i w:val="1"/>
          <w:color w:val="000000"/>
          <w:sz w:val="24"/>
          <w:szCs w:val="24"/>
          <w:rtl w:val="0"/>
        </w:rPr>
        <w:t xml:space="preserve">versus </w:t>
      </w:r>
      <w:r w:rsidDel="00000000" w:rsidR="00000000" w:rsidRPr="00000000">
        <w:rPr>
          <w:rFonts w:ascii="Times New Roman" w:cs="Times New Roman" w:eastAsia="Times New Roman" w:hAnsi="Times New Roman"/>
          <w:color w:val="000000"/>
          <w:sz w:val="24"/>
          <w:szCs w:val="24"/>
          <w:rtl w:val="0"/>
        </w:rPr>
        <w:t xml:space="preserve">Brasil fixou deveres especiais de proteção estatal vinculados ao direito à vida frente a um padrão estrutural de violência doméstica que afetava as mulheres brasileiras e que deveriam ser reparadas de forma coletiva, ou seja, a partir da adoção de políticas públicas com perspectiva de gênero. </w:t>
      </w:r>
    </w:p>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CIDH recomendou: </w:t>
      </w:r>
    </w:p>
    <w:p w:rsidR="00000000" w:rsidDel="00000000" w:rsidP="00000000" w:rsidRDefault="00000000" w:rsidRPr="00000000" w14:paraId="0000081D">
      <w:pPr>
        <w:rPr/>
      </w:pPr>
      <w:r w:rsidDel="00000000" w:rsidR="00000000" w:rsidRPr="00000000">
        <w:rPr>
          <w:rtl w:val="0"/>
        </w:rPr>
      </w:r>
    </w:p>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2"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Adotar, sem prejuízo das ações que possam ser instauradas contra o responsável civil da agressão, as medidas necessárias para que o Estado assegure à vítima adequada reparação simbólica e material pelas violações aqui estabelecidas, particularmente por sua falha em oferecer um recurso rápido e efetivo; por manter o caso na impunidade por mais de quinze anos; e por impedir com esse atraso a possibilidade oportuna de ação de reparação e indenização civil. (CIDH. Informe 54, 2001, p. 19)</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Pr>
        <w:footnoteReference w:customMarkFollows="0" w:id="104"/>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1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0">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O direito à reparação tem a ver com o impacto da violência na vida dessas pessoas principalmente no que diz respeito ao seu sustento, condições de vida futura e desenvolvimento físico e psicológico. Não raro as</w:t>
      </w:r>
      <w:r w:rsidDel="00000000" w:rsidR="00000000" w:rsidRPr="00000000">
        <w:rPr>
          <w:rFonts w:ascii="Times New Roman" w:cs="Times New Roman" w:eastAsia="Times New Roman" w:hAnsi="Times New Roman"/>
          <w:sz w:val="24"/>
          <w:szCs w:val="24"/>
          <w:highlight w:val="white"/>
          <w:rtl w:val="0"/>
        </w:rPr>
        <w:t xml:space="preserve"> agressões decorrentes da violência de gênero atingem a mulher em partes muito visíveis do corpo e tem uma finalidade muito específica, que é exatamente acabar ou diminuir a autoestima dessa mulher. Dependendo da extensão dessa lesão, inviabiliza inclusive o exercício de atividades profissionais. </w:t>
      </w:r>
    </w:p>
    <w:p w:rsidR="00000000" w:rsidDel="00000000" w:rsidP="00000000" w:rsidRDefault="00000000" w:rsidRPr="00000000" w14:paraId="00000821">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Por esse motivo, à</w:t>
      </w:r>
      <w:r w:rsidDel="00000000" w:rsidR="00000000" w:rsidRPr="00000000">
        <w:rPr>
          <w:rFonts w:ascii="Times New Roman" w:cs="Times New Roman" w:eastAsia="Times New Roman" w:hAnsi="Times New Roman"/>
          <w:color w:val="000000"/>
          <w:sz w:val="24"/>
          <w:szCs w:val="24"/>
          <w:rtl w:val="0"/>
        </w:rPr>
        <w:t xml:space="preserve">s vítimas sobreviventes as medidas de reparação deverão ser adotadas na perspectiva de gênero e promover transformação efetiva na vida das mulheres tanto de forma prática pleiteando indenização pelo dano estético permanente e irreparável que tenha suportado em razão dos danos causados pelo ofensor, sem prejuízo do dano moral e material, lucros cessantes, traumas psíquicos e outros exemplos trazidos pela doutrina e jurisprudência no sentido de contribuir para a melhora de sua autoconfiança para superar a violência sofrida.</w:t>
      </w:r>
    </w:p>
    <w:p w:rsidR="00000000" w:rsidDel="00000000" w:rsidP="00000000" w:rsidRDefault="00000000" w:rsidRPr="00000000" w14:paraId="00000822">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Já às vítimas indiretas, encontram-se, por exemplo, a garantia de acesso à educação e à formação profissional por meio de pagamentos de bolsas de estudos, o sustento econômico por meio de pensão alimentícia para filhos menores e dependentes. Deverão ainda terem amplo acesso aos equipamentos de saúde para tratamento físico se atingidas pela violência incluindo o acompanhamento psicológico. </w:t>
      </w:r>
    </w:p>
    <w:p w:rsidR="00000000" w:rsidDel="00000000" w:rsidP="00000000" w:rsidRDefault="00000000" w:rsidRPr="00000000" w14:paraId="00000823">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Essas considerações encontram respaldo legal no artigo 948 do Código Civil Brasileiro, que abrange os danos patrimonial, imaterial ou moral, de acordo com o caso concreto, aplicando-se aos casos de feminicídio consumado ou tentado, com as ressalvas correspondentes à absolvição. E o art. 949 do mesmo diploma abrange os casos de lesão ou outra ofensa à saúde, cabendo indenização nas hipóteses mencionadas. </w:t>
      </w:r>
    </w:p>
    <w:p w:rsidR="00000000" w:rsidDel="00000000" w:rsidP="00000000" w:rsidRDefault="00000000" w:rsidRPr="00000000" w14:paraId="00000824">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Nessa perspectiva, o direito à reparação deverá considerar o </w:t>
      </w:r>
    </w:p>
    <w:p w:rsidR="00000000" w:rsidDel="00000000" w:rsidP="00000000" w:rsidRDefault="00000000" w:rsidRPr="00000000" w14:paraId="00000825">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26">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ressarcimento pelo(s) projeto(s) de vida que possam ter sido interrompidos(s) por conta da morte provocada [...] que embora a mulher vitimada não fosse, em certos casos, a provedora econômica direta da família, é provável que ela tenha desempenhado um papel de cuidadora e protetora que deve ser reparado, [o] que supera a lógica da indenização ou da compensação, focando-se mais na ideia do acompanhamento psicológico e do restabelecimento do projeto de vida de quem se vê afetado pelo assassinato desta mulher (MODELO DE PROTOCOLO, 2014, §387, p. 136). </w:t>
      </w:r>
    </w:p>
    <w:p w:rsidR="00000000" w:rsidDel="00000000" w:rsidP="00000000" w:rsidRDefault="00000000" w:rsidRPr="00000000" w14:paraId="00000827">
      <w:pPr>
        <w:spacing w:after="0" w:line="360" w:lineRule="auto"/>
        <w:ind w:left="22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28">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ainda:</w:t>
      </w:r>
    </w:p>
    <w:p w:rsidR="00000000" w:rsidDel="00000000" w:rsidP="00000000" w:rsidRDefault="00000000" w:rsidRPr="00000000" w14:paraId="00000829">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2A">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fazer com que as medidas de reparação tenham um efeito transformador na vida das mulheres, é necessário examinar quais medidas podem transformar a estrutura de exclusão de gênero, ou seja, quais medidas facilitam, ou não, uma redução efetiva das brechas de gênero existentes; quais medidas propiciam um novo posicionamento das mulheres frente à comunidade, à família e a elas mesmas; quais medidas propiciam sua incorporação em outros espaços e/ou algum nível de autonomia econômica etc. (MODELO DE PROTOCOLO, 2014, §386, p. 135). </w:t>
      </w:r>
    </w:p>
    <w:p w:rsidR="00000000" w:rsidDel="00000000" w:rsidP="00000000" w:rsidRDefault="00000000" w:rsidRPr="00000000" w14:paraId="0000082B">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Brasil, a própria Lei Maria da Penha, em sede de reparação, fomenta uma cultura de representação da vítima em juízo, sendo fundamental que os agentes do Sistema de Justiça postulem a reparação de danos materiais e imateriais em favor da vítima de forma integral, acostando aos autos os elementos probatórios necessários, de modo que juiz/a, observando o contraditório e a ampla defesa, possa ao final fixar o valor de justa reparação dos danos na sentença. </w:t>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Atualmente, cabe à vítima sobrevivente ou às vítimas indiretas a decisão sobre a forma de ação a ser adotada após as devidas orientações e informações sobre cada alternativa, bem como seus possíveis resultados de modo a ser possível identificar a melhor maneira de se pleitear em juízo a reparação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 dessas discussões da esfera criminal e a reparação de danos, há casos em que o tema poderá ser melhor debatido e trazido aos autos em ação indenizatória cível própria, com o objetivo de discutir de forma mais detalhada inclusive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quantum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fixação para reparar o dano e toda a sua abrangência contra o autor do fato criminoso ou ilícito.</w:t>
      </w:r>
    </w:p>
    <w:p w:rsidR="00000000" w:rsidDel="00000000" w:rsidP="00000000" w:rsidRDefault="00000000" w:rsidRPr="00000000" w14:paraId="0000082F">
      <w:pPr>
        <w:spacing w:after="0" w:line="360" w:lineRule="auto"/>
        <w:ind w:firstLine="5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Caberá ao operador jurídico auferir, no caso concreto, como se dará tal reparação, considerando se a vítima direta era provedora do sustento da família, a existência de menores dependentes, e/ou demais parentes dependentes, respaldando-se em parâmetros existentes na doutrina e jurisprudência sobre o tempo desse pagamento e pensionamento</w:t>
      </w:r>
      <w:r w:rsidDel="00000000" w:rsidR="00000000" w:rsidRPr="00000000">
        <w:rPr>
          <w:rFonts w:ascii="Times New Roman" w:cs="Times New Roman" w:eastAsia="Times New Roman" w:hAnsi="Times New Roman"/>
          <w:color w:val="000000"/>
          <w:sz w:val="24"/>
          <w:szCs w:val="24"/>
          <w:vertAlign w:val="superscript"/>
        </w:rPr>
        <w:footnoteReference w:customMarkFollows="0" w:id="106"/>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obstante é preciso responsabilizar o Estado gerando obrigação de indenizar, na modalidade de responsabilidade subjetiva, em prol das vítimas sobreviventes ou vítimas indiretas, quando o feminicídio ocorre por “culpa do serviço” ou “falta de serviço quando este não funciona, devendo funcionar, funciona mal ou funciona atrasado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3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Iniciativas de reparação às vítimas pelo estado brasileiro como política pública</w:t>
      </w:r>
    </w:p>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tema violência de gênero e políticas públicas nos remete a diferentes possibilidades de discussão. A primeira delas é como o Estado Brasileiro e as instituições encaram e incorporam a violência baseada em gênero como um problema a ser tratado e a ser enfrentado no âmbito do Estado. O Sistema Interamericano estendeu o alcance das reparações quando reconheceu a existência de violações sistemáticas e estruturais de direitos humanos, admitindo ao mesmo tempo a existência de grupos sociais subordinados e práticas institucionais que asseguram esta dominação. </w:t>
      </w:r>
    </w:p>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lógica, o enfrentamento à violência contra a mulher é um dos temas mais desafiadores para o desenvolvimento de políticas públicas. Os diversos mecanismos existentes na proteção à mulher procuraram tratar o problema de forma integral. Além de aumentar a pena para os agressores, estabeleceu instrumentos de proteção e acolhimento de emergência às vítimas e previu mecanismos para oferecer assistência social à mulher agredida, por exemplo. </w:t>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Conforme explicitado no documento em referência: </w:t>
      </w:r>
    </w:p>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8">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fazer com que as medidas de reparação tenham um efeito transformador na vida das mulheres, é necessário examinar quais medidas podem transformar a estrutura de exclusão de gênero, ou seja, quais medidas facilitam, ou não, uma redução efetiva das brechas de gênero existentes; quais medidas propiciam um novo posicionamento das mulheres frente à comunidade, à família e a elas mesmas; quais medidas propiciam sua incorporação em outros espaços e/ou algum nível de autonomia econômica etc. (MODELO DE PROTOCOLO, 2014, §386, p. 135).</w:t>
      </w:r>
    </w:p>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3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Ainda assim, um aspecto criticado por especialistas em gênero é a ausência de políticas efetivas reparatórias efetivas ofertadas pelo próprio Estado brasileiro que falhou na proteção dessas mulheres voltadas às famílias.</w:t>
      </w:r>
    </w:p>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caso de vítimas sobreviventes temos exemplo de política pública a portaria que regulamenta a Lei nº 13.239/2015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dispõe sobre a oferta e a realização, no âmbito do Sistema Único de Saúde – SUS, de cirurgia plástica reparadora de sequelas de lesões causadas por atos de violência contra a mulher. </w:t>
      </w:r>
    </w:p>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conseguir acesso ao procedimento, a vítima precisa ter em mãos um registro oficial de ocorrência da agressão — que corresponde a qualquer tipo de documento emitido pelo governo ou por uma autoridade administrativa reconhecida. </w:t>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Uma iniciativa que merece atenção em casos de feminicídio consumados é o Projeto de lei nº 4325/2018, apresentada na Assembleia Legislativa do Rio de Janeiro pelo Deputado Carlos Minc, que cria o Programa de reparação econômica para as crianças, adolescentes e jovens, filhos e filhas de mulheres vítimas de crimes de violência contra a mulher, feminicídio ou invalidez. </w:t>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própria justificativa do projeto de lei reconhece que o feminicídio além de vitimar a mulher assassinada, vitimiza seus filhos por torná-los testemunhas impotentes, diretas ou indiretas, da violência cometida no ambiente familiar, causa de graves traumas físicos, psíquicos ou sexuais, que marcarão a vida desta criança ou jovem, podendo destruir as possibilidades de uma vida afetiva minimamente satisfatória. O Projeto ainda indaga: “Como sobreviver ao assassinato da mãe pelo pai?” Por esse motivo ressalta a importância de o Estado do Rio de Janeiro oferte, pelo menos, condições de acolher as necessidades básicas destas crianças como política pública de reparação. </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no dia 03 de outubro de 2023, o Senador Federal aprovou o Projeto de Lei 976/22, de autoria da deputada federal Maria do rosário (PT-RS), que cria um benefício especial destinado à crianças e adolescentes filhos de vítimas de feminicídio. O projeto, que garante apoio e amparo através da concessão de um salário mínimo aos filhos e dependentes das vítimas cuja renda familiar mensal per capita seja igual ou inferior a 25% (vinte e cinco por cento) do salário mínimo a ser pago até que os beneficiários completem os 18 anos de 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Política pública já existente de forma temporária é o Cartão Mulher Carioca – Órfãos do Feminicídio concedido pela Prefeitura da Cidade do Rio de Janeiro. O benefício, uma extensão do Cartão Mulher Carioca às mulheres vítimas diretas da violência doméstica, a modalidade “Órfãos do Feminicídio” prevê a garantia temporária de recursos às crianças e adolescentes até 18 anos que ficaram órfãs em decorrência da ausência das mães, vítimas de feminicídio. É disponibilizado um cartão com o valor de R$ 500,00 (quinhentos reais) para cada um dos filhos da vítima durante 12 (doze) meses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reparação às vítimas pelo Estado significa vencer a falta de vontade, o desinteresse e a cumplicidade que fazem com que esses crimes fiquem impunes e sem repressão da justiça e da sociedade. Dessa forma, o reconhecimento institucional e social do feminicídio, o fim da impunidade e a visibilidade pública dos assassinatos violentos de mulheres por razões de gênero são caminhos que não podemos mais deixar de percorrer. E, nesse contexto, é crucial que seja feita reparação às vítimas e seja fortalecida a mensagem de que essas condutas não são toleradas pela sociedade, a fim de prevenir o avanço do feminicídio no Brasil.</w:t>
      </w:r>
    </w:p>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3">
      <w:pPr>
        <w:pStyle w:val="Heading1"/>
        <w:spacing w:line="360" w:lineRule="auto"/>
        <w:ind w:firstLine="102"/>
        <w:rPr>
          <w:b w:val="0"/>
          <w:i w:val="1"/>
        </w:rPr>
      </w:pPr>
      <w:r w:rsidDel="00000000" w:rsidR="00000000" w:rsidRPr="00000000">
        <w:rPr>
          <w:b w:val="0"/>
          <w:i w:val="1"/>
          <w:rtl w:val="0"/>
        </w:rPr>
        <w:t xml:space="preserve">Considerações finais</w:t>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Nenhuma lei penal, por si só, é capaz de alterar uma cultura milenar de desigualdade e discriminação contra as mulheres, causa estruturante das diversas formas de violência que nos atingem cotidianamente. Muito antes - e para além da violência - a luta é pela desconstrução de formas estruturantes de desigualdade na sociedade, principalmente aquelas baseadas em gênero e raça. </w:t>
      </w:r>
    </w:p>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visto, apesar de amplos debates sobre os Direitos das Mulheres nas últimas décadas é impressionante a dificuldade de se adotar as medidas contidas nas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Diretrizes Nacionais do Feminicídio para investigar, processar e julgar com perspectiva de gênero as mortes violentas de mulheres posto que Estados e Municípios não estão suficientemente aparelhados para atender esses casos seja por inércia dos entes políticos seja por falta de construção de políticas públicas principalmente em locais mais distantes.</w:t>
      </w:r>
    </w:p>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dever do Estado garantir os direitos à informação, assistência, proteção e reparação às vítimas. São direitos que podem ser cobrados pela população e, portanto, devem ser divulgados pela imprensa e efetivados pelo sistema de justiça. Como amplamente discutido nestas linhas a recomendação para buscar reparação deve ser feita durante o próprio processo criminal até mesmo por uma questão de sobrevivência dessas vítimas o que não elimina a possibilidade de complementar o valor, se não for satisfatório, na esfera cível. </w:t>
      </w:r>
    </w:p>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fim, enquanto não houver uma educação efetiva em gênero nas escolas, nas comunidades, nos equipamentos de saúde e de justiça além de igualdade de oportunidades entre homens e mulheres que suplantem a violência de gênero na sociedade, é importante considerar que a punição de quem cometeu esses crimes bárbaros é fundamental garantindo à vítima e seus familiares o acesso à justiça, à memória e à verdade além de ser uma resposta de que o feminicídio não é tolerado pelo Estado. </w:t>
      </w:r>
    </w:p>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Isso implica fazer justiça às sobreviventes e às vítimas fatais do feminicídio.  Significa perceber a crueldade com que as suas vidas foram atingidas e as sequelas físicas e sociais dessa violência, isto é, na vida das mulheres, das pessoas que convivem com elas e para a sociedade brasileira como um todo.</w:t>
      </w:r>
    </w:p>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B">
      <w:pPr>
        <w:pStyle w:val="Heading1"/>
        <w:spacing w:line="360" w:lineRule="auto"/>
        <w:ind w:left="0" w:firstLine="0"/>
        <w:rPr>
          <w:b w:val="0"/>
          <w:i w:val="1"/>
        </w:rPr>
      </w:pPr>
      <w:r w:rsidDel="00000000" w:rsidR="00000000" w:rsidRPr="00000000">
        <w:rPr>
          <w:b w:val="0"/>
          <w:i w:val="1"/>
          <w:rtl w:val="0"/>
        </w:rPr>
        <w:t xml:space="preserve">Referências bibliográficas</w:t>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ARAUJO, Daniela Galvão. SILVA, Patricia Fernandes Carneiro. Artigo: Tribunal do Júri: Organização. Publicação em 08/2017. Definição disponível em &lt;</w:t>
      </w:r>
      <w:hyperlink r:id="rId14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https://jus.com.br/artigos/59672/tribunal-do-juri-organizacao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Acesso em 05 out 2023.</w:t>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BRASIL. Decreto-Lei nº 3.689 de 03 de outubro de 1941. Código de Processo Penal. </w:t>
      </w:r>
      <w:r w:rsidDel="00000000" w:rsidR="00000000" w:rsidRPr="00000000">
        <w:rPr>
          <w:rFonts w:ascii="Times New Roman" w:cs="Times New Roman" w:eastAsia="Times New Roman" w:hAnsi="Times New Roman"/>
          <w:sz w:val="24"/>
          <w:szCs w:val="24"/>
          <w:highlight w:val="white"/>
          <w:rtl w:val="0"/>
        </w:rPr>
        <w:t xml:space="preserve">Disponível em: &lt;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85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1">
      <w:pPr>
        <w:spacing w:after="0" w:line="240" w:lineRule="auto"/>
        <w:jc w:val="both"/>
        <w:rPr>
          <w:rFonts w:ascii="Times New Roman" w:cs="Times New Roman" w:eastAsia="Times New Roman" w:hAnsi="Times New Roman"/>
          <w:sz w:val="24"/>
          <w:szCs w:val="24"/>
          <w:highlight w:val="white"/>
        </w:rPr>
      </w:pPr>
      <w:hyperlink r:id="rId144">
        <w:r w:rsidDel="00000000" w:rsidR="00000000" w:rsidRPr="00000000">
          <w:rPr>
            <w:rFonts w:ascii="Times New Roman" w:cs="Times New Roman" w:eastAsia="Times New Roman" w:hAnsi="Times New Roman"/>
            <w:color w:val="000000"/>
            <w:sz w:val="24"/>
            <w:szCs w:val="24"/>
            <w:highlight w:val="white"/>
            <w:u w:val="single"/>
            <w:rtl w:val="0"/>
          </w:rPr>
          <w:t xml:space="preserve">www.planalto.gov.br/ccivil_03/decreto-lei/del3689compilado.htm&gt; Acesso em </w:t>
        </w:r>
      </w:hyperlink>
      <w:hyperlink r:id="rId145">
        <w:r w:rsidDel="00000000" w:rsidR="00000000" w:rsidRPr="00000000">
          <w:rPr>
            <w:rFonts w:ascii="Times New Roman" w:cs="Times New Roman" w:eastAsia="Times New Roman" w:hAnsi="Times New Roman"/>
            <w:sz w:val="24"/>
            <w:szCs w:val="24"/>
            <w:rtl w:val="0"/>
          </w:rPr>
          <w:t xml:space="preserve">05 out 2023</w:t>
        </w:r>
      </w:hyperlink>
      <w:hyperlink r:id="rId146">
        <w:r w:rsidDel="00000000" w:rsidR="00000000" w:rsidRPr="00000000">
          <w:rPr>
            <w:rFonts w:ascii="Times New Roman" w:cs="Times New Roman" w:eastAsia="Times New Roman" w:hAnsi="Times New Roman"/>
            <w:color w:val="000000"/>
            <w:sz w:val="24"/>
            <w:szCs w:val="24"/>
            <w:highlight w:val="white"/>
            <w:u w:val="single"/>
            <w:rtl w:val="0"/>
          </w:rPr>
          <w:t xml:space="preserve">. </w:t>
        </w:r>
      </w:hyperlink>
      <w:r w:rsidDel="00000000" w:rsidR="00000000" w:rsidRPr="00000000">
        <w:rPr>
          <w:rtl w:val="0"/>
        </w:rPr>
      </w:r>
    </w:p>
    <w:p w:rsidR="00000000" w:rsidDel="00000000" w:rsidP="00000000" w:rsidRDefault="00000000" w:rsidRPr="00000000" w14:paraId="00000852">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Federal Nº 13.239, de 30 de dezembro de 2015. Disponível em: &lt; </w:t>
      </w:r>
      <w:hyperlink r:id="rId14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http://www.planalto.gov.br/ccivil_03/_ato2015-2018/2015/lei/L13239.htm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Acesso em: 05 out 2023.</w:t>
      </w:r>
    </w:p>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COMISSÃO INTERAMERICANA DE DIREITOS HUMANOS. Relatório Anual 2000. Relatório nº 54/01. Maria da Penha Maia Fernandes – 04 de abril de 2001. Disponível em &lt; </w:t>
      </w:r>
      <w:hyperlink r:id="rId14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https://www.cidh.oas.org/annualrep/2000port/12051.htm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Acesso em 05 out 2023. </w:t>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GOMES, Izabel Solyszko.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“Feminicídios e possíveis respostas penais: dialogando com o feminismo e o direito penal”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Revista Gênero e Direito. João Pessoa, v. 4, n. 1, p. 188-218, 2015.</w:t>
      </w:r>
    </w:p>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LAGARDE, Marcela.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“Del femicidio al feminicidio”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Revista Desde el jardin de Freud, v. 6, p. 216-225. Universidad Nacional de Colombia: Bogotá, 2006.</w:t>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OACNUDH. América Central do Alto Comissariado das Nações Unidas para os Direitos Humano. Modelo de Protocolo Latino-Americano de Investigação das Mortes Violentas de Mulheres por Razões de Gênero (Femicídio/Feminicídio). Tradução para o português Lucas Cureau. Brasília: ONU Mulheres, 2014. Disponível em: &lt;http://www.onumulheres.org.br/wpcontent/uploads/2015/05/protocolo_feminicidio_publicacao.pdf&gt;. Acesso em 05 out 2023. </w:t>
      </w:r>
    </w:p>
    <w:p w:rsidR="00000000" w:rsidDel="00000000" w:rsidP="00000000" w:rsidRDefault="00000000" w:rsidRPr="00000000" w14:paraId="000008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OLIVEIRA, Natália. Rio cria auxílio financeiro para órfãos de vítimas do feminicídio. Disponível &lt;h</w:t>
      </w:r>
      <w:hyperlink r:id="rId149">
        <w:r w:rsidDel="00000000" w:rsidR="00000000" w:rsidRPr="00000000">
          <w:rPr>
            <w:rFonts w:ascii="Times New Roman" w:cs="Times New Roman" w:eastAsia="Times New Roman" w:hAnsi="Times New Roman"/>
            <w:color w:val="000000"/>
            <w:sz w:val="24"/>
            <w:szCs w:val="24"/>
            <w:highlight w:val="white"/>
            <w:u w:val="single"/>
            <w:rtl w:val="0"/>
          </w:rPr>
          <w:t xml:space="preserve">ttps://oglobo.globo.com/rio/noticia/2022/08/rio-cria-auxilio-financeiro-para-orfaos-de-vitimas-do-feminicidio.ghtml</w:t>
        </w:r>
      </w:hyperlink>
      <w:r w:rsidDel="00000000" w:rsidR="00000000" w:rsidRPr="00000000">
        <w:rPr>
          <w:rFonts w:ascii="Times New Roman" w:cs="Times New Roman" w:eastAsia="Times New Roman" w:hAnsi="Times New Roman"/>
          <w:sz w:val="24"/>
          <w:szCs w:val="24"/>
          <w:highlight w:val="white"/>
          <w:rtl w:val="0"/>
        </w:rPr>
        <w:t xml:space="preserve"> Acesso em 05 out 2023.</w:t>
      </w:r>
    </w:p>
    <w:p w:rsidR="00000000" w:rsidDel="00000000" w:rsidP="00000000" w:rsidRDefault="00000000" w:rsidRPr="00000000" w14:paraId="0000085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PASINATO, Wania.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“Femicidios’ e a morte de mulheres no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Cadernos Pagu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Campinas, n. 37. p. 219-246, jul.-dez. 2011.</w:t>
      </w:r>
    </w:p>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RADFORD, Jill. “Introducción”. In: RUSSEL, Diana; RADFORD, Jill (Orgs).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Feminicídio, La política del asesinato de las mujeres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CEIICH/UNAM: Cidade do México, 2006.</w:t>
      </w:r>
    </w:p>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RORIZ, Regina Célia Lopes Lustosa.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Mulher, Direito Penal e Justiça Restaurativa: da proteção simbólica à possibilidade de restauração.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2010. 206 f. Tese (Mestrado em Direito) – Faculdade de Direito do Recife, Universidade Federal de Pernambuco, Recife. 2010.  </w:t>
      </w:r>
    </w:p>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ROUSSEFF, Dilma; GOMES; Nina Lino; MENICUCCI, Eleonora. </w:t>
      </w:r>
      <w:r w:rsidDel="00000000" w:rsidR="00000000" w:rsidRPr="00000000">
        <w:rPr>
          <w:rFonts w:ascii="Times New Roman" w:cs="Times New Roman" w:eastAsia="Times New Roman" w:hAnsi="Times New Roman"/>
          <w:b w:val="1"/>
          <w:sz w:val="24"/>
          <w:szCs w:val="24"/>
          <w:rtl w:val="0"/>
        </w:rPr>
        <w:t xml:space="preserve">Diretrizes Nacionais  Feminicídio – Investigar, Processar e Julgar com perspectivas de gênero as mortes violentas de mulheres.</w:t>
      </w:r>
      <w:r w:rsidDel="00000000" w:rsidR="00000000" w:rsidRPr="00000000">
        <w:rPr>
          <w:rFonts w:ascii="Times New Roman" w:cs="Times New Roman" w:eastAsia="Times New Roman" w:hAnsi="Times New Roman"/>
          <w:sz w:val="24"/>
          <w:szCs w:val="24"/>
          <w:rtl w:val="0"/>
        </w:rPr>
        <w:t xml:space="preserve"> Disponível em &lt; </w:t>
      </w:r>
      <w:hyperlink r:id="rId150">
        <w:r w:rsidDel="00000000" w:rsidR="00000000" w:rsidRPr="00000000">
          <w:rPr>
            <w:rFonts w:ascii="Times New Roman" w:cs="Times New Roman" w:eastAsia="Times New Roman" w:hAnsi="Times New Roman"/>
            <w:color w:val="000000"/>
            <w:sz w:val="24"/>
            <w:szCs w:val="24"/>
            <w:u w:val="single"/>
            <w:rtl w:val="0"/>
          </w:rPr>
          <w:t xml:space="preserve">http://www.onumulheres.org.br/wp-content/uploads/2016/04/diretrizes_feminicidio.pdf</w:t>
        </w:r>
      </w:hyperlink>
      <w:r w:rsidDel="00000000" w:rsidR="00000000" w:rsidRPr="00000000">
        <w:rPr>
          <w:rFonts w:ascii="Times New Roman" w:cs="Times New Roman" w:eastAsia="Times New Roman" w:hAnsi="Times New Roman"/>
          <w:sz w:val="24"/>
          <w:szCs w:val="24"/>
          <w:rtl w:val="0"/>
        </w:rPr>
        <w:t xml:space="preserve">&gt;. Acesso em 05 out 2023. </w:t>
      </w:r>
    </w:p>
    <w:p w:rsidR="00000000" w:rsidDel="00000000" w:rsidP="00000000" w:rsidRDefault="00000000" w:rsidRPr="00000000" w14:paraId="000008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RADFORD, Jill; RUSSEL, Diana (Orgs.). Femicide: the politics of woman killing. New York: Twayne Publishers, 1992.</w:t>
      </w:r>
    </w:p>
    <w:p w:rsidR="00000000" w:rsidDel="00000000" w:rsidP="00000000" w:rsidRDefault="00000000" w:rsidRPr="00000000" w14:paraId="000008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SAFFIOTI, Helleieth.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Gênero, patriarcado e violência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Fundação Perseu Abramo, 2004.</w:t>
      </w:r>
    </w:p>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SEGATO, Rita Laura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“¿Que és un feminicídio? Notas para un debate emergente”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Série Antropologia. Brasília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2006. Disponível em: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&lt; </w:t>
      </w:r>
      <w:hyperlink r:id="rId15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https://www.nodo50.org/codoacodo/enero2010/segato.pdf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Acesso em 05 out 2023. </w:t>
      </w:r>
    </w:p>
    <w:p w:rsidR="00000000" w:rsidDel="00000000" w:rsidP="00000000" w:rsidRDefault="00000000" w:rsidRPr="00000000" w14:paraId="0000086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9">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VIOLÊNCIA POLÍTICA DE GÊNERO E RAÇA E A DIVISÃO SEXUAL E RACIAL DO TRABALHO COMO OBSTÁCULOS PARA O COMBATE À SUB-REPRESENTAÇÃO POLÍTICA DE MULHERES: DESAFIOS PARA O FORTALECIMENTO DA DEMOCRACIA</w:t>
      </w:r>
    </w:p>
    <w:p w:rsidR="00000000" w:rsidDel="00000000" w:rsidP="00000000" w:rsidRDefault="00000000" w:rsidRPr="00000000" w14:paraId="0000088A">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 Astrolabio dos Santos</w:t>
      </w:r>
      <w:r w:rsidDel="00000000" w:rsidR="00000000" w:rsidRPr="00000000">
        <w:rPr>
          <w:rFonts w:ascii="Times New Roman" w:cs="Times New Roman" w:eastAsia="Times New Roman" w:hAnsi="Times New Roman"/>
          <w:sz w:val="24"/>
          <w:szCs w:val="24"/>
          <w:vertAlign w:val="superscript"/>
        </w:rPr>
        <w:footnoteReference w:customMarkFollows="0" w:id="111"/>
      </w:r>
      <w:r w:rsidDel="00000000" w:rsidR="00000000" w:rsidRPr="00000000">
        <w:rPr>
          <w:rtl w:val="0"/>
        </w:rPr>
      </w:r>
    </w:p>
    <w:p w:rsidR="00000000" w:rsidDel="00000000" w:rsidP="00000000" w:rsidRDefault="00000000" w:rsidRPr="00000000" w14:paraId="0000088B">
      <w:pPr>
        <w:spacing w:after="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Introdução</w:t>
      </w:r>
    </w:p>
    <w:p w:rsidR="00000000" w:rsidDel="00000000" w:rsidP="00000000" w:rsidRDefault="00000000" w:rsidRPr="00000000" w14:paraId="0000088C">
      <w:pP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8D">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O presente ensaio tem como objetos os desafios para o combate à sub-representação política de mulheres e alguns fatores desencadeadores dessa sub-representação que, consequentemente, nos lança num cenário de déficit democrático.</w:t>
      </w:r>
    </w:p>
    <w:p w:rsidR="00000000" w:rsidDel="00000000" w:rsidP="00000000" w:rsidRDefault="00000000" w:rsidRPr="00000000" w14:paraId="0000088E">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esse motivo, a divisão sexual e racial do trabalho é abordada logo no início, seguida pela abordagem sobre a violência política de gênero e raça. </w:t>
      </w:r>
    </w:p>
    <w:p w:rsidR="00000000" w:rsidDel="00000000" w:rsidP="00000000" w:rsidRDefault="00000000" w:rsidRPr="00000000" w14:paraId="0000088F">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São apresentados dados qualitativos e quantitativos que subsidiam a hipótese apresentada sobre déficit democrático e que dialoga com a sub-representação política de mulheres, com a divisão sexual e racial do trabalho e com a violência política de gênero e raça.</w:t>
      </w:r>
    </w:p>
    <w:p w:rsidR="00000000" w:rsidDel="00000000" w:rsidP="00000000" w:rsidRDefault="00000000" w:rsidRPr="00000000" w14:paraId="00000890">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hipótese d</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color w:val="000000"/>
          <w:sz w:val="24"/>
          <w:szCs w:val="24"/>
          <w:rtl w:val="0"/>
        </w:rPr>
        <w:t xml:space="preserve"> sistema político eleitoral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partidário brasileiro ser racista, machista e classista é apresentada juntamente com um breve histórico de empreitadas bem-sucedidas por anistias aos partidos que descumprem as regras do jogo eleitoral que preveem ações afirmativas para a inclusão de mulheres e negros no campo político eleitoral-partidário. </w:t>
      </w:r>
    </w:p>
    <w:p w:rsidR="00000000" w:rsidDel="00000000" w:rsidP="00000000" w:rsidRDefault="00000000" w:rsidRPr="00000000" w14:paraId="00000891">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sub-financiamento de campanha de mulheres é colocado em cena como violência política de gênero e raça, motivo pelo qual trabalhamos com a hipótese de que uns dos principais violadores dos direitos políticos das mulheres são os homens dos partidos que essas mulheres escolhem para se dedicarem na luta por pautas urgentes sobre direitos das mulheres.</w:t>
      </w:r>
    </w:p>
    <w:p w:rsidR="00000000" w:rsidDel="00000000" w:rsidP="00000000" w:rsidRDefault="00000000" w:rsidRPr="00000000" w14:paraId="00000892">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A abordagem exposta no presente ensaio se justifica pela urgência do debate a respeito da violência política de gênero e raça que é alimentada pela divisão sexual e racial do trabalho, onde ambos os fenômenos são hipóteses de obstáculos para o combate à sub-representação de gênero e raça que nos impede de construir uma democracia forte. </w:t>
      </w:r>
    </w:p>
    <w:p w:rsidR="00000000" w:rsidDel="00000000" w:rsidP="00000000" w:rsidRDefault="00000000" w:rsidRPr="00000000" w14:paraId="0000089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6">
      <w:pP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sub-representação política de mulheres em diálogo com a divisão sexual e racial do trabalho</w:t>
      </w:r>
    </w:p>
    <w:p w:rsidR="00000000" w:rsidDel="00000000" w:rsidP="00000000" w:rsidRDefault="00000000" w:rsidRPr="00000000" w14:paraId="0000089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sub-representação de mulheres na política eleitoral-partidária é um fenômeno que deve ser considerado como um enfraquecedor da democracia, haja vista que colabora para desigualdades sociais provenientes das desigualdades no campo político, sobretudo quando falamos da sub-representação política de mulheres negras, que mesmo sendo o maior grupo demográfico brasileiro (28% da população</w:t>
      </w:r>
      <w:r w:rsidDel="00000000" w:rsidR="00000000" w:rsidRPr="00000000">
        <w:rPr>
          <w:rFonts w:ascii="Times New Roman" w:cs="Times New Roman" w:eastAsia="Times New Roman" w:hAnsi="Times New Roman"/>
          <w:sz w:val="24"/>
          <w:szCs w:val="24"/>
          <w:vertAlign w:val="superscript"/>
        </w:rPr>
        <w:footnoteReference w:customMarkFollows="0" w:id="112"/>
      </w:r>
      <w:r w:rsidDel="00000000" w:rsidR="00000000" w:rsidRPr="00000000">
        <w:rPr>
          <w:rFonts w:ascii="Times New Roman" w:cs="Times New Roman" w:eastAsia="Times New Roman" w:hAnsi="Times New Roman"/>
          <w:sz w:val="24"/>
          <w:szCs w:val="24"/>
          <w:rtl w:val="0"/>
        </w:rPr>
        <w:t xml:space="preserve">), é o grupo mais sub-representado na política e figura na base da pirâmide social. </w:t>
      </w:r>
    </w:p>
    <w:p w:rsidR="00000000" w:rsidDel="00000000" w:rsidP="00000000" w:rsidRDefault="00000000" w:rsidRPr="00000000" w14:paraId="0000089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sub-representação ocorre por diversos motivos, passando pela divisão sexual e racial do trabalho e pela violência política de gênero e raça, sendo esse último um fenômeno crescente quanto mais mulheres lançam seus corpos em praça pública para disputar um campo tão dominado por homens cis héteros brancos e ricos, que é o campo político eleitoral-partidário.</w:t>
      </w:r>
    </w:p>
    <w:p w:rsidR="00000000" w:rsidDel="00000000" w:rsidP="00000000" w:rsidRDefault="00000000" w:rsidRPr="00000000" w14:paraId="0000089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divisão sexual do trabalho diz respeito à forma como a sociedade patriarcal convencionou chamar de “trabalho de homem e trabalho de mulher”, como uma das suas formas de dominação. As mulheres negras são atingidas pela divisão sexual e racial do trabalho, tendo em vista que o racismo lança essas mulheres para além do “trabalho para mulher”, mas também para o “trabalho para negros”, sobretudo no Brasil que tem um histórico escravocrata e no pós-abolição lançou pessoas negras à margem da sociedade, lhes oferecendo os trabalhos mais desumanizantes e subalternizados. </w:t>
      </w:r>
    </w:p>
    <w:p w:rsidR="00000000" w:rsidDel="00000000" w:rsidP="00000000" w:rsidRDefault="00000000" w:rsidRPr="00000000" w14:paraId="0000089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âmbito da literatura latino-americana que trata do tema, Biroli, que é brasileira, expõe o seguinte:</w:t>
      </w:r>
    </w:p>
    <w:p w:rsidR="00000000" w:rsidDel="00000000" w:rsidP="00000000" w:rsidRDefault="00000000" w:rsidRPr="00000000" w14:paraId="0000089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D">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Falar de divisão sexual do trabalho é tocar no que vem sendo definido, historicamente, como trabalho de mulher, competência de mulher, lugar de mulher. E, claro, nas consequências dessas classificações. As hierarquias de gênero, classe e raça não são explicáveis sem que se leve em conta essa divisão, que produz, ao mesmo tempo, identidades, vantagens e desvantagens (Biroli, 2018, p. 21).</w:t>
      </w:r>
    </w:p>
    <w:p w:rsidR="00000000" w:rsidDel="00000000" w:rsidP="00000000" w:rsidRDefault="00000000" w:rsidRPr="00000000" w14:paraId="0000089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mais</w:t>
      </w:r>
    </w:p>
    <w:p w:rsidR="00000000" w:rsidDel="00000000" w:rsidP="00000000" w:rsidRDefault="00000000" w:rsidRPr="00000000" w14:paraId="0000089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0">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Trata-se de questão sensível, ainda, porque confere a todas as mulheres uma posição semelhante (a elas são atribuídas tarefas de que os homens são liberados) e porque as distingue dos outros atores (elas são diferentemente marcadas e oneradas pela divisão de tarefas e responsabilidades segundo os recursos que detêm para driblar o tempo e a energia que tais tarefas requerem) (Biroli, 2018, p. 21)</w:t>
      </w:r>
    </w:p>
    <w:p w:rsidR="00000000" w:rsidDel="00000000" w:rsidP="00000000" w:rsidRDefault="00000000" w:rsidRPr="00000000" w14:paraId="000008A1">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nessa segunda parte da citação de Biroli que podemos visualizar como as diferenças sociais e raciais entre mulheres brancas e ricas e mulheres negras e pobres também influenciam nas oportunidades no campo político eleitoral-partidário. Quem cuida da casa, das crianças e dos pais, por exemplo, quando mulheres estão em campanha eleitoral? E de que mulheres estamos falando? A divisão sexual do trabalho precisa sempre considerar raça e classe, porque conforme nos ensina Sueli Carneiro “Pobreza tem cor no Brasil” (Carneiro, 2011). </w:t>
      </w:r>
    </w:p>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diferenciação social e racial entre mulheres, incide no campo político eleitoral-partidário, e isso está colocado em dados quando olhamos para Câmara dos Deputados nas eleições de 2018, por exemplo, momento em que foram eleitas 77 mulheres, sendo apenas 13 mulheres autodeclaradas negras, 63 mulheres autodeclaradas brancas e 1 indígena.</w:t>
      </w:r>
    </w:p>
    <w:p w:rsidR="00000000" w:rsidDel="00000000" w:rsidP="00000000" w:rsidRDefault="00000000" w:rsidRPr="00000000" w14:paraId="000008A4">
      <w:pPr>
        <w:pStyle w:val="Heading2"/>
        <w:pBdr>
          <w:bottom w:color="eeeeee" w:space="7" w:sz="6" w:val="single"/>
        </w:pBdr>
        <w:spacing w:before="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Nesse sentido, vejamos o que nos apresenta a pesquisa “Democracia e representação nas eleições de 2018: campanhas eleitorais, financiamento e diversidade de gênero: relatório final (2018-2019)”</w:t>
      </w:r>
      <w:r w:rsidDel="00000000" w:rsidR="00000000" w:rsidRPr="00000000">
        <w:rPr>
          <w:rFonts w:ascii="Times New Roman" w:cs="Times New Roman" w:eastAsia="Times New Roman" w:hAnsi="Times New Roman"/>
          <w:color w:val="000000"/>
          <w:sz w:val="24"/>
          <w:szCs w:val="24"/>
          <w:vertAlign w:val="superscript"/>
        </w:rPr>
        <w:footnoteReference w:customMarkFollows="0" w:id="113"/>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8A5">
      <w:pPr>
        <w:rPr/>
      </w:pPr>
      <w:r w:rsidDel="00000000" w:rsidR="00000000" w:rsidRPr="00000000">
        <w:rPr>
          <w:rtl w:val="0"/>
        </w:rPr>
      </w:r>
    </w:p>
    <w:p w:rsidR="00000000" w:rsidDel="00000000" w:rsidP="00000000" w:rsidRDefault="00000000" w:rsidRPr="00000000" w14:paraId="000008A6">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que diz respeito à presença de mulheres no Parlamento, cumpre observar que ela vem aumentando nas últimas décadas, especialmente após o processo de redemocratização. Em 1982 havia apenas 5 deputadas federais de um total de 479 cadeiras (1% dos assentos), passando para 45 deputadas em 513 cadeiras (8,8%) em 2010 e chegando ao recorde histórico de 51 deputadas em 2014, o equivalente a 9,9% de assentos feminino na Câmara. Em 2018, foi atingido o ápice da representação de mulheres na política, com a eleição de 77 deputadas federais eleitas, totalizando 15% de cadeiras na Câmara. O recorte de raça, porém, mostra que há ainda uma desigualdade que não diz respeito apenas ao gênero. Na atual legislatura, as mulheres negras representam apenas 2,5% (13 eleitas) do total de eleitos, enquanto as mulheres brancas são 12,28% (63 eleitas), os homens negros 22,02% (113 eleitos) e os homens brancos 62,57% (321 eleitos) (FGV, 2019, p. 22).</w:t>
      </w:r>
    </w:p>
    <w:p w:rsidR="00000000" w:rsidDel="00000000" w:rsidP="00000000" w:rsidRDefault="00000000" w:rsidRPr="00000000" w14:paraId="000008A7">
      <w:pP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A8">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É de extrema relevância que em toda leitura de dados sobre representação política de mulheres seja levado em consideração que mulheres negras representam o maior grupo demográfico brasileiro, como já mencionado anteriormente.</w:t>
      </w:r>
    </w:p>
    <w:p w:rsidR="00000000" w:rsidDel="00000000" w:rsidP="00000000" w:rsidRDefault="00000000" w:rsidRPr="00000000" w14:paraId="000008A9">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Desse modo, é possível trabalharmos com a hipótese de que no campo político eleitoral-partidário, mesmo com o atravessamento da divisão sexual do trabalho, as mulheres brancas estão em vantagem com relação a mulheres negras por causa do privilégio branco, que por sua vez sinaliza para o que já foi citado anteriormente sobre pobreza ter cor no Brasil.</w:t>
      </w:r>
    </w:p>
    <w:p w:rsidR="00000000" w:rsidDel="00000000" w:rsidP="00000000" w:rsidRDefault="00000000" w:rsidRPr="00000000" w14:paraId="000008AA">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Essa abordagem sinalizando as diferenças raciais que atravessam a vida de mulheres negras e brancas, não serve para invisibilizar, no entanto, o fato de que a política ainda é dominada por homens, porque, pelo que nos apresenta os dados da pesquisa supramencionada, nas eleições de 2018 foram 321 homens brancos eleitos, 113 homens negros eleitos, 63 mulheres brancas eleitas e 13 mulheres negras eleitas.</w:t>
      </w:r>
    </w:p>
    <w:p w:rsidR="00000000" w:rsidDel="00000000" w:rsidP="00000000" w:rsidRDefault="00000000" w:rsidRPr="00000000" w14:paraId="000008AB">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Portanto, em que pese na pirâmide social brasileira as mulheres brancas estejam acima dos homens negros, no cenário político eleitoral-partidário, especificamente o da Câmara dos Deputados em 2018, homens negros estão acima das mulheres negras e brancas. Trabalhamos com a hipótese de que o dado nos informa a respeito da divisão sexual trabalho e sobre como ela interfere no campo político eleitoral-partidário de maneira bastante cirúrgica, mesmo quando a questão racial está também em jogo. </w:t>
      </w:r>
    </w:p>
    <w:p w:rsidR="00000000" w:rsidDel="00000000" w:rsidP="00000000" w:rsidRDefault="00000000" w:rsidRPr="00000000" w14:paraId="000008A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D">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sub-representação política de mulheres em diálogo com a violência política de gênero e raça e a consequente violação dos direitos políticos das mulheres, que são direitos humanos: o sub-financiamento de campanhas de mulheres e negros</w:t>
      </w:r>
    </w:p>
    <w:p w:rsidR="00000000" w:rsidDel="00000000" w:rsidP="00000000" w:rsidRDefault="00000000" w:rsidRPr="00000000" w14:paraId="000008A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trabalhamos com a hipótese de que a violência política de gênero e raça é alimentada pela divisão sexual e racial do trabalho, e um dos obstáculos para que mulheres, sobretudo negras, possam exercer em segurança seus direitos políticos. Entre esses direitos se inclui o de tentar se eleger através de campanhas eleitorais. </w:t>
      </w:r>
    </w:p>
    <w:p w:rsidR="00000000" w:rsidDel="00000000" w:rsidP="00000000" w:rsidRDefault="00000000" w:rsidRPr="00000000" w14:paraId="000008B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direitos políticos das mulheres são direitos humanos, portanto, a violência política de gênero e raça é violadora de direitos humanos. Tal violência tem sido usada como ferramenta pelo sistema político eleitoral-partidário machista, racista e classista  para manter mulheres, sobretudo as negras, longe da disputa ,ou para retirar, por todos os meios necessários, as que já estão ocupando esses espaços políticos. </w:t>
      </w:r>
    </w:p>
    <w:p w:rsidR="00000000" w:rsidDel="00000000" w:rsidP="00000000" w:rsidRDefault="00000000" w:rsidRPr="00000000" w14:paraId="000008B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Importante ressaltar, que o sub-financiamento de campanha eleitoral, a que estão submetidas as mulheres, também é violência política de gênero, e quando essas mulheres são negras, devemos falar de violência política de gênero e raça, já que as mulheres negras são atravessadas não “apenas” pelo machismo e pela misoginia, mas também pelo racismo.</w:t>
      </w:r>
    </w:p>
    <w:p w:rsidR="00000000" w:rsidDel="00000000" w:rsidP="00000000" w:rsidRDefault="00000000" w:rsidRPr="00000000" w14:paraId="000008B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citar a pesquisa quantitativa e qualitativa “Combatendo a sub-representação de gênero e raça na política (2020-2022): o impacto do projeto A Tenda das Candidatas</w:t>
      </w:r>
      <w:r w:rsidDel="00000000" w:rsidR="00000000" w:rsidRPr="00000000">
        <w:rPr>
          <w:rFonts w:ascii="Times New Roman" w:cs="Times New Roman" w:eastAsia="Times New Roman" w:hAnsi="Times New Roman"/>
          <w:sz w:val="24"/>
          <w:szCs w:val="24"/>
          <w:vertAlign w:val="superscript"/>
        </w:rPr>
        <w:footnoteReference w:customMarkFollows="0" w:id="114"/>
      </w:r>
      <w:r w:rsidDel="00000000" w:rsidR="00000000" w:rsidRPr="00000000">
        <w:rPr>
          <w:rFonts w:ascii="Times New Roman" w:cs="Times New Roman" w:eastAsia="Times New Roman" w:hAnsi="Times New Roman"/>
          <w:sz w:val="24"/>
          <w:szCs w:val="24"/>
          <w:rtl w:val="0"/>
        </w:rPr>
        <w:t xml:space="preserve">”, que trabalhou com dados de 779 mulheres interessadas em participar das formações que capacitam defensoras dos direitos humanos para campanhas eleitorais, sendo 194 inscritas para a formação de 2020 e 585 inscritas para a formação 2021/2022. Vejamos:</w:t>
      </w:r>
    </w:p>
    <w:p w:rsidR="00000000" w:rsidDel="00000000" w:rsidP="00000000" w:rsidRDefault="00000000" w:rsidRPr="00000000" w14:paraId="000008B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4">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Mais da metade das mulheres relataram ter tido problemas com o partido: 64% delas mencionaram a falta de recursos para a realização de suas campanhas eleitorais. Entre as mulheres negras, há relatos de falta de apoio dentro dos partidos para candidaturas de pessoas negras e racismo, de modo que algumas campanhas tiveram de ser realizadas inteiramente com o apoio de pessoas que ajudaram voluntariamente. Algumas mulheres mencionam que a maior dificuldade foi se enxergar como uma liderança política, o que se alia também ao machismo, assédios e descrédito dos membros partidários na candidatura dessas mulheres. Nesse sentido, 36% delas mencionam ter sofrido algum tipo de violência política, o que se coloca como mais um desafio para suas carreiras políticas e candidaturas. Outras dificuldades mencionadas foram a falta de uma rede de apoio, dificuldade em conciliar família e trabalho, assim como a dificuldade para gerenciar redes sociais, equipe, voluntários e apoiadores.</w:t>
      </w:r>
    </w:p>
    <w:p w:rsidR="00000000" w:rsidDel="00000000" w:rsidP="00000000" w:rsidRDefault="00000000" w:rsidRPr="00000000" w14:paraId="000008B5">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transcrição nos remete ao diálogo entre divisão sexual e racial do trabalho e violência política de gênero e raça, que são obstáculos para o combate à sub-representação política de mulheres, sobretudo negras, que nos lança num déficit democrático, considerando que para a construção de uma democracia forte é preciso que tenhamos todos os grupos historicamente marginalizados ocupando os espaços de onde saem as decisões que impactam diretamente suas vidas. </w:t>
      </w:r>
    </w:p>
    <w:p w:rsidR="00000000" w:rsidDel="00000000" w:rsidP="00000000" w:rsidRDefault="00000000" w:rsidRPr="00000000" w14:paraId="000008B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política de gênero e raça tem vários tentáculos, e o que trazemos aqui são os tentáculos dos próprios partidos que mulheres escolhem por identificação de agendas e pautas políticas. Dentro dos próprios partidos (que elas constroem, mas continuam alijadas dos cargos de decisões) elas são negligenciadas com relação ao financiamento de campanha, são assediadas, sofrem racismo, machismo e misoginia, sendo todas essas violências políticas de gênero (e raça, quando tratamos de mulheres negras).</w:t>
      </w:r>
    </w:p>
    <w:p w:rsidR="00000000" w:rsidDel="00000000" w:rsidP="00000000" w:rsidRDefault="00000000" w:rsidRPr="00000000" w14:paraId="000008B8">
      <w:pPr>
        <w:spacing w:after="0" w:line="360" w:lineRule="auto"/>
        <w:ind w:firstLine="708"/>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rtl w:val="0"/>
        </w:rPr>
        <w:t xml:space="preserve">Nas eleições de 2022, o projeto A Tenda das Candidatas lançou um guia para instruir mulheres a pressionarem seus partidos por apoio financeiro para suas campanhas. O guia “Desculpas Não Pagam Campanhas: Manual para a Candidata Pressionar o Seu Partido”</w:t>
      </w:r>
      <w:r w:rsidDel="00000000" w:rsidR="00000000" w:rsidRPr="00000000">
        <w:rPr>
          <w:rFonts w:ascii="Times New Roman" w:cs="Times New Roman" w:eastAsia="Times New Roman" w:hAnsi="Times New Roman"/>
          <w:sz w:val="24"/>
          <w:szCs w:val="24"/>
          <w:vertAlign w:val="superscript"/>
        </w:rPr>
        <w:footnoteReference w:customMarkFollows="0" w:id="11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nos ensina que:</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8B9">
      <w:pPr>
        <w:spacing w:after="0" w:line="240" w:lineRule="auto"/>
        <w:ind w:left="2267.7165354330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highlight w:val="white"/>
          <w:rtl w:val="0"/>
        </w:rPr>
        <w:t xml:space="preserve">Não dá para negar: sem dinheiro não há campanha digna.</w:t>
      </w:r>
      <w:r w:rsidDel="00000000" w:rsidR="00000000" w:rsidRPr="00000000">
        <w:rPr>
          <w:rFonts w:ascii="Times New Roman" w:cs="Times New Roman" w:eastAsia="Times New Roman" w:hAnsi="Times New Roman"/>
          <w:sz w:val="20"/>
          <w:szCs w:val="20"/>
          <w:rtl w:val="0"/>
        </w:rPr>
        <w:t xml:space="preserve"> Os partidos sabem disso, mas nem sempre agem da forma mais ética e justa em relação à divisão do Fundo Eleitoral e as mais prejudicadas acabam sendo as mulheres, sobretudo as mulheres negras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B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guia apresenta o modelo de um requerimento a ser preenchido e entregue, com protocolo ou por meios que possibilitem o rastreamento dos diálogos entre as mulheres e seus partidos sobre o acesso ao Fundo Eleitoral Partidário, fundamentando com a Emenda Constitucional 111/2021, que determina o repasse de 30% dos recursos do Fundo Eleitoral para Financiamento de Campanhas (FEFC) e do Fundo Partidário para as campanhas eleitorais de mulheres, além de determinar a distribuição das verbas do Fundo Eleitoral de forma proporcional para pessoas negras e brancas.</w:t>
      </w:r>
    </w:p>
    <w:p w:rsidR="00000000" w:rsidDel="00000000" w:rsidP="00000000" w:rsidRDefault="00000000" w:rsidRPr="00000000" w14:paraId="000008B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preciso que as mulheres tenham acesso a recursos materiais para que coloquem na rua uma campanha digna, que possibilite que a sociedade tenha conhecimento de que estão candidatas e quais são suas pautas de campanha. Dessa forma, criar obstáculos para que essas mulheres possam realizar campanhas dignas, sub-financiando essas campanhas, é violência política de gênero, e de raça quando se trata de mulheres negras.</w:t>
      </w:r>
    </w:p>
    <w:p w:rsidR="00000000" w:rsidDel="00000000" w:rsidP="00000000" w:rsidRDefault="00000000" w:rsidRPr="00000000" w14:paraId="000008B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violência política, que tem sido praticada no âmbito dos partidos políticos, é um dos desafios a ser enfrentado para o combate à sub-representação política de gênero e raça, que nos lança num déficit democrático, numa democracia frágil. </w:t>
      </w:r>
    </w:p>
    <w:p w:rsidR="00000000" w:rsidDel="00000000" w:rsidP="00000000" w:rsidRDefault="00000000" w:rsidRPr="00000000" w14:paraId="000008B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F">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 sistema político eleitoral partidário brasileiro racista, machista e classista: o déficit democrático </w:t>
      </w:r>
    </w:p>
    <w:p w:rsidR="00000000" w:rsidDel="00000000" w:rsidP="00000000" w:rsidRDefault="00000000" w:rsidRPr="00000000" w14:paraId="000008C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sistema político eleitoral brasileiro é racista, machista e classista (classe tem cor e gênero no Brasil), e isso pode ser constatado nas várias formas em que foram apresentadas e aprovadas normas jurídicas que dificultam a participação política de mulheres, sobretudo mulheres negras. Esse histórico também é apresentado pelo projeto A Tenda das Candidatas através da Cartilha “Leis de ações afirmativas de gênero e raça na política x Anistia aos partidos</w:t>
      </w:r>
      <w:r w:rsidDel="00000000" w:rsidR="00000000" w:rsidRPr="00000000">
        <w:rPr>
          <w:rFonts w:ascii="Times New Roman" w:cs="Times New Roman" w:eastAsia="Times New Roman" w:hAnsi="Times New Roman"/>
          <w:sz w:val="24"/>
          <w:szCs w:val="24"/>
          <w:vertAlign w:val="superscript"/>
        </w:rPr>
        <w:footnoteReference w:customMarkFollows="0" w:id="11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momento da escrita do presente ensaio, está tramitando na Câmara dos Deputados a PEC 9/23</w:t>
      </w:r>
      <w:r w:rsidDel="00000000" w:rsidR="00000000" w:rsidRPr="00000000">
        <w:rPr>
          <w:rFonts w:ascii="Times New Roman" w:cs="Times New Roman" w:eastAsia="Times New Roman" w:hAnsi="Times New Roman"/>
          <w:sz w:val="24"/>
          <w:szCs w:val="24"/>
          <w:vertAlign w:val="superscript"/>
        </w:rPr>
        <w:footnoteReference w:customMarkFollows="0" w:id="117"/>
      </w:r>
      <w:r w:rsidDel="00000000" w:rsidR="00000000" w:rsidRPr="00000000">
        <w:rPr>
          <w:rFonts w:ascii="Times New Roman" w:cs="Times New Roman" w:eastAsia="Times New Roman" w:hAnsi="Times New Roman"/>
          <w:sz w:val="24"/>
          <w:szCs w:val="24"/>
          <w:rtl w:val="0"/>
        </w:rPr>
        <w:t xml:space="preserve">, que pretende anistiar, pela 4ª vez, partidos que não observaram as regras do jogo eleitoral que prevê ações afirmativas para inclusão de mulheres e negros no campo político eleitoral-partidário. </w:t>
      </w:r>
    </w:p>
    <w:p w:rsidR="00000000" w:rsidDel="00000000" w:rsidP="00000000" w:rsidRDefault="00000000" w:rsidRPr="00000000" w14:paraId="000008C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3 primeiras anistias ocorreram em 2015, 2019 e 2021, com a Lei 13.165/2015, a Lei 13.831/2019 e com a PEC 18/21 (que nasceu no mundo jurídico como EC 117/22). Essas empreitadas contra direitos políticos das mulheres são sempre bem sucedidas, considerando que em 2018, por exemplo, apenas 77 mulheres foram eleitas para a Câmara dos Deputados que conta com 513 cadeiras. </w:t>
      </w:r>
    </w:p>
    <w:p w:rsidR="00000000" w:rsidDel="00000000" w:rsidP="00000000" w:rsidRDefault="00000000" w:rsidRPr="00000000" w14:paraId="000008C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Dados</w:t>
      </w:r>
      <w:r w:rsidDel="00000000" w:rsidR="00000000" w:rsidRPr="00000000">
        <w:rPr>
          <w:rFonts w:ascii="Times New Roman" w:cs="Times New Roman" w:eastAsia="Times New Roman" w:hAnsi="Times New Roman"/>
          <w:sz w:val="24"/>
          <w:szCs w:val="24"/>
          <w:vertAlign w:val="superscript"/>
        </w:rPr>
        <w:footnoteReference w:customMarkFollows="0" w:id="118"/>
      </w:r>
      <w:r w:rsidDel="00000000" w:rsidR="00000000" w:rsidRPr="00000000">
        <w:rPr>
          <w:rFonts w:ascii="Times New Roman" w:cs="Times New Roman" w:eastAsia="Times New Roman" w:hAnsi="Times New Roman"/>
          <w:sz w:val="24"/>
          <w:szCs w:val="24"/>
          <w:rtl w:val="0"/>
        </w:rPr>
        <w:t xml:space="preserve"> demonstram que mulheres negras foram as mais subfinanciadas pelo Fundo Eleitoral de Campanha nas eleições de 2022, onde receberam apenas 11,2%, enquanto homens brancos receberam 51%, homens negros 32,4% e mulheres brancas 15,4% (Boueri; Soares, 2022). Além disso, é preciso sinalizar para o fato de que mulheres brancas representaram 15,7% de candidaturas e mulheres negras representaram 17,7% de candidaturas (Boueri; Soares, 2022). </w:t>
      </w:r>
    </w:p>
    <w:p w:rsidR="00000000" w:rsidDel="00000000" w:rsidP="00000000" w:rsidRDefault="00000000" w:rsidRPr="00000000" w14:paraId="000008C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sub-representação política de mulheres, sobretudo mulheres negras, é fruto de uma série de fatores, alguns apresentados no presente ensaio, tais como a divisão sexual e racial do trabalho e a violência política de gênero e raça, que são ferramentas usadas nas estratégias de dominação masculina no campo político eleitoral-partidário. </w:t>
      </w:r>
    </w:p>
    <w:p w:rsidR="00000000" w:rsidDel="00000000" w:rsidP="00000000" w:rsidRDefault="00000000" w:rsidRPr="00000000" w14:paraId="000008C6">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Bourdieu (2007) enfatizou a necessidade do abstencionismo na política ser questionado, e na esteira desse pensamento é que a opinião do senso comum sobre a sub-representação política de mulheres precisa ser combatida, haja vista que construída por mitos como “é porque as mulheres não querem se candidatar” ou “é porque as mulheres não gostam de política”, além de diversos outros mitos</w:t>
      </w:r>
      <w:r w:rsidDel="00000000" w:rsidR="00000000" w:rsidRPr="00000000">
        <w:rPr>
          <w:rFonts w:ascii="Times New Roman" w:cs="Times New Roman" w:eastAsia="Times New Roman" w:hAnsi="Times New Roman"/>
          <w:color w:val="000000"/>
          <w:sz w:val="24"/>
          <w:szCs w:val="24"/>
          <w:vertAlign w:val="superscript"/>
        </w:rPr>
        <w:footnoteReference w:customMarkFollows="0" w:id="119"/>
      </w:r>
      <w:r w:rsidDel="00000000" w:rsidR="00000000" w:rsidRPr="00000000">
        <w:rPr>
          <w:rFonts w:ascii="Times New Roman" w:cs="Times New Roman" w:eastAsia="Times New Roman" w:hAnsi="Times New Roman"/>
          <w:color w:val="000000"/>
          <w:sz w:val="24"/>
          <w:szCs w:val="24"/>
          <w:rtl w:val="0"/>
        </w:rPr>
        <w:t xml:space="preserve"> que tentam culpabilizar as vítimas dessa sub-representação: as mulheres.</w:t>
      </w:r>
    </w:p>
    <w:p w:rsidR="00000000" w:rsidDel="00000000" w:rsidP="00000000" w:rsidRDefault="00000000" w:rsidRPr="00000000" w14:paraId="000008C7">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sub-representação de mulheres na política ocorre num contexto de divisão sexual e racial do trabalho e de violência política de gênero e raça. Assim, não há que se falar em falta de vontade política de mulheres, sobretudo de mulheres negras. Essa sub-representação nos lança num déficit democrático, haja vista que “toda representação possui um fundamento democrático</w:t>
      </w:r>
      <w:commentRangeStart w:id="0"/>
      <w:r w:rsidDel="00000000" w:rsidR="00000000" w:rsidRPr="00000000">
        <w:rPr>
          <w:rFonts w:ascii="Times New Roman" w:cs="Times New Roman" w:eastAsia="Times New Roman" w:hAnsi="Times New Roman"/>
          <w:color w:val="000000"/>
          <w:sz w:val="24"/>
          <w:szCs w:val="24"/>
          <w:rtl w:val="0"/>
        </w:rPr>
        <w:t xml:space="preserve">” (Miguel, 2014, p. 27) </w:t>
      </w:r>
      <w:commentRangeEnd w:id="0"/>
      <w:r w:rsidDel="00000000" w:rsidR="00000000" w:rsidRPr="00000000">
        <w:commentReference w:id="0"/>
      </w:r>
      <w:r w:rsidDel="00000000" w:rsidR="00000000" w:rsidRPr="00000000">
        <w:rPr>
          <w:rFonts w:ascii="Times New Roman" w:cs="Times New Roman" w:eastAsia="Times New Roman" w:hAnsi="Times New Roman"/>
          <w:color w:val="000000"/>
          <w:sz w:val="24"/>
          <w:szCs w:val="24"/>
          <w:rtl w:val="0"/>
        </w:rPr>
        <w:t xml:space="preserve">e, portanto, o contrário, que é a sub-representação, possui um fundamento antidemocrático, que acaba por sufocar a democracia, causando, assim, um déficit democrático.</w:t>
      </w:r>
    </w:p>
    <w:p w:rsidR="00000000" w:rsidDel="00000000" w:rsidP="00000000" w:rsidRDefault="00000000" w:rsidRPr="00000000" w14:paraId="000008C8">
      <w:pP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C9">
      <w:pPr>
        <w:spacing w:after="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Considerações finais</w:t>
      </w:r>
    </w:p>
    <w:p w:rsidR="00000000" w:rsidDel="00000000" w:rsidP="00000000" w:rsidRDefault="00000000" w:rsidRPr="00000000" w14:paraId="000008C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8C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que apresentamos no presente ensaio foram alguns dos entraves para o combate à sub-representação política de mulheres, sobretudo de mulheres negras, que precisam ser superados, tais como a divisão sexual e racial do trabalho e a violência política de gênero e raça, principalmente a que se pratica no âmbito dos partidos através do sub-financiamento de campanhas de mulheres.</w:t>
      </w:r>
    </w:p>
    <w:p w:rsidR="00000000" w:rsidDel="00000000" w:rsidP="00000000" w:rsidRDefault="00000000" w:rsidRPr="00000000" w14:paraId="000008C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É a proposta de suscitar reflexões sobre formas de combater à sub-representação política de mulheres, através do diálogo entre a violência política de gênero e raça e a divisão sexual do trabalho, de maneira que seja possível pensar para além da constatação da sub-representação e do déficit democrático que esse fenômeno social nos impõe. </w:t>
      </w:r>
    </w:p>
    <w:p w:rsidR="00000000" w:rsidDel="00000000" w:rsidP="00000000" w:rsidRDefault="00000000" w:rsidRPr="00000000" w14:paraId="000008C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Conforme dito alhures, a manutenção dessa sub-representação nos manterá numa democracia frágil, já que uma democracia forte se constrói através de diversas frentes e uma delas é a garantia de que grupos historicamente marginalizados estejam nos espaços de onde saem as decisões que impactam diretamente suas vidas. </w:t>
      </w:r>
    </w:p>
    <w:p w:rsidR="00000000" w:rsidDel="00000000" w:rsidP="00000000" w:rsidRDefault="00000000" w:rsidRPr="00000000" w14:paraId="000008C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Existe uma urgência em combater essa sub-representação, que pode ser considerada, também, como propulsora das históricas desigualdades sociais e raciais que assolam o Brasil.</w:t>
      </w:r>
    </w:p>
    <w:p w:rsidR="00000000" w:rsidDel="00000000" w:rsidP="00000000" w:rsidRDefault="00000000" w:rsidRPr="00000000" w14:paraId="000008C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Pensar a sub-representação política de mulheres, sobretudo negras, e pensar sobre formas de combatê-la, é pensar a nossa sociedade de forma radical, que significa pensar os malês sociais pela raiz. Pensar a violência política de gênero e raça e a divisão sexual do trabalho é pensar a sub-representação política de mulheres, sobretudo de mulheres negras, pela raiz. </w:t>
      </w:r>
    </w:p>
    <w:p w:rsidR="00000000" w:rsidDel="00000000" w:rsidP="00000000" w:rsidRDefault="00000000" w:rsidRPr="00000000" w14:paraId="000008D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3">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8D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MULHERES NEGRAS DECIDEM.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2022. Disponível em </w:t>
      </w:r>
      <w:hyperlink r:id="rId15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https://mulheresnegrasdecidem.org/dados/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BIROLI, Flávia. </w:t>
      </w:r>
      <w:r w:rsidDel="00000000" w:rsidR="00000000" w:rsidRPr="00000000">
        <w:rPr>
          <w:rFonts w:ascii="Times New Roman" w:cs="Times New Roman" w:eastAsia="Times New Roman" w:hAnsi="Times New Roman"/>
          <w:b w:val="1"/>
          <w:sz w:val="24"/>
          <w:szCs w:val="24"/>
          <w:rtl w:val="0"/>
        </w:rPr>
        <w:t xml:space="preserve">Gênero e desigualdades</w:t>
      </w:r>
      <w:r w:rsidDel="00000000" w:rsidR="00000000" w:rsidRPr="00000000">
        <w:rPr>
          <w:rFonts w:ascii="Times New Roman" w:cs="Times New Roman" w:eastAsia="Times New Roman" w:hAnsi="Times New Roman"/>
          <w:sz w:val="24"/>
          <w:szCs w:val="24"/>
          <w:rtl w:val="0"/>
        </w:rPr>
        <w:t xml:space="preserve">: limites da democracia no Brasil. São Paulo: Boitempo, 2018.</w:t>
      </w:r>
    </w:p>
    <w:p w:rsidR="00000000" w:rsidDel="00000000" w:rsidP="00000000" w:rsidRDefault="00000000" w:rsidRPr="00000000" w14:paraId="000008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BARBIERI, Catarina Helena Cortada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Democracia e representação nas eleições de 2018: campanhas eleitorais, financiamento e diversidade de gênero:</w:t>
      </w:r>
      <w:r w:rsidDel="00000000" w:rsidR="00000000" w:rsidRPr="00000000">
        <w:rPr>
          <w:rFonts w:ascii="Times New Roman" w:cs="Times New Roman" w:eastAsia="Times New Roman" w:hAnsi="Times New Roman"/>
          <w:sz w:val="24"/>
          <w:szCs w:val="24"/>
          <w:rtl w:val="0"/>
        </w:rPr>
        <w:t xml:space="preserve"> relatório final (2018-2019). 2019. São Paulo: FVG Direito SP, 2019. Disponível em: </w:t>
      </w:r>
      <w:hyperlink r:id="rId153">
        <w:r w:rsidDel="00000000" w:rsidR="00000000" w:rsidRPr="00000000">
          <w:rPr>
            <w:rFonts w:ascii="Times New Roman" w:cs="Times New Roman" w:eastAsia="Times New Roman" w:hAnsi="Times New Roman"/>
            <w:color w:val="000000"/>
            <w:sz w:val="24"/>
            <w:szCs w:val="24"/>
            <w:u w:val="single"/>
            <w:rtl w:val="0"/>
          </w:rPr>
          <w:t xml:space="preserve">https://bibliotecadigital.fgv.br/dspace/handle/10438/27646</w:t>
        </w:r>
      </w:hyperlink>
      <w:r w:rsidDel="00000000" w:rsidR="00000000" w:rsidRPr="00000000">
        <w:rPr>
          <w:rFonts w:ascii="Times New Roman" w:cs="Times New Roman" w:eastAsia="Times New Roman" w:hAnsi="Times New Roman"/>
          <w:sz w:val="24"/>
          <w:szCs w:val="24"/>
          <w:rtl w:val="0"/>
        </w:rPr>
        <w:t xml:space="preserve"> . Acesso em: 06 out 2023.</w:t>
      </w:r>
    </w:p>
    <w:p w:rsidR="00000000" w:rsidDel="00000000" w:rsidP="00000000" w:rsidRDefault="00000000" w:rsidRPr="00000000" w14:paraId="000008D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TENDA DAS CANDIDATAS.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Combatendo a sub-representação de gênero e raça na política (2020-2022):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impacto do projeto A Tenda das Candidatas. 2023. Disponível em:  </w:t>
      </w:r>
      <w:hyperlink r:id="rId15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https://atendadascandidatas.org/pesquisa-combatendo-a-sub-representacao-de-genero-e-raca-na-politica-2020-2022/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TENDA DAS CANDIDATAS.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conta não fecha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campanha d’A Tenda das Candidatas para denunciar a sub-representação de gênero e raça na política e pressionar por uma mudança significativa nas eleições de 2022. 2022. Disponível em: </w:t>
      </w:r>
      <w:hyperlink r:id="rId15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https://atendadascandidatas.org/campaign/a-conta-nao-fecha/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TENDA DAS CANDIDATAS.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Leis de ações afirmativas de gênero e raça na política x Anistia aos partidos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Campanha contra a PEC 9/23 com cartilha com linha do tempo das anistias aos partidos que não cumprem as regras eleitorais de inclusão de mulheres e negros na política. 2023. Disponível em: </w:t>
      </w:r>
      <w:hyperlink r:id="rId15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https://atendadascandidatas.org/cartilha-leis-de-acoes-afirmativas-de-genero-e-raca-na-politica-x-anistia-aos-partidos/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 DOS DEPUTADOS. [site institucional].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PEC 9/2023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2023. Disponível em: </w:t>
      </w:r>
      <w:hyperlink r:id="rId15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https://www.camara.leg.br/proposicoesWeb/prop_mostrarintegra?codteor=2247263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E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BOUERI, Aline Gatto; SOARES, Marcelo.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Mulheres negras recebem apenas 20% dos recursos de homens brancos.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Gênero e Número, 19 set. 2022.  Disponível em:  </w:t>
      </w:r>
      <w:hyperlink r:id="rId15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https://www.generonumero.media/reportagens/eleicoes-2022-mulheres-negrass-recebem-apenas-20-do-recursos-para-homens-brancos/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MULHERES NEGRAS DECIDEM.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Vamos deixar os mitos em 2018?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2022. Disponível em: </w:t>
      </w:r>
      <w:hyperlink r:id="rId15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https://mulheresnegrasdecidem.org/mitos-eleitorais/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Acesso em: 06 out 2023.</w:t>
      </w:r>
    </w:p>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MIGUEL, Luis Felipe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Democracia e representação: territórios em disputa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UNESP, 2014.</w:t>
      </w:r>
    </w:p>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BOURDIEU, Pierre. </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A distinção: crítica social do julgamento</w:t>
      </w:r>
      <w:r w:rsidDel="00000000" w:rsidR="00000000" w:rsidRPr="00000000">
        <w:rPr>
          <w:rFonts w:ascii="Times New Roman" w:cs="Times New Roman" w:eastAsia="Times New Roman" w:hAnsi="Times New Roman"/>
          <w:sz w:val="24"/>
          <w:szCs w:val="24"/>
          <w:highlight w:val="white"/>
          <w:rtl w:val="0"/>
        </w:rPr>
        <w:t xml:space="preserve">. São Paulo: Edusp; Porto Alegre: Zouk, </w:t>
      </w:r>
      <w:r w:rsidDel="00000000" w:rsidR="00000000" w:rsidRPr="00000000">
        <w:rPr>
          <w:rFonts w:ascii="Times New Roman" w:cs="Times New Roman" w:eastAsia="Times New Roman" w:hAnsi="Times New Roman"/>
          <w:i w:val="1"/>
          <w:sz w:val="24"/>
          <w:szCs w:val="24"/>
          <w:rtl w:val="0"/>
        </w:rPr>
        <w:t xml:space="preserve">2007</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8E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5">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PERSPECTIVAS DO FEMININO: CONTRIBUIÇÕES DO PENSAMENTO FEMINISTA AO ESTUDO DA VIOLÊNCIA DE GÊNERO E FEMINICÍDIO</w:t>
      </w:r>
    </w:p>
    <w:p w:rsidR="00000000" w:rsidDel="00000000" w:rsidP="00000000" w:rsidRDefault="00000000" w:rsidRPr="00000000" w14:paraId="00000906">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Juliana Costa Vargas</w:t>
      </w:r>
      <w:r w:rsidDel="00000000" w:rsidR="00000000" w:rsidRPr="00000000">
        <w:rPr>
          <w:rFonts w:ascii="Times New Roman" w:cs="Times New Roman" w:eastAsia="Times New Roman" w:hAnsi="Times New Roman"/>
          <w:sz w:val="24"/>
          <w:szCs w:val="24"/>
          <w:vertAlign w:val="superscript"/>
        </w:rPr>
        <w:footnoteReference w:customMarkFollows="0" w:id="120"/>
      </w:r>
      <w:r w:rsidDel="00000000" w:rsidR="00000000" w:rsidRPr="00000000">
        <w:rPr>
          <w:rtl w:val="0"/>
        </w:rPr>
      </w:r>
    </w:p>
    <w:p w:rsidR="00000000" w:rsidDel="00000000" w:rsidP="00000000" w:rsidRDefault="00000000" w:rsidRPr="00000000" w14:paraId="00000907">
      <w:pPr>
        <w:spacing w:after="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Introdução</w:t>
      </w:r>
    </w:p>
    <w:p w:rsidR="00000000" w:rsidDel="00000000" w:rsidP="00000000" w:rsidRDefault="00000000" w:rsidRPr="00000000" w14:paraId="0000090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9">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Dentre as mais diversas opressões historicamente sofridas pelas mulheres, a violência é sem sombra de dúvidas a mais cruel, sendo o instrumento mais eficaz ao controle de seus corpos e subjetividades, atingindo meninas e mulheres em todas as partes do mundo, das mais diversas raças, etnias e classe social.</w:t>
      </w:r>
    </w:p>
    <w:p w:rsidR="00000000" w:rsidDel="00000000" w:rsidP="00000000" w:rsidRDefault="00000000" w:rsidRPr="00000000" w14:paraId="0000090A">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compreender a dimensão da violência de gênero, da qual a violência doméstica é uma modalidade, analisaremos algumas contribuições feministas ao estudo do tema, estudos protagonizados por mulheres que se debruçaram sobre o estudo do gênero e o alçaram à categoria de análise de como se operam as relações sociais e suas desigualdades. </w:t>
      </w:r>
    </w:p>
    <w:p w:rsidR="00000000" w:rsidDel="00000000" w:rsidP="00000000" w:rsidRDefault="00000000" w:rsidRPr="00000000" w14:paraId="0000090B">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discurso hegemônico, tradicionalmente admitido nos espaços de produção do saber, sempre foi o masculino, eurocentrado, racista, sexista e colonialista. A perspectiva de análise aqui adotada será a da produção científica das mulheres, contra hegemônica, historicamente invisibilizada nos mais diversos espaços de conhecimento, inclusive na academia. Utilizar-se dessas referências e contribuições, implica um compromisso político de valorização da contribuição científica feminina e feminista, construída a partir da constatação de que o ser mulher, sujeito de direitos humanos, é político, diverso, plural e objeto de múltiplas opressões que historicamente se operam sobre seus corpos. </w:t>
      </w:r>
    </w:p>
    <w:p w:rsidR="00000000" w:rsidDel="00000000" w:rsidP="00000000" w:rsidRDefault="00000000" w:rsidRPr="00000000" w14:paraId="0000090C">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feminismo como movimento político social não é homogêneo, englobando uma grande diversidade de teorias e pensamentos, logo denominar as contribuições desse movimento de epistemologia feminista poderia nos conduzir ao equívoco de homogeneizar teorias e discursos que são plurais, tal como as mulheres. Nessa ótica, utilizaremos a terminologia contribuições feministas para apresentar brevemente alguns estudos sobre a violência de gênero e o feminicídio, como decorrência do sistema de dominação patriarcal. Embora existam outros enfoques para as causas de tal fenômeno, nossa análise será sob a perspectiva das teóricas do patriarcado e do feminismo decolonial, que entendem que as relações de gênero se estruturam inseridas num sistema de dominação-exploração masculina decorrente da colonialidade do ser, que se opera no mundo moderno ocidental.</w:t>
      </w:r>
    </w:p>
    <w:p w:rsidR="00000000" w:rsidDel="00000000" w:rsidP="00000000" w:rsidRDefault="00000000" w:rsidRPr="00000000" w14:paraId="0000090D">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da violência de gênero é um tema que vem mobilizando há décadas os movimentos feministas e de mulheres e recentemente tal debate vem ganhando evidência, face aos altos índices de feminicídios que as estatísticas, dados governamentais e não governamentais, têm revelado.</w:t>
      </w:r>
    </w:p>
    <w:p w:rsidR="00000000" w:rsidDel="00000000" w:rsidP="00000000" w:rsidRDefault="00000000" w:rsidRPr="00000000" w14:paraId="0000090E">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É preciso reconhecer que a produção de conhecimento das mulheres foi historicamente invisibilizada e justamente por isso é primordial utilizar-se dessas referências e contribuições, em busca da valorização desses saberes concernentes a um tema que afeta de forma desproporcional as mulheres.</w:t>
      </w:r>
    </w:p>
    <w:p w:rsidR="00000000" w:rsidDel="00000000" w:rsidP="00000000" w:rsidRDefault="00000000" w:rsidRPr="00000000" w14:paraId="0000090F">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artigo tem por objeto uma revisão bibliográfica referente às contribuições das autoras feministas que analisam a violência de gênero e o feminicídio, como decorrências do sistema de dominação patriarcal.</w:t>
      </w:r>
    </w:p>
    <w:p w:rsidR="00000000" w:rsidDel="00000000" w:rsidP="00000000" w:rsidRDefault="00000000" w:rsidRPr="00000000" w14:paraId="00000910">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de forma ampla deve ser analisada como um fenômeno que é fruto de relações históricas, marcadas pela opressão e por assimetrias. As relações de gênero, assim como as de raça e classe, encontram-se insertas neste contexto de desigualdades estruturais. </w:t>
      </w:r>
    </w:p>
    <w:p w:rsidR="00000000" w:rsidDel="00000000" w:rsidP="00000000" w:rsidRDefault="00000000" w:rsidRPr="00000000" w14:paraId="00000911">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(2007, p. 27) em sua análise sobre violência afirma que esta é uma das expressões da questão social. O Brasil apresenta um quadro de desigualdades estruturais no qual se imbricam as relações sociais estruturadas a partir dos marcadores de classe, de gênero e raciais. </w:t>
      </w:r>
    </w:p>
    <w:p w:rsidR="00000000" w:rsidDel="00000000" w:rsidP="00000000" w:rsidRDefault="00000000" w:rsidRPr="00000000" w14:paraId="00000912">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gênero feminino, historicamente, ocupou e ocupa lugares subalternizados em nossa sociedade, seja no espaço público, seja no espaço privado, o que denota a desigualdade latente nas relações sociais entre os gêneros, criando condições para a utilização da violência como instrumento de controle. Violência essa, que quando letal se traduz no fenômeno do feminicídio, que apresentam índices crescentes nos últimos anos em nosso país e na América Latina.</w:t>
      </w:r>
    </w:p>
    <w:p w:rsidR="00000000" w:rsidDel="00000000" w:rsidP="00000000" w:rsidRDefault="00000000" w:rsidRPr="00000000" w14:paraId="0000091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artigo não tem a pretensão de esgotar o tema da violência de gênero, e tão pouco as discussões acerca do fenômeno do feminicídio, entretanto pretende contribuir para o aprofundamento das reflexões sobre o tema a partir da visão de pensadoras feministas cada vez mais presentes no cenário acadêmico, especialmente na América Latina.</w:t>
      </w:r>
    </w:p>
    <w:p w:rsidR="00000000" w:rsidDel="00000000" w:rsidP="00000000" w:rsidRDefault="00000000" w:rsidRPr="00000000" w14:paraId="0000091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8">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Produção teórico feminista: a ciência construída por mulheres</w:t>
      </w:r>
    </w:p>
    <w:p w:rsidR="00000000" w:rsidDel="00000000" w:rsidP="00000000" w:rsidRDefault="00000000" w:rsidRPr="00000000" w14:paraId="0000091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A">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do conhecimento histórico ou científico foi tradicionalmente atribuído a homens, fruto entre outros fatores, de uma linguagem que cotidianamente favorece o apagamento do que é produzido pelas mulheres, especialmente no espaço público.</w:t>
      </w:r>
    </w:p>
    <w:p w:rsidR="00000000" w:rsidDel="00000000" w:rsidP="00000000" w:rsidRDefault="00000000" w:rsidRPr="00000000" w14:paraId="0000091B">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Rago (1998, p. 3), destaca que o feminismo tem produzido uma crítica contundente ao modo dominante de produção do conhecimento científico, propondo uma articulação que considera a experiência histórica e cultural feminina na busca de uma nova linguagem, que pode ser traduzido num contradiscurso.</w:t>
      </w:r>
    </w:p>
    <w:p w:rsidR="00000000" w:rsidDel="00000000" w:rsidP="00000000" w:rsidRDefault="00000000" w:rsidRPr="00000000" w14:paraId="0000091C">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abordagem do tema do presente artigo é construída a partir da episteme feminista que se preocupa em valorizar a produção teórica feminista, considerando que o termo gênero em seu uso descritivo foi empregado pelos historiadores/as ao estudo de coisas relativas às mulheres. O tema “história das mulheres” nos últimos anos vem sendo substituído por gênero, de modo a obter o reconhecimento político desse campo de pesquisas.</w:t>
      </w:r>
    </w:p>
    <w:p w:rsidR="00000000" w:rsidDel="00000000" w:rsidP="00000000" w:rsidRDefault="00000000" w:rsidRPr="00000000" w14:paraId="0000091D">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Scott (1995, p. 75-77), afirma que o uso do termo “gênero” constitui um dos aspectos daquilo que se poderia chamar de busca de legitimidade acadêmica para os estudos feministas, nos anos 80. A autora esclarece ainda que não há consenso entre as teóricas quanto a concepção do termo gênero, sendo possível identificar uma variedade de abordagens das historiadoras feministas na análise de gênero, sendo apontada três abordagens teóricas. A primeira busca explicar as origens do patriarcado, a segunda segue uma tradição marxista e busca compromisso com as críticas feministas, e a terceira se inspira em escolas da psicanálise para explicar a produção e a reprodução da identidade de gênero do sujeito. </w:t>
      </w:r>
    </w:p>
    <w:p w:rsidR="00000000" w:rsidDel="00000000" w:rsidP="00000000" w:rsidRDefault="00000000" w:rsidRPr="00000000" w14:paraId="0000091E">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primeira abordagem busca primordialmente explicar as origens do patriarcado, sendo chamadas de teóricas do patriarcado. Tais teóricas explicam a subordinação das mulheres decorrente da necessidade masculina de dominação. Segundo elas, a chave do patriarcado encontra-se na reprodução e na sexualidade, sendo a objetificação sexual feminina fundamental para o processo de sujeição das mulheres.</w:t>
      </w:r>
    </w:p>
    <w:p w:rsidR="00000000" w:rsidDel="00000000" w:rsidP="00000000" w:rsidRDefault="00000000" w:rsidRPr="00000000" w14:paraId="0000091F">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feministas marxistas, por sua vez, apresentam uma abordagem histórica sob a perspectiva da teoria marxista, através da qual se considera que o patriarcado e o capitalismo seriam dois sistemas separados, mas em constante interação. A partir dessa concepção os sistemas econômicos e os sistemas de gênero interagiriam para produzir as experiências sociais e históricas.</w:t>
      </w:r>
    </w:p>
    <w:p w:rsidR="00000000" w:rsidDel="00000000" w:rsidP="00000000" w:rsidRDefault="00000000" w:rsidRPr="00000000" w14:paraId="00000920">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terceira abordagem seria as do pós-estruturalismo francês e das teorias anglo americanas, cuja teóricas se inspiravam na escola da psicanálise para explicar a identidade de gênero. As teorias psicanalíticas são formadas a partir de duas escolas: a anglo-americana que trabalha com as teorias de relação de objeto e a escola francesa que está baseada em leituras estruturalistas e pós estruturalistas de Freud. Enquanto a primeira enfatizava a influência da experiência concreta, a segunda enfatizava o papel central da linguagem na comunicação e representação do gênero.</w:t>
      </w:r>
    </w:p>
    <w:p w:rsidR="00000000" w:rsidDel="00000000" w:rsidP="00000000" w:rsidRDefault="00000000" w:rsidRPr="00000000" w14:paraId="00000921">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Aprofundar o estudo da violência de gênero sob a perspectiva feminina, tema que atinge diretamente os corpos femininos, implica a busca por um conhecimento que esteja centrado nas necessidades das mulheres e reconheça que ainda persistem as desigualdades entre homens e mulheres no cenário social. Para a compreensão desses fenômenos, o movimento político social feminista teve papel crucial na denúncia e no protagonismo da mulher como sujeito de suas construções e, portanto, de sua história.</w:t>
      </w:r>
    </w:p>
    <w:p w:rsidR="00000000" w:rsidDel="00000000" w:rsidP="00000000" w:rsidRDefault="00000000" w:rsidRPr="00000000" w14:paraId="00000922">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do conhecimento e dos discursos não se perfazem de forma neutra e, na busca por novos parâmetros conceituais e de análise, surge um novo campo de conhecimento a partir do contradiscurso feminista, uma linguagem própria que se debruça num primeiro momento sobre as questões sociais e culturais envolvendo as mulheres, mas sobretudo sobre as relações de gênero. As produções acadêmicas feministas traduzem a construção de uma episteme com bases científicas que rompem com a suposta neutralidade da ciência, que notadamente estabeleceu modelos hierarquizados de produção e ocupa os espaços de saber questionando concepções tradicionais em prol de um conhecimento que tenha compromisso com a emancipação feminina. </w:t>
      </w:r>
    </w:p>
    <w:p w:rsidR="00000000" w:rsidDel="00000000" w:rsidP="00000000" w:rsidRDefault="00000000" w:rsidRPr="00000000" w14:paraId="00000923">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é possível perceber, mesmo nas abordagens feministas não existe consenso sobre as visões acerca da categoria gênero. O presente trabalho busca aprofundar o conhecimento sobre a violência de gênero a partir da visão das teóricas feministas do patriarcado, que creditam as desigualdades de gênero ao sistema de dominação exploração masculina. </w:t>
      </w:r>
    </w:p>
    <w:p w:rsidR="00000000" w:rsidDel="00000000" w:rsidP="00000000" w:rsidRDefault="00000000" w:rsidRPr="00000000" w14:paraId="00000924">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 como ponto de partida a construção cultural da identidade, da subjetividade e da cultura feminina, a produção teórico feminista ocupa os espaços de saber, questionando concepções tradicionais em prol de um conhecimento que tenha compromisso com a emancipação feminina. </w:t>
      </w:r>
    </w:p>
    <w:p w:rsidR="00000000" w:rsidDel="00000000" w:rsidP="00000000" w:rsidRDefault="00000000" w:rsidRPr="00000000" w14:paraId="00000925">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Rago acredita que “o feminismo propõe uma nova relação entre teoria e prática. Delineia-se um novo agente epistêmico, não isolado do mundo, mas inserido no coração dele, não isento e imparcial, mas subjetivo e afirmando sua particularidade. Ao contrário do desligamento do cientista em relação ao seu objeto de conhecimento, clama-se pelo envolvimento do sujeito com seu objeto” (1998, p. 11). </w:t>
      </w:r>
    </w:p>
    <w:p w:rsidR="00000000" w:rsidDel="00000000" w:rsidP="00000000" w:rsidRDefault="00000000" w:rsidRPr="00000000" w14:paraId="00000926">
      <w:pPr>
        <w:spacing w:after="0" w:line="360" w:lineRule="auto"/>
        <w:ind w:firstLine="1134"/>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As contribuições teóricas do campo feminista importam na ruptura com a suposta neutralidade acadêmica, que historicamente despreza conhecimentos não hegemônicos e não eurocêntricos, estabelecendo um olhar crítico e político acerca das relações de gênero.</w:t>
      </w:r>
      <w:r w:rsidDel="00000000" w:rsidR="00000000" w:rsidRPr="00000000">
        <w:rPr>
          <w:rtl w:val="0"/>
        </w:rPr>
      </w:r>
    </w:p>
    <w:p w:rsidR="00000000" w:rsidDel="00000000" w:rsidP="00000000" w:rsidRDefault="00000000" w:rsidRPr="00000000" w14:paraId="0000092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8">
      <w:pPr>
        <w:spacing w:after="0"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rtl w:val="0"/>
        </w:rPr>
        <w:t xml:space="preserve">Por uma terminologia adequada para nomear a violência sofrida por mulheres</w:t>
      </w:r>
      <w:r w:rsidDel="00000000" w:rsidR="00000000" w:rsidRPr="00000000">
        <w:rPr>
          <w:rFonts w:ascii="Times New Roman" w:cs="Times New Roman" w:eastAsia="Times New Roman" w:hAnsi="Times New Roman"/>
          <w:i w:val="1"/>
          <w:sz w:val="24"/>
          <w:szCs w:val="24"/>
          <w:u w:val="single"/>
          <w:rtl w:val="0"/>
        </w:rPr>
        <w:t xml:space="preserve"> </w:t>
      </w:r>
    </w:p>
    <w:p w:rsidR="00000000" w:rsidDel="00000000" w:rsidP="00000000" w:rsidRDefault="00000000" w:rsidRPr="00000000" w14:paraId="0000092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A">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dos principais objetos de estudo das teóricas feministas é o fenômeno da violência de gênero, termo comumente utilizado para nomear as diversas formas de violência sofridas por mulheres. O termo violência de gênero se consolidou como produto de múltiplas reflexões a respeito da melhor denominação a ser utilizada. </w:t>
      </w:r>
    </w:p>
    <w:p w:rsidR="00000000" w:rsidDel="00000000" w:rsidP="00000000" w:rsidRDefault="00000000" w:rsidRPr="00000000" w14:paraId="0000092B">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(2007, p. 24), estabelece importante reflexão sobre tal questão, pois acredita que a violência sofrida por mulheres ainda não tenha sido nominada adequadamente, embora reconheça que violência de gênero seja o termo mais adequado. Nesta construção em busca de uma terminologia adequada, muitas expressões vêm sendo utilizadas, entretanto, é preciso analisá-las criticamente para que se defina a mais adequada a esse fenômeno social. </w:t>
      </w:r>
    </w:p>
    <w:p w:rsidR="00000000" w:rsidDel="00000000" w:rsidP="00000000" w:rsidRDefault="00000000" w:rsidRPr="00000000" w14:paraId="0000092C">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expressão violência contra a mulher nos remete ao alvo da ação violenta, nomeando uma violência sem sujeito, além de acentuar o lugar da vítima. Além disso, não demonstra o contexto relacional em que ocorre tal tipo de violência, descartando uma das principais características. A expressão violência doméstica, hoje largamente utilizada devido a popularização da lei Maria da Penha, também é objeto de ressalvas, pois enfatiza o espaço em que a mesma ocorre, no caso o espaço privado. Ela se abstém em nomear o sujeito, o objeto ou o vetor da ação, o que demonstra sua incompletude. O termo violência intrafamiliar por sua vez, embora demonstre o espaço em que se reproduz, enfatiza a reprodução endógena da violência, e exclui dessa relação membros sem relação parental.  A violência de gênero é única terminologia que demonstra o caráter relacional da violência sofrida pelas mulheres, fruto de relações sociais desiguais e hierarquizadas, tanto no espaço público como no privado, presente nas relações entre sujeitos que desempenham papeis desiguais na estrutura familiar e societal. É a única expressão que supera o caráter descritivo e insere uma categoria analítica: o gênero. (Almeida, 2007, p. 24-26)</w:t>
      </w:r>
    </w:p>
    <w:p w:rsidR="00000000" w:rsidDel="00000000" w:rsidP="00000000" w:rsidRDefault="00000000" w:rsidRPr="00000000" w14:paraId="0000092D">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de gênero é a terminologia que demonstra o caráter relacional da violência sofrida pelas mulheres, decorrente de relações sociais desiguais e hierarquizadas, tanto no espaço público como no privado, presente nas relações entre sujeitos que desempenham papeis desiguais na estrutura familiar e societal. É a única expressão que supera o caráter descritivo e insere uma categoria analítica: o gênero. </w:t>
      </w:r>
    </w:p>
    <w:p w:rsidR="00000000" w:rsidDel="00000000" w:rsidP="00000000" w:rsidRDefault="00000000" w:rsidRPr="00000000" w14:paraId="0000092E">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 exata compreensão da violência de gênero é preciso, antes de tudo, uma breve análise, ainda que superficial, do que significa precisamente gênero. Scott (1995, p. 75) o define como categoria analítica que refuta determinismos biológicos do sexo, trata-se de uma forma de se referir às origens exclusivamente sociais das identidades subjetivas de homens e de mulheres.  </w:t>
      </w:r>
    </w:p>
    <w:p w:rsidR="00000000" w:rsidDel="00000000" w:rsidP="00000000" w:rsidRDefault="00000000" w:rsidRPr="00000000" w14:paraId="0000092F">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perspectiva de Safiotti (2001, p. 29), enfatiza que ao mesmo tempo em que gênero é constitutivo das relações sociais, a violência é constitutiva da ordem falocrática. Por conseguinte, o gênero informado pela desigualdade social, pela hierarquização e até pela lógica da complementaridade traz embutida a violência. </w:t>
      </w:r>
    </w:p>
    <w:p w:rsidR="00000000" w:rsidDel="00000000" w:rsidP="00000000" w:rsidRDefault="00000000" w:rsidRPr="00000000" w14:paraId="00000930">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concepções dominantes de feminilidade e masculinidade definem os papeis que os gêneros devem desempenhar nos mais diversos espaços como a família, escola, a igreja e os meios de comunicação, e nesses espaços vão e se reproduzido e naturalizando as hierarquias, como mecanismos de subordinação, o que determina o acesso desigual às fontes de poder e aos bens materiais e simbólicos. </w:t>
      </w:r>
    </w:p>
    <w:p w:rsidR="00000000" w:rsidDel="00000000" w:rsidP="00000000" w:rsidRDefault="00000000" w:rsidRPr="00000000" w14:paraId="00000931">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há consenso entre as teóricas quanto a concepção do termo gênero, sendo possível identificar uma variedade de abordagens das historiadoras feministas na análise de gênero, sendo apontada por Scott três posições teóricas. A primeira busca explicar as origens do patriarcado, a segunda segue uma tradição marxista e busca compromisso com as críticas feministas, e a terceira se inspira em escolas da psicanálise para explicar a produção e a reprodução da identidade de gênero do sujeito. (Scott, 1995, p. 77)</w:t>
      </w:r>
    </w:p>
    <w:p w:rsidR="00000000" w:rsidDel="00000000" w:rsidP="00000000" w:rsidRDefault="00000000" w:rsidRPr="00000000" w14:paraId="00000932">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categoria gênero se apresenta, portanto, como produto das construções sociais e das normatizações naturalizadas quanto aos papeis sexuados desempenhados pelos corpos. </w:t>
      </w:r>
    </w:p>
    <w:p w:rsidR="00000000" w:rsidDel="00000000" w:rsidP="00000000" w:rsidRDefault="00000000" w:rsidRPr="00000000" w14:paraId="00000933">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das estruturas de poder segundo Scott (1995, p. 92), considera que a oposição binária e o processo social das relações de gênero tornam-se parte do próprio significado de poder, pôr em questão ou alterar qualquer de seus aspectos ameaça o sistema inteiro. O gênero seria uma das referências recorrentes pelas quais o poder político tem sido concebido, legitimado e criticado. Logo, conclui-se que a violência de gênero se legitima em uma realidade social de relações desiguais onde se imbricam gênero e poder.</w:t>
      </w:r>
    </w:p>
    <w:p w:rsidR="00000000" w:rsidDel="00000000" w:rsidP="00000000" w:rsidRDefault="00000000" w:rsidRPr="00000000" w14:paraId="00000934">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avanços nos estudos sobre a temática, nos últimos anos, vêm agregando outras abordagens, mais abrangentes e enriquecedoras. É o que se depreende do estudo de gênero pela perspectiva da decolonialidade, que representa uma ruptura com as epistemes que consideram gênero uma categoria isolada, pois a análise da opressão de gênero é racializada, a colonialidade do gênero é o ponto central, tendo em vista que a colonização operou a desumanização dos seres a partir da intersecção gênero/raça. </w:t>
      </w:r>
    </w:p>
    <w:p w:rsidR="00000000" w:rsidDel="00000000" w:rsidP="00000000" w:rsidRDefault="00000000" w:rsidRPr="00000000" w14:paraId="00000935">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Lugones (2020, p. 57), define colonialidade como termo que se refere: à classificação das populações do mundo em termos de raças – a racialização das relações entre colonizadores e colonizados/as; à configuração de um novo sistema de exploração que articula em uma estrutura todas as formas de controle do trabalho em torno da hegemonia do capital, onde o trabalho está racializado (tanto o trabalho assalariado como a escravidão, o sistema de servos, e a pequena produção de bens tornaram-se formas racializadas de produção, sendo todas novas formas na medida em que se constituíram a serviço do capitalismo).</w:t>
      </w:r>
    </w:p>
    <w:p w:rsidR="00000000" w:rsidDel="00000000" w:rsidP="00000000" w:rsidRDefault="00000000" w:rsidRPr="00000000" w14:paraId="00000936">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mulheres que sofreram o processo de colonização, negras, indígenas, racializadas, vivenciaram a opressão de gênero a partir de um violento processo de desumanização que impôs um moderno sistema colonial de gênero. </w:t>
      </w:r>
    </w:p>
    <w:p w:rsidR="00000000" w:rsidDel="00000000" w:rsidP="00000000" w:rsidRDefault="00000000" w:rsidRPr="00000000" w14:paraId="00000937">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Curiel (2020, p. 127), complementa afirmando que gênero é uma categoria moderna e colonial, que está ligado a noção de humanidade imposta pela modernidade ocidental.  O feminismo decolonial retoma o conceito de colonialidade do ser como a chave analítica para compreender que a humanidade de determinados grupos (em geral, indígenas e afrodescendentes) é negada por ser vista como obstáculo para o projeto colonizador, que abrangia a cristianização e a modernização. </w:t>
      </w:r>
    </w:p>
    <w:p w:rsidR="00000000" w:rsidDel="00000000" w:rsidP="00000000" w:rsidRDefault="00000000" w:rsidRPr="00000000" w14:paraId="00000938">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categoria gênero apresenta dupla dimensão: analítica e histórica. Gênero é uma categoria analítica, na medida em que se apresenta como um dos fundamentos da organização da vida social; e ao longo da história, vem sendo estruturado lugares sociais sexuados.  Logo, deduz-se que a violência de gênero só se sustenta em uma realidade social de desigualdades de gênero. </w:t>
      </w:r>
    </w:p>
    <w:p w:rsidR="00000000" w:rsidDel="00000000" w:rsidP="00000000" w:rsidRDefault="00000000" w:rsidRPr="00000000" w14:paraId="00000939">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(2007, p. 29), dialoga com as concepções apresentadas por Saffioti em diversos momentos de sua obra, especialmente ao tratar da dimensão simbólica da violência, pois essa seria a base legitimadora para as ações e relações de força. A violência física e as demais modalidades de violência necessitam da dimensão simbólica para o exercício da dominação e exploração, conferindo a base legitimadora ao instrumento largamente utilizado para a manutenção da sujeição do gênero feminino.</w:t>
      </w:r>
    </w:p>
    <w:p w:rsidR="00000000" w:rsidDel="00000000" w:rsidP="00000000" w:rsidRDefault="00000000" w:rsidRPr="00000000" w14:paraId="0000093A">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abordagem torna compreensível que as relações de gênero, reconhecidamente desiguais, sejam o pano de fundo da violência de gênero, constituindo um fenômeno não apenas das relações interpessoais, mas da estrutura social, multidimensional.  A partir dessa análise se reconhece que a categoria social mulher vive num processo contínuo de sujeição, que apresenta duas dimensões: a da dominação e da exploração. Nesse processo se fundamenta o poder patriarcal, que utiliza da violência como instrumento para sujeição e dominação do corpo feminino.</w:t>
      </w:r>
    </w:p>
    <w:p w:rsidR="00000000" w:rsidDel="00000000" w:rsidP="00000000" w:rsidRDefault="00000000" w:rsidRPr="00000000" w14:paraId="0000093B">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concepção proposta por Arendt (2019, p. 68) a respeito da violência é de que ela teria um caráter instrumental, “A violência é por natureza instrumental; como todos os meios, ela sempre depende de orientação e da justificação pelo fim que almeja.”  O fim almejado com o uso da violência é a manutenção do poder, no caso em análise, o poder de controlar os corpos femininos e manter o </w:t>
      </w:r>
      <w:r w:rsidDel="00000000" w:rsidR="00000000" w:rsidRPr="00000000">
        <w:rPr>
          <w:rFonts w:ascii="Times New Roman" w:cs="Times New Roman" w:eastAsia="Times New Roman" w:hAnsi="Times New Roman"/>
          <w:i w:val="1"/>
          <w:sz w:val="24"/>
          <w:szCs w:val="24"/>
          <w:rtl w:val="0"/>
        </w:rPr>
        <w:t xml:space="preserve">status quo</w:t>
      </w:r>
      <w:r w:rsidDel="00000000" w:rsidR="00000000" w:rsidRPr="00000000">
        <w:rPr>
          <w:rFonts w:ascii="Times New Roman" w:cs="Times New Roman" w:eastAsia="Times New Roman" w:hAnsi="Times New Roman"/>
          <w:sz w:val="24"/>
          <w:szCs w:val="24"/>
          <w:rtl w:val="0"/>
        </w:rPr>
        <w:t xml:space="preserve"> da superioridade do gênero masculino.</w:t>
      </w:r>
    </w:p>
    <w:p w:rsidR="00000000" w:rsidDel="00000000" w:rsidP="00000000" w:rsidRDefault="00000000" w:rsidRPr="00000000" w14:paraId="0000093C">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Saffioti (2001, p. 118) por sua vez, se reporta ao conceito de dominação simbólica de Pierre Bourdieu para indicar a base de legitimação da violência sofrida pelas mulheres:</w:t>
      </w:r>
    </w:p>
    <w:p w:rsidR="00000000" w:rsidDel="00000000" w:rsidP="00000000" w:rsidRDefault="00000000" w:rsidRPr="00000000" w14:paraId="0000093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E">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força da ordem masculina pode ser aferida pelo fato de que ela não precisa de justificação: a visão androcêntrica se impõe como neutra e não tem necessidade de se enunciar, visando sua legitimação. A ordem social funciona como uma imensa máquina simbólica, tendendo a ratificar a dominação masculina na qual se funda: é a divisão social do trabalho, distribuição muito restrita das atividades atribuídas a cada um dos dois sexos, de seu lugar, seu momento, seus instrumentos...</w:t>
      </w:r>
    </w:p>
    <w:p w:rsidR="00000000" w:rsidDel="00000000" w:rsidP="00000000" w:rsidRDefault="00000000" w:rsidRPr="00000000" w14:paraId="0000093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0">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complementa, concluindo que a violência está ancorada na exploração, em que a sociedade capitalista explora o homem e permite que ele explore a mulher. (Safiotti, 2001, p. 45)</w:t>
      </w:r>
    </w:p>
    <w:p w:rsidR="00000000" w:rsidDel="00000000" w:rsidP="00000000" w:rsidRDefault="00000000" w:rsidRPr="00000000" w14:paraId="00000941">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é necessário identificar os mecanismos que o capitalismo patriarcal estabelece ao atribuir somente ao trabalho produtivo o status de gerador de riqueza, entendido como aquele produzido no ambiente público, deixando a cargo das mulheres apenas o trabalho reprodutivo, numa permanente invisibilização que as vulnerabiliza ao fenômeno da violência, das condições propícias à escravização e à degradância no trabalho. (Marques; Vargas, 2022, p. 254)</w:t>
      </w:r>
    </w:p>
    <w:p w:rsidR="00000000" w:rsidDel="00000000" w:rsidP="00000000" w:rsidRDefault="00000000" w:rsidRPr="00000000" w14:paraId="00000942">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Almeida (2007, p. 25), tenha considerado a nomenclatura violência de gênero a mais adequada e abrangente a nominar a violência sofrida cotidianamente por mulheres, sua obra tece críticas de que seu uso deixa intocados os fundamentos da dominação patriarcal, no entanto, é o único termo qualificativo da violência que, dentre os demais, ultrapassa o caráter meramente descritivo. </w:t>
      </w:r>
    </w:p>
    <w:p w:rsidR="00000000" w:rsidDel="00000000" w:rsidP="00000000" w:rsidRDefault="00000000" w:rsidRPr="00000000" w14:paraId="0000094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4">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Femicídio ou feminicídio, afinal? </w:t>
      </w:r>
    </w:p>
    <w:p w:rsidR="00000000" w:rsidDel="00000000" w:rsidP="00000000" w:rsidRDefault="00000000" w:rsidRPr="00000000" w14:paraId="0000094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6">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do feminicídio busca legitimar a produção teórica de mulheres que se dedicaram a analisar a violência letal que atinge corpos femininos em todo mundo.  Utilizar tal conhecimento implica reconhecer que o aprofundamento dos estudos de gênero sobre essa temática foi protagonizado a partir do movimento de mulheres e que tal episteme se apresenta como chave analítica para a reflexão sobre o feminicídio como fenômeno social.</w:t>
      </w:r>
    </w:p>
    <w:p w:rsidR="00000000" w:rsidDel="00000000" w:rsidP="00000000" w:rsidRDefault="00000000" w:rsidRPr="00000000" w14:paraId="00000947">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termo femicídio (femicide) foi atribuído a Russel e Radford, e nomeia a morte violenta de mulheres e meninas, denunciando a não acidentalidade de tais mortes e a identificando como a forma mais extrema da violência de gênero. No Brasil, a legislação penal adotou o termo feminicídio, que Lagarde entende que agrega ao conceito a violência institucional que conduz à impunidade como parte do fenômeno social. (Pasinato, 201, p. 229-230)</w:t>
      </w:r>
    </w:p>
    <w:p w:rsidR="00000000" w:rsidDel="00000000" w:rsidP="00000000" w:rsidRDefault="00000000" w:rsidRPr="00000000" w14:paraId="00000948">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perspectiva Russel </w:t>
      </w:r>
      <w:r w:rsidDel="00000000" w:rsidR="00000000" w:rsidRPr="00000000">
        <w:rPr>
          <w:rFonts w:ascii="Times New Roman" w:cs="Times New Roman" w:eastAsia="Times New Roman" w:hAnsi="Times New Roman"/>
          <w:i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Gomes (2012, p. 41) define o feminicídio como “a expressão letal de um </w:t>
      </w:r>
      <w:r w:rsidDel="00000000" w:rsidR="00000000" w:rsidRPr="00000000">
        <w:rPr>
          <w:rFonts w:ascii="Times New Roman" w:cs="Times New Roman" w:eastAsia="Times New Roman" w:hAnsi="Times New Roman"/>
          <w:i w:val="1"/>
          <w:sz w:val="24"/>
          <w:szCs w:val="24"/>
          <w:rtl w:val="0"/>
        </w:rPr>
        <w:t xml:space="preserve">continuum</w:t>
      </w:r>
      <w:r w:rsidDel="00000000" w:rsidR="00000000" w:rsidRPr="00000000">
        <w:rPr>
          <w:rFonts w:ascii="Times New Roman" w:cs="Times New Roman" w:eastAsia="Times New Roman" w:hAnsi="Times New Roman"/>
          <w:sz w:val="24"/>
          <w:szCs w:val="24"/>
          <w:rtl w:val="0"/>
        </w:rPr>
        <w:t xml:space="preserve"> de violência contra mulheres”.</w:t>
      </w:r>
    </w:p>
    <w:p w:rsidR="00000000" w:rsidDel="00000000" w:rsidP="00000000" w:rsidRDefault="00000000" w:rsidRPr="00000000" w14:paraId="00000949">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(2018, p. 5), aponta que é possível identificar três vertentes teóricas sobre o feminicídio, sendo que cada vertente enfatiza diferentes contextos para o fenômeno. A primeira vertente, nomeada como genérica, busca dar visibilidade ao conjunto de mortes violentas de mulheres, e vai além de sua definição legal para incluir situações e práticas sociais que resultem na morte de mulheres. Essa vertente engloba todas as mortes de mulheres cuja causa central seja a discriminação e a desigualdade de gênero e encontra amparo na teoria de existência de uma violência feminicida, desenvolvida por Lagarde.</w:t>
      </w:r>
    </w:p>
    <w:p w:rsidR="00000000" w:rsidDel="00000000" w:rsidP="00000000" w:rsidRDefault="00000000" w:rsidRPr="00000000" w14:paraId="0000094A">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segunda vertente, que pode ser chamada de específica, reconhece como feminicídio o assassinato de mulheres, apenas tais crimes são objetos de análise e reflexão para a compreensão de suas características.</w:t>
      </w:r>
    </w:p>
    <w:p w:rsidR="00000000" w:rsidDel="00000000" w:rsidP="00000000" w:rsidRDefault="00000000" w:rsidRPr="00000000" w14:paraId="0000094B">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terceira vertente, denominada de judicializadora, desloca o foco para o debate entre feminismo e direito penal. Tal vertente visa avaliar a necessidade de um tratamento penal adequado aos assassinatos de mulheres diante da insuficiência do tipo penal “homicídio”.</w:t>
      </w:r>
    </w:p>
    <w:p w:rsidR="00000000" w:rsidDel="00000000" w:rsidP="00000000" w:rsidRDefault="00000000" w:rsidRPr="00000000" w14:paraId="0000094C">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Gradativamente, com a normatização do femicídio/feminicídio pelos países latino-americanos, o termo foi sendo incorporados ao vocabulário. Nesse cenário, o Brasil foi um dos últimos países a adotá-lo, o que ocorreu somente apenas após a criação, em 2015, de uma qualificadora no código penal que incorporou o vocábulo ao discurso jurídico penal. </w:t>
      </w:r>
    </w:p>
    <w:p w:rsidR="00000000" w:rsidDel="00000000" w:rsidP="00000000" w:rsidRDefault="00000000" w:rsidRPr="00000000" w14:paraId="0000094D">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compreensão e análise do fenômeno do feminicídio é tratado aqui a partir das concepções desenvolvidas pelas teóricas do patriarcado, teoria que entendemos mais adequada a explicar as causas sociais da violência contra a mulher. Não há como dissociar a origem da violência cotidiana vivida por milhares de mulheres da estrutura patriarcal de nossa sociedade, que estabelece relações de gênero hierarquizadas, criando um campo fértil para a opressão e as mais diversas formas de violência, inclusive a mais grave delas.</w:t>
      </w:r>
    </w:p>
    <w:p w:rsidR="00000000" w:rsidDel="00000000" w:rsidP="00000000" w:rsidRDefault="00000000" w:rsidRPr="00000000" w14:paraId="0000094E">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(2006, p. 3), considera que a intenção de autoras feministas é desmascarar o patriarcado como uma instituição que se sustenta no controle do corpo e da capacidade punitiva sobre as mulheres. E nesse contexto, a violência vem a ser um dos instrumentos mais eficientes no controle dos corpos femininos, sendo o feminicídio o crime mais grave, muitas vezes precedido de um histórico de violências visando tal controle. A autora complementa, ainda, que o feminicídio pode ser considerado crime do patriarcado, sendo claramente um crime de poder, cuja dupla função é simultaneamente a manutenção ou reprodução do poder.</w:t>
      </w:r>
    </w:p>
    <w:p w:rsidR="00000000" w:rsidDel="00000000" w:rsidP="00000000" w:rsidRDefault="00000000" w:rsidRPr="00000000" w14:paraId="0000094F">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(2018, p. 5), por sua vez dialoga com a obra de Mbembe e agrega ao feminicídio a necropolítica – política voltada para a exposição de determinados sujeitos à morte, em última instância definindo quem vai morrer e quem vai viver. </w:t>
      </w:r>
    </w:p>
    <w:p w:rsidR="00000000" w:rsidDel="00000000" w:rsidP="00000000" w:rsidRDefault="00000000" w:rsidRPr="00000000" w14:paraId="00000950">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Seria possível, pela ótica de MARTÍNEZ </w:t>
      </w:r>
      <w:r w:rsidDel="00000000" w:rsidR="00000000" w:rsidRPr="00000000">
        <w:rPr>
          <w:rFonts w:ascii="Times New Roman" w:cs="Times New Roman" w:eastAsia="Times New Roman" w:hAnsi="Times New Roman"/>
          <w:i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Gomes (2018, p. 5), uma necropolítica feminicida representada pela multiplicidade de mecanismos de soberania utilizados por grupos que exercitam o direito de vida e morte sobre os corpos das mulheres. </w:t>
      </w:r>
    </w:p>
    <w:p w:rsidR="00000000" w:rsidDel="00000000" w:rsidP="00000000" w:rsidRDefault="00000000" w:rsidRPr="00000000" w14:paraId="00000951">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omissão permanente do Estado quanto às múltiplas violências de gênero, inclusive em relação ao feminicídio, que no contexto sociopolítico se nega a desenvolver políticas públicas de proteção à vida e à integridade das mulheres, bem como perpetua a naturalização da violência letal contra as elas configuram, inegavelmente, necropolítica de gênero. </w:t>
      </w:r>
    </w:p>
    <w:p w:rsidR="00000000" w:rsidDel="00000000" w:rsidP="00000000" w:rsidRDefault="00000000" w:rsidRPr="00000000" w14:paraId="0000095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5">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tipificação do feminicídio como política de visibilidade social das mortes violentas de mulheres</w:t>
      </w:r>
    </w:p>
    <w:p w:rsidR="00000000" w:rsidDel="00000000" w:rsidP="00000000" w:rsidRDefault="00000000" w:rsidRPr="00000000" w14:paraId="00000956">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957">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criação de um tipo penal específico para o feminicídio provocou intensos debates no movimento feminista e no meio jurídico. Embora o crescente número de mortes violentas de mulheres não pudesse ser claramente identificado devido à falta de um tipo penal que o distinguisse dos demais homicídios, muitos eram os questionamentos sobre respostas penais adequada </w:t>
      </w:r>
      <w:r w:rsidDel="00000000" w:rsidR="00000000" w:rsidRPr="00000000">
        <w:rPr>
          <w:rFonts w:ascii="Times New Roman" w:cs="Times New Roman" w:eastAsia="Times New Roman" w:hAnsi="Times New Roman"/>
          <w:i w:val="1"/>
          <w:sz w:val="24"/>
          <w:szCs w:val="24"/>
          <w:rtl w:val="0"/>
        </w:rPr>
        <w:t xml:space="preserve">versus</w:t>
      </w:r>
      <w:r w:rsidDel="00000000" w:rsidR="00000000" w:rsidRPr="00000000">
        <w:rPr>
          <w:rFonts w:ascii="Times New Roman" w:cs="Times New Roman" w:eastAsia="Times New Roman" w:hAnsi="Times New Roman"/>
          <w:sz w:val="24"/>
          <w:szCs w:val="24"/>
          <w:rtl w:val="0"/>
        </w:rPr>
        <w:t xml:space="preserve"> a necessidade de visibilidade social do fenômeno.</w:t>
      </w:r>
    </w:p>
    <w:p w:rsidR="00000000" w:rsidDel="00000000" w:rsidP="00000000" w:rsidRDefault="00000000" w:rsidRPr="00000000" w14:paraId="00000958">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utiliza a terminologia vertente judicializadora para nomear aquela que trata a tipificação penal com uma modalidade de enfrentamento ao problema. Tal vertente reconhece alguns assassinatos de mulheres como feminicídio e valoriza a necessidade de legislação penal, através de nova lei ou alteração no código penal, para tratar tais crimes. (2018, p. 5)</w:t>
      </w:r>
    </w:p>
    <w:p w:rsidR="00000000" w:rsidDel="00000000" w:rsidP="00000000" w:rsidRDefault="00000000" w:rsidRPr="00000000" w14:paraId="00000959">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existem muitas críticas do movimento de mulheres à resposta penal aos crimes, uma vez que reconhece o papel que as leis penais desempenham no sistema capitalista, sendo instrumento do Estado na exclusão e encarceramento de grupos historicamente marginalizados. Tais críticas são amparadas por cinco argumentos principais: a manutenção do princípio do direito penal mínimo; o homicídio já estaria contemplado no homicídio qualificado; a técnica legislativa inadequada poderia acarretar inconstitucionalidade do novo tipo penal; a tipificação não reduz as taxas do fenômeno e o sistema penal não pode ser demandado por um sentido simbólico, diante de sua eficácia reconhecidamente limitada. (Gomes, 2018, p. 10)</w:t>
      </w:r>
    </w:p>
    <w:p w:rsidR="00000000" w:rsidDel="00000000" w:rsidP="00000000" w:rsidRDefault="00000000" w:rsidRPr="00000000" w14:paraId="0000095A">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debate acerca da tipificação do femicídio sob a ótica do seu alcance político proposto por Vásquez (2008, p. 212), avalia que os mais diversos projetos de lei para a tipificação legal restringiriam o conceito ao chamado feminicídio íntimo, aquele cometido por um homem com quem a vítima tinha uma relação familiar ou de convivência. No entanto, ressalta a autora, que a noção política de feminicídio tem um alcance muito maior que a do feminicídio íntimo. Assim, feminicídios sexuais, no qual não existam os vínculos já citados, bem como aqueles decorrentes de conflitos armados e de trabalhadoras sexuais, não estariam inclusos neste conceito penal de cunho restrito.</w:t>
      </w:r>
    </w:p>
    <w:p w:rsidR="00000000" w:rsidDel="00000000" w:rsidP="00000000" w:rsidRDefault="00000000" w:rsidRPr="00000000" w14:paraId="0000095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C">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noción de femicidio incluye, entonces, tanto lós crímenes cometidos dentro da la llamada esfera “privada” como “pública”, tal como lo hace la definición de violência contra la mujer contenida em La Convencion Interamericana para Prevenir, Sancionar y Erradicar La Violenca contra La Mujer (Convención de Belém do Pará).</w:t>
      </w:r>
    </w:p>
    <w:p w:rsidR="00000000" w:rsidDel="00000000" w:rsidP="00000000" w:rsidRDefault="00000000" w:rsidRPr="00000000" w14:paraId="0000095D">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E">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Enriquez (2010 </w:t>
      </w:r>
      <w:r w:rsidDel="00000000" w:rsidR="00000000" w:rsidRPr="00000000">
        <w:rPr>
          <w:rFonts w:ascii="Times New Roman" w:cs="Times New Roman" w:eastAsia="Times New Roman" w:hAnsi="Times New Roman"/>
          <w:i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Gomes, 2018, p. 11), por sua vez, acredita na força política da tipificação penal:</w:t>
      </w:r>
    </w:p>
    <w:p w:rsidR="00000000" w:rsidDel="00000000" w:rsidP="00000000" w:rsidRDefault="00000000" w:rsidRPr="00000000" w14:paraId="0000095F">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0">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Tipificar confronta a universalidade da lei com a singularidade do que ela nomeia. Recorrer ao direito penal representa posicionar-se politicamente em meio a disputas de poder. O poder de nomear, o poder de dizer o que é importante definir no imaginário social como grave, como crime ou não.</w:t>
      </w:r>
    </w:p>
    <w:p w:rsidR="00000000" w:rsidDel="00000000" w:rsidP="00000000" w:rsidRDefault="00000000" w:rsidRPr="00000000" w14:paraId="00000961">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2">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mesma forma, Segato aposta que a tipificação, entre outras funções, serviria para fomentar a discussão do significado social do fenômeno do feminicídio e as disputas que o permeiam. (2011, p. 10)</w:t>
      </w:r>
    </w:p>
    <w:p w:rsidR="00000000" w:rsidDel="00000000" w:rsidP="00000000" w:rsidRDefault="00000000" w:rsidRPr="00000000" w14:paraId="00000963">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além das críticas das diversas vertentes do feminismo, cabe pontuar que o assassinato de mulheres já era objeto de judicialização na medida em que nos diversos ordenamentos jurídicos “matar alguém” é previsto como crime. Porém, a tipificação do feminicídio proporcionou o rompimento com a nomenclatura assexuada desse crime que impedia que se revelasse que as mortes violentas de mulheres, em sua maioria, são decorrência da violência de gênero. Essa mudança representou a virada de chave necessária para nomear no direito penal o feminicídio, não como o equivalente feminino do homicídio, como ressalta Lagarde, mas com o intuito político de tornar visível para a sociedade que a morte dessas mulheres ocorre no contexto das relações afetivas, de parentesco e no contexto da discriminação.</w:t>
      </w:r>
    </w:p>
    <w:p w:rsidR="00000000" w:rsidDel="00000000" w:rsidP="00000000" w:rsidRDefault="00000000" w:rsidRPr="00000000" w14:paraId="00000964">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Augusto (2019, p. 220), agrega ao debate a crítica sobre o efeito do reducionismo provocado pela tipificação do feminicídio, que restringe a compreensão do fenômeno no contexto das relações interpessoais, ignorando o componente coletivo e estrutural da violência de gênero:</w:t>
      </w:r>
    </w:p>
    <w:p w:rsidR="00000000" w:rsidDel="00000000" w:rsidP="00000000" w:rsidRDefault="00000000" w:rsidRPr="00000000" w14:paraId="00000965">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6">
      <w:pPr>
        <w:spacing w:after="0" w:line="36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Assim, não se concebe o feminicídio dentro de um discurso de opressão, senão de vitimização; não se reconhece o componente coletivo e estrutural da violência de gênero, senão de conflitos interpessoais; não se contextualiza o fato dentro de uma cultura patriarcal, de dominação masculina, senão agudizam-se os estereótipos do agressor perverso e da ofendida merecedora da tutela do Estado, não se demonstra uma preocupação em ressignificar a morte por um olhar genocida ou necropolítico, mas em se restaurarem nos julgamentos – logo, perante os jurados e a sociedade -, os padrões de comportamento atribuídos aos papeis tradicionais de gênero.</w:t>
      </w:r>
    </w:p>
    <w:p w:rsidR="00000000" w:rsidDel="00000000" w:rsidP="00000000" w:rsidRDefault="00000000" w:rsidRPr="00000000" w14:paraId="0000096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8">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que pese as divergências e críticas das autoras à tipificação do feminicídio, tal estratégia se revelou necessária para evidenciar a morte violenta de mulheres, no entanto, deve ser vista apenas como uma dentre as demais no enfrentamento a essa letal violência de gênero. A resposta jurídico-penal é insuficiente e reducionista, incumbindo ao Estado, num primeiro momento, tão somente o exercício do papel punitivo. Por outro lado, para além do enfoque meramente punitivista, é forçoso admitir que a lei penal jogou luz ao fenômeno social, possibilitando que o sistema de justiça produza dados sobre a morte violenta de mulheres, que serão indicadores importantes para o planejamento e elaboração de políticas públicas de prevenção e enfrentamento à violência contra a mulher. </w:t>
      </w:r>
    </w:p>
    <w:p w:rsidR="00000000" w:rsidDel="00000000" w:rsidP="00000000" w:rsidRDefault="00000000" w:rsidRPr="00000000" w14:paraId="0000096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A">
      <w:pPr>
        <w:spacing w:after="0" w:line="360" w:lineRule="auto"/>
        <w:jc w:val="both"/>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rtl w:val="0"/>
        </w:rPr>
        <w:t xml:space="preserve">Conclusão</w:t>
      </w:r>
      <w:r w:rsidDel="00000000" w:rsidR="00000000" w:rsidRPr="00000000">
        <w:rPr>
          <w:rtl w:val="0"/>
        </w:rPr>
      </w:r>
    </w:p>
    <w:p w:rsidR="00000000" w:rsidDel="00000000" w:rsidP="00000000" w:rsidRDefault="00000000" w:rsidRPr="00000000" w14:paraId="0000096B">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C">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Estabelecer reflexões acerca da violência de gênero a partir das contribuições feministas significa dar visibilidade a construção de conhecimento perpetrada por mulheres e historicamente marginalizada. Analisar fenômenos sociais que atingem corpos femininos sob a ótica das historiadoras feministas promove o rompimento com as concepções tradicionalmente estabelecidas por padrões masculinos, vista como epistemologia dominante. Conceder o protagonismo a essa construção não significa, contudo, abrir mão do rigor científico, mas permitir que a produção teórico feminista, especialmente a latino-americana, seja um novo referencial para o debate, se distanciando da suposta neutralidade acadêmica para reconhecer todo o seu potencial político discursivo.</w:t>
      </w:r>
    </w:p>
    <w:p w:rsidR="00000000" w:rsidDel="00000000" w:rsidP="00000000" w:rsidRDefault="00000000" w:rsidRPr="00000000" w14:paraId="0000096D">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de gênero e o feminicídio, vem sendo cotidianamente analisados e pesquisados diante da divulgação recente dos dados, antes desconhecidos, acerca desse fenômeno que atinge cada vez mais mulheres no Brasil e no mundo.</w:t>
      </w:r>
    </w:p>
    <w:p w:rsidR="00000000" w:rsidDel="00000000" w:rsidP="00000000" w:rsidRDefault="00000000" w:rsidRPr="00000000" w14:paraId="0000096E">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reconhecimento da violência de gênero por parte de organismos internacionais, como violação de direitos humanos, representou um novo paradigma no enfrentamento a tal tipo de violência, que atinge a dignidade e por vezes aniquila a vida de inúmeras mulheres.</w:t>
      </w:r>
    </w:p>
    <w:p w:rsidR="00000000" w:rsidDel="00000000" w:rsidP="00000000" w:rsidRDefault="00000000" w:rsidRPr="00000000" w14:paraId="0000096F">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contribuições das historiadoras feministas acerca da violência de gênero apontam a desigualdade nas relações de gênero como fator estrutural que informa as relações sociais, sendo a violência um instrumento eficiente para o controle e dominação dos corpos femininos, o que é essencial para a manutenção do binômio dominação-exploração do poder patriarcal. </w:t>
      </w:r>
    </w:p>
    <w:p w:rsidR="00000000" w:rsidDel="00000000" w:rsidP="00000000" w:rsidRDefault="00000000" w:rsidRPr="00000000" w14:paraId="00000970">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criação recente da qualificadora penal do feminicídio vem aprofundando o debate acerca das mortes violentas de mulheres, que já vinha sendo discutido pelos movimentos feministas desde a década de 70. Embora seja consenso que a lei penal não tenha a função de impedir e tão pouco prevenir crimes, sem ela também não seria possível romper com a invisibilidade das mortes violentas de mulheres, uma vez que a aparente imparcialidade da lei as denominava apenas como homicídios, sem qualquer investigação que demonstrassem as razões de gênero que culminavam nessa violência letal.</w:t>
      </w:r>
    </w:p>
    <w:p w:rsidR="00000000" w:rsidDel="00000000" w:rsidP="00000000" w:rsidRDefault="00000000" w:rsidRPr="00000000" w14:paraId="00000971">
      <w:pPr>
        <w:spacing w:after="0" w:line="360" w:lineRule="auto"/>
        <w:ind w:firstLine="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Tornou-se primordial que o Estado reconhecesse a gravidade das mortes violentas e sucessivas de mulheres em nosso país e assim, rompesse com um histórico de impunidade que há anos naturalizava tais crimes. A política de enfrentamento dessa questão passa necessariamente pela tipificação legal do fenômeno, entretanto, é preciso admitir que somente isso não basta. Os avanços legislativos que reconhecem o feminicídio como crime que viola os direitos humanos de mulheres, vem permitindo a geração de dados para a compreensão da extensão deste fenômeno, o que torna necessário que repercuta na formulação de políticas públicas de prevenção e enfrentamento a violência de gênero e, portanto, capazes de garantir proteção efetiva à vida das mulheres.</w:t>
      </w:r>
    </w:p>
    <w:p w:rsidR="00000000" w:rsidDel="00000000" w:rsidP="00000000" w:rsidRDefault="00000000" w:rsidRPr="00000000" w14:paraId="00000972">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3">
      <w:pPr>
        <w:spacing w:after="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Referências bibliográficas</w:t>
      </w:r>
    </w:p>
    <w:p w:rsidR="00000000" w:rsidDel="00000000" w:rsidP="00000000" w:rsidRDefault="00000000" w:rsidRPr="00000000" w14:paraId="0000097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Suely Souza de. </w:t>
      </w:r>
      <w:r w:rsidDel="00000000" w:rsidR="00000000" w:rsidRPr="00000000">
        <w:rPr>
          <w:rFonts w:ascii="Times New Roman" w:cs="Times New Roman" w:eastAsia="Times New Roman" w:hAnsi="Times New Roman"/>
          <w:b w:val="1"/>
          <w:sz w:val="24"/>
          <w:szCs w:val="24"/>
          <w:rtl w:val="0"/>
        </w:rPr>
        <w:t xml:space="preserve">Essa violência mal-dita</w:t>
      </w:r>
      <w:r w:rsidDel="00000000" w:rsidR="00000000" w:rsidRPr="00000000">
        <w:rPr>
          <w:rFonts w:ascii="Times New Roman" w:cs="Times New Roman" w:eastAsia="Times New Roman" w:hAnsi="Times New Roman"/>
          <w:sz w:val="24"/>
          <w:szCs w:val="24"/>
          <w:rtl w:val="0"/>
        </w:rPr>
        <w:t xml:space="preserve">. In: Suely de Souza de Almeida (Org.) Essa violência mal-dita. 1ª ed. Rio de Janeiro. Editora UFRJ, 2007, v.1, p.23-41.</w:t>
      </w:r>
    </w:p>
    <w:p w:rsidR="00000000" w:rsidDel="00000000" w:rsidP="00000000" w:rsidRDefault="00000000" w:rsidRPr="00000000" w14:paraId="000009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ARENDT, Hannah. Sobre a Violência. Rio de Janeiro: Relume-Dumará, 1994.</w:t>
      </w:r>
    </w:p>
    <w:p w:rsidR="00000000" w:rsidDel="00000000" w:rsidP="00000000" w:rsidRDefault="00000000" w:rsidRPr="00000000" w14:paraId="000009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AUGUSTO, Cristiane Brandão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Feminicídio: colunas partidas do sistema penal. </w:t>
      </w:r>
      <w:r w:rsidDel="00000000" w:rsidR="00000000" w:rsidRPr="00000000">
        <w:rPr>
          <w:rFonts w:ascii="Times New Roman" w:cs="Times New Roman" w:eastAsia="Times New Roman" w:hAnsi="Times New Roman"/>
          <w:b w:val="1"/>
          <w:sz w:val="24"/>
          <w:szCs w:val="24"/>
          <w:rtl w:val="0"/>
        </w:rPr>
        <w:t xml:space="preserve">Revista Brasileira de Ciências Criminais</w:t>
      </w:r>
      <w:r w:rsidDel="00000000" w:rsidR="00000000" w:rsidRPr="00000000">
        <w:rPr>
          <w:rFonts w:ascii="Times New Roman" w:cs="Times New Roman" w:eastAsia="Times New Roman" w:hAnsi="Times New Roman"/>
          <w:sz w:val="24"/>
          <w:szCs w:val="24"/>
          <w:rtl w:val="0"/>
        </w:rPr>
        <w:t xml:space="preserve">, São Paulo, ano 27, v. 153, p. 207-242, mar. 2019.</w:t>
      </w:r>
    </w:p>
    <w:p w:rsidR="00000000" w:rsidDel="00000000" w:rsidP="00000000" w:rsidRDefault="00000000" w:rsidRPr="00000000" w14:paraId="0000097A">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CURIEL, Ochy. Construindo metodologias feministas a partir do feminismo decolonial.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HOLLANDA, Heloisa Buarque de (org.). </w:t>
      </w:r>
      <w:r w:rsidDel="00000000" w:rsidR="00000000" w:rsidRPr="00000000">
        <w:rPr>
          <w:rFonts w:ascii="Times New Roman" w:cs="Times New Roman" w:eastAsia="Times New Roman" w:hAnsi="Times New Roman"/>
          <w:b w:val="1"/>
          <w:sz w:val="24"/>
          <w:szCs w:val="24"/>
          <w:rtl w:val="0"/>
        </w:rPr>
        <w:t xml:space="preserve">Pensamento feminista hoje</w:t>
      </w:r>
      <w:r w:rsidDel="00000000" w:rsidR="00000000" w:rsidRPr="00000000">
        <w:rPr>
          <w:rFonts w:ascii="Times New Roman" w:cs="Times New Roman" w:eastAsia="Times New Roman" w:hAnsi="Times New Roman"/>
          <w:sz w:val="24"/>
          <w:szCs w:val="24"/>
          <w:rtl w:val="0"/>
        </w:rPr>
        <w:t xml:space="preserve">: perspectivas decoloniais. Rio de Janeiro: Bazar do Tempo, 2020. p. 121-138.</w:t>
      </w:r>
    </w:p>
    <w:p w:rsidR="00000000" w:rsidDel="00000000" w:rsidP="00000000" w:rsidRDefault="00000000" w:rsidRPr="00000000" w14:paraId="000009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Isabel Solysko. </w:t>
      </w:r>
      <w:r w:rsidDel="00000000" w:rsidR="00000000" w:rsidRPr="00000000">
        <w:rPr>
          <w:rFonts w:ascii="Times New Roman" w:cs="Times New Roman" w:eastAsia="Times New Roman" w:hAnsi="Times New Roman"/>
          <w:b w:val="1"/>
          <w:sz w:val="24"/>
          <w:szCs w:val="24"/>
          <w:rtl w:val="0"/>
        </w:rPr>
        <w:t xml:space="preserve">Feminicídios: um longo debate</w:t>
      </w:r>
      <w:r w:rsidDel="00000000" w:rsidR="00000000" w:rsidRPr="00000000">
        <w:rPr>
          <w:rFonts w:ascii="Times New Roman" w:cs="Times New Roman" w:eastAsia="Times New Roman" w:hAnsi="Times New Roman"/>
          <w:sz w:val="24"/>
          <w:szCs w:val="24"/>
          <w:rtl w:val="0"/>
        </w:rPr>
        <w:t xml:space="preserve">. Revista Estudos Feministas. Vol 26, n. 2, Florianópolis, 2018.</w:t>
      </w:r>
    </w:p>
    <w:p w:rsidR="00000000" w:rsidDel="00000000" w:rsidP="00000000" w:rsidRDefault="00000000" w:rsidRPr="00000000" w14:paraId="000009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LAGARDE, Marcela. Del femicidio al feminicidio. Texto editado de la Conferencia “Proyeto de ley por el derecho de las mujeres a uma vida libre de violenia en Mexico.” Universidade Nacional de Colombia, agosto de 2006.</w:t>
      </w:r>
    </w:p>
    <w:p w:rsidR="00000000" w:rsidDel="00000000" w:rsidP="00000000" w:rsidRDefault="00000000" w:rsidRPr="00000000" w14:paraId="000009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LUGONES, María. </w:t>
      </w:r>
      <w:r w:rsidDel="00000000" w:rsidR="00000000" w:rsidRPr="00000000">
        <w:rPr>
          <w:rFonts w:ascii="Times New Roman" w:cs="Times New Roman" w:eastAsia="Times New Roman" w:hAnsi="Times New Roman"/>
          <w:b w:val="1"/>
          <w:sz w:val="24"/>
          <w:szCs w:val="24"/>
          <w:rtl w:val="0"/>
        </w:rPr>
        <w:t xml:space="preserve">Colonialidade e gênero</w:t>
      </w:r>
      <w:r w:rsidDel="00000000" w:rsidR="00000000" w:rsidRPr="00000000">
        <w:rPr>
          <w:rFonts w:ascii="Times New Roman" w:cs="Times New Roman" w:eastAsia="Times New Roman" w:hAnsi="Times New Roman"/>
          <w:sz w:val="24"/>
          <w:szCs w:val="24"/>
          <w:rtl w:val="0"/>
        </w:rPr>
        <w:t xml:space="preserve">. In. Org. HOLLANDA, Heloisa Buarque. Pensamento feminista hoje: perspectivas decoloniais. Rio de Janeiro, 2020, p.53-82.</w:t>
      </w:r>
    </w:p>
    <w:p w:rsidR="00000000" w:rsidDel="00000000" w:rsidP="00000000" w:rsidRDefault="00000000" w:rsidRPr="00000000" w14:paraId="000009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MARQUES, Maria Celeste S.; VARGAS, Juliana C. Mulheres em situação de violência e trabalhos domésticos: vulnerabilidades e escravização. In: </w:t>
      </w:r>
      <w:r w:rsidDel="00000000" w:rsidR="00000000" w:rsidRPr="00000000">
        <w:rPr>
          <w:rFonts w:ascii="Times New Roman" w:cs="Times New Roman" w:eastAsia="Times New Roman" w:hAnsi="Times New Roman"/>
          <w:b w:val="1"/>
          <w:sz w:val="24"/>
          <w:szCs w:val="24"/>
          <w:rtl w:val="0"/>
        </w:rPr>
        <w:t xml:space="preserve">Trabalho escravo contemporâneo e resistência em tempos de pandemia</w:t>
      </w:r>
      <w:r w:rsidDel="00000000" w:rsidR="00000000" w:rsidRPr="00000000">
        <w:rPr>
          <w:rFonts w:ascii="Times New Roman" w:cs="Times New Roman" w:eastAsia="Times New Roman" w:hAnsi="Times New Roman"/>
          <w:sz w:val="24"/>
          <w:szCs w:val="24"/>
          <w:rtl w:val="0"/>
        </w:rPr>
        <w:t xml:space="preserve">. FIGUEIRA, Ricardo Rezende; MOURA, Flavia de Almeida; SUDANO, Suliane. Maranhão: EDUFMA, 202. P. 251-272.</w:t>
      </w:r>
    </w:p>
    <w:p w:rsidR="00000000" w:rsidDel="00000000" w:rsidP="00000000" w:rsidRDefault="00000000" w:rsidRPr="00000000" w14:paraId="000009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PASINATO, Wânia. “Femicídios” e as mortes de mulheres no Brasil. </w:t>
      </w:r>
      <w:r w:rsidDel="00000000" w:rsidR="00000000" w:rsidRPr="00000000">
        <w:rPr>
          <w:rFonts w:ascii="Times New Roman" w:cs="Times New Roman" w:eastAsia="Times New Roman" w:hAnsi="Times New Roman"/>
          <w:i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Cadernos Pagu</w:t>
      </w:r>
      <w:r w:rsidDel="00000000" w:rsidR="00000000" w:rsidRPr="00000000">
        <w:rPr>
          <w:rFonts w:ascii="Times New Roman" w:cs="Times New Roman" w:eastAsia="Times New Roman" w:hAnsi="Times New Roman"/>
          <w:sz w:val="24"/>
          <w:szCs w:val="24"/>
          <w:rtl w:val="0"/>
        </w:rPr>
        <w:t xml:space="preserve">, Campinas, v. 37, p. 219-246, jul./dez. 2011. Disponível em: http://www.scielo.br/pdf/cpa/n37/a08n37.pdf. Acesso em: 28 abr. 2020.</w:t>
      </w:r>
    </w:p>
    <w:p w:rsidR="00000000" w:rsidDel="00000000" w:rsidP="00000000" w:rsidRDefault="00000000" w:rsidRPr="00000000" w14:paraId="000009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SAFFIOTI, Heleieth. Contribuições feministas para o estudo da violência de gênero. </w:t>
      </w:r>
      <w:r w:rsidDel="00000000" w:rsidR="00000000" w:rsidRPr="00000000">
        <w:rPr>
          <w:rFonts w:ascii="Times New Roman" w:cs="Times New Roman" w:eastAsia="Times New Roman" w:hAnsi="Times New Roman"/>
          <w:i w:val="1"/>
          <w:sz w:val="24"/>
          <w:szCs w:val="24"/>
          <w:rtl w:val="0"/>
        </w:rPr>
        <w:t xml:space="preserve">In: Cadernos Pagu</w:t>
      </w:r>
      <w:r w:rsidDel="00000000" w:rsidR="00000000" w:rsidRPr="00000000">
        <w:rPr>
          <w:rFonts w:ascii="Times New Roman" w:cs="Times New Roman" w:eastAsia="Times New Roman" w:hAnsi="Times New Roman"/>
          <w:sz w:val="24"/>
          <w:szCs w:val="24"/>
          <w:rtl w:val="0"/>
        </w:rPr>
        <w:t xml:space="preserve">, 16, Campinas: Unicamp, 2001, p. 115-136.</w:t>
      </w:r>
    </w:p>
    <w:p w:rsidR="00000000" w:rsidDel="00000000" w:rsidP="00000000" w:rsidRDefault="00000000" w:rsidRPr="00000000" w14:paraId="000009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9">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SCOTT, Joan. Gênero: uma categoria útil de análise histórica. </w:t>
      </w:r>
      <w:r w:rsidDel="00000000" w:rsidR="00000000" w:rsidRPr="00000000">
        <w:rPr>
          <w:rFonts w:ascii="Times New Roman" w:cs="Times New Roman" w:eastAsia="Times New Roman" w:hAnsi="Times New Roman"/>
          <w:b w:val="1"/>
          <w:sz w:val="24"/>
          <w:szCs w:val="24"/>
          <w:rtl w:val="0"/>
        </w:rPr>
        <w:t xml:space="preserve">Educação e Realidade</w:t>
      </w:r>
      <w:r w:rsidDel="00000000" w:rsidR="00000000" w:rsidRPr="00000000">
        <w:rPr>
          <w:rFonts w:ascii="Times New Roman" w:cs="Times New Roman" w:eastAsia="Times New Roman" w:hAnsi="Times New Roman"/>
          <w:sz w:val="24"/>
          <w:szCs w:val="24"/>
          <w:rtl w:val="0"/>
        </w:rPr>
        <w:t xml:space="preserve">, Rio Grande do Sul, v. 20, n. 2, p. 71-99, jul./dez. 1995. Disponível em:</w:t>
      </w:r>
      <w:r w:rsidDel="00000000" w:rsidR="00000000" w:rsidRPr="00000000">
        <w:rPr>
          <w:rtl w:val="0"/>
        </w:rPr>
      </w:r>
    </w:p>
    <w:p w:rsidR="00000000" w:rsidDel="00000000" w:rsidP="00000000" w:rsidRDefault="00000000" w:rsidRPr="00000000" w14:paraId="000009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https://seer.ufrgs.br/index.php/educacaoerealidade/article/view/71721. Acesso em: 03 nov.</w:t>
      </w:r>
    </w:p>
    <w:p w:rsidR="00000000" w:rsidDel="00000000" w:rsidP="00000000" w:rsidRDefault="00000000" w:rsidRPr="00000000" w14:paraId="000009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p w:rsidR="00000000" w:rsidDel="00000000" w:rsidP="00000000" w:rsidRDefault="00000000" w:rsidRPr="00000000" w14:paraId="0000098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Laura. “Femi-geno-cidio como crimen en el fuero internacional de los Derechos Humanos: el derecho a nombrar el sufrimiento en el derecho”. In: FREGOSO, Rosa Linda; BEJARANO, Cynthia (Orgs). Feminicídio en América Latina. Diversidad Feminista. CEIICH/UNAM: Cidade do México, 2011.</w:t>
      </w:r>
    </w:p>
    <w:p w:rsidR="00000000" w:rsidDel="00000000" w:rsidP="00000000" w:rsidRDefault="00000000" w:rsidRPr="00000000" w14:paraId="0000098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Laura. </w:t>
      </w:r>
      <w:r w:rsidDel="00000000" w:rsidR="00000000" w:rsidRPr="00000000">
        <w:rPr>
          <w:rFonts w:ascii="Times New Roman" w:cs="Times New Roman" w:eastAsia="Times New Roman" w:hAnsi="Times New Roman"/>
          <w:b w:val="1"/>
          <w:sz w:val="24"/>
          <w:szCs w:val="24"/>
          <w:rtl w:val="0"/>
        </w:rPr>
        <w:t xml:space="preserve">Que és un feminicidio</w:t>
      </w:r>
      <w:r w:rsidDel="00000000" w:rsidR="00000000" w:rsidRPr="00000000">
        <w:rPr>
          <w:rFonts w:ascii="Times New Roman" w:cs="Times New Roman" w:eastAsia="Times New Roman" w:hAnsi="Times New Roman"/>
          <w:sz w:val="24"/>
          <w:szCs w:val="24"/>
          <w:rtl w:val="0"/>
        </w:rPr>
        <w:t xml:space="preserve">. Notas para un debate emergente. Brasília, DF:Universidade de Brasília, 2006. (Série Antropologia, 401). Disponível em:</w:t>
      </w:r>
    </w:p>
    <w:p w:rsidR="00000000" w:rsidDel="00000000" w:rsidP="00000000" w:rsidRDefault="00000000" w:rsidRPr="00000000" w14:paraId="000009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https://www.nodo50.org/codoacodo/enero2010/segato.pdf. Acesso em: 03 nov. 2021</w:t>
      </w:r>
    </w:p>
    <w:p w:rsidR="00000000" w:rsidDel="00000000" w:rsidP="00000000" w:rsidRDefault="00000000" w:rsidRPr="00000000" w14:paraId="0000099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RAGO, Margareth. </w:t>
      </w:r>
      <w:r w:rsidDel="00000000" w:rsidR="00000000" w:rsidRPr="00000000">
        <w:rPr>
          <w:rFonts w:ascii="Times New Roman" w:cs="Times New Roman" w:eastAsia="Times New Roman" w:hAnsi="Times New Roman"/>
          <w:b w:val="1"/>
          <w:sz w:val="24"/>
          <w:szCs w:val="24"/>
          <w:rtl w:val="0"/>
        </w:rPr>
        <w:t xml:space="preserve">Espistemologia feminista: gênero e história</w:t>
      </w:r>
      <w:r w:rsidDel="00000000" w:rsidR="00000000" w:rsidRPr="00000000">
        <w:rPr>
          <w:rFonts w:ascii="Times New Roman" w:cs="Times New Roman" w:eastAsia="Times New Roman" w:hAnsi="Times New Roman"/>
          <w:sz w:val="24"/>
          <w:szCs w:val="24"/>
          <w:rtl w:val="0"/>
        </w:rPr>
        <w:t xml:space="preserve">. In: Pedro, Joana; Grossi, Miriam (Orgs.) Masculino, Feminino, Plural. Florianópolis: Ed. Mulheres, 1998.</w:t>
      </w:r>
    </w:p>
    <w:p w:rsidR="00000000" w:rsidDel="00000000" w:rsidP="00000000" w:rsidRDefault="00000000" w:rsidRPr="00000000" w14:paraId="0000099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VASQUEZ, Patsili Toledo. </w:t>
      </w:r>
      <w:r w:rsidDel="00000000" w:rsidR="00000000" w:rsidRPr="00000000">
        <w:rPr>
          <w:rFonts w:ascii="Times New Roman" w:cs="Times New Roman" w:eastAsia="Times New Roman" w:hAnsi="Times New Roman"/>
          <w:b w:val="1"/>
          <w:sz w:val="24"/>
          <w:szCs w:val="24"/>
          <w:rtl w:val="0"/>
        </w:rPr>
        <w:t xml:space="preserve">Tipificar el feminicídio? </w:t>
      </w:r>
      <w:r w:rsidDel="00000000" w:rsidR="00000000" w:rsidRPr="00000000">
        <w:rPr>
          <w:rFonts w:ascii="Times New Roman" w:cs="Times New Roman" w:eastAsia="Times New Roman" w:hAnsi="Times New Roman"/>
          <w:sz w:val="24"/>
          <w:szCs w:val="24"/>
          <w:rtl w:val="0"/>
        </w:rPr>
        <w:t xml:space="preserve">Anuario de Derechos Humanos, 2008. p.213-219. Disponível em&lt;http://</w:t>
      </w:r>
      <w:hyperlink r:id="rId160">
        <w:r w:rsidDel="00000000" w:rsidR="00000000" w:rsidRPr="00000000">
          <w:rPr>
            <w:rFonts w:ascii="Times New Roman" w:cs="Times New Roman" w:eastAsia="Times New Roman" w:hAnsi="Times New Roman"/>
            <w:color w:val="000000"/>
            <w:sz w:val="24"/>
            <w:szCs w:val="24"/>
            <w:u w:val="single"/>
            <w:rtl w:val="0"/>
          </w:rPr>
          <w:t xml:space="preserve">www.anuariocdh.uchile.cl</w:t>
        </w:r>
      </w:hyperlink>
      <w:r w:rsidDel="00000000" w:rsidR="00000000" w:rsidRPr="00000000">
        <w:rPr>
          <w:rFonts w:ascii="Times New Roman" w:cs="Times New Roman" w:eastAsia="Times New Roman" w:hAnsi="Times New Roman"/>
          <w:sz w:val="24"/>
          <w:szCs w:val="24"/>
          <w:rtl w:val="0"/>
        </w:rPr>
        <w:t xml:space="preserve">.&gt;</w:t>
      </w:r>
    </w:p>
    <w:p w:rsidR="00000000" w:rsidDel="00000000" w:rsidP="00000000" w:rsidRDefault="00000000" w:rsidRPr="00000000" w14:paraId="0000099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6">
      <w:pPr>
        <w:rPr/>
      </w:pPr>
      <w:r w:rsidDel="00000000" w:rsidR="00000000" w:rsidRPr="00000000">
        <w:rPr>
          <w:rtl w:val="0"/>
        </w:rPr>
      </w:r>
    </w:p>
    <w:sectPr>
      <w:footerReference r:id="rId161" w:type="default"/>
      <w:pgSz w:h="16838" w:w="11906" w:orient="portrait"/>
      <w:pgMar w:bottom="1418" w:top="1701" w:left="1418"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ulia Moulin" w:id="0" w:date="2023-10-11T00:04:00Z">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 da autora apenas com a primeira letra maiúscula</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Pós-Doutora pelo Centro de Investigaciones y Estudios de Género da Universidad Nacional Autónoma de México (CIEG-UNAM). Professora do Programa de Pós-graduação d</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Políticas Públicas em Direitos Humanos (PPDH/UFRJ) e de Direito Penal e Criminologia da Faculdade Nacional de Direito, ambos da Universidade Federal do Rio de Janeiro (FND/UFRJ). Email: pedipe@gmail.com</w:t>
      </w:r>
      <w:r w:rsidDel="00000000" w:rsidR="00000000" w:rsidRPr="00000000">
        <w:rPr>
          <w:rtl w:val="0"/>
        </w:rPr>
      </w:r>
    </w:p>
  </w:footnote>
  <w:footnote w:id="1">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Mestr</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 Políticas Públicas em Direitos </w:t>
      </w:r>
      <w:r w:rsidDel="00000000" w:rsidR="00000000" w:rsidRPr="00000000">
        <w:rPr>
          <w:rFonts w:ascii="Times New Roman" w:cs="Times New Roman" w:eastAsia="Times New Roman" w:hAnsi="Times New Roman"/>
          <w:sz w:val="20"/>
          <w:szCs w:val="20"/>
          <w:rtl w:val="0"/>
        </w:rPr>
        <w:t xml:space="preserve">Humanos pelo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Programa de Pós-graduação do Núcleo de Políticas Públicas em Direitos Humanos (NEPP-DH/UFRJ). Pós-graduada em Criminologia, Direito Penal e Processo Penal (UCAM/RJ). Advogada criminalista. Email: robertamirandaa@gmail.com</w:t>
      </w:r>
      <w:r w:rsidDel="00000000" w:rsidR="00000000" w:rsidRPr="00000000">
        <w:rPr>
          <w:rtl w:val="0"/>
        </w:rPr>
      </w:r>
    </w:p>
  </w:footnote>
  <w:footnote w:id="2">
    <w:p w:rsidR="00000000" w:rsidDel="00000000" w:rsidP="00000000" w:rsidRDefault="00000000" w:rsidRPr="00000000" w14:paraId="00000999">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“A Justiça Restaurativa faz sua aparição no Brasil nas primeiras décadas do século 21, e é oficialmente traduzida pelo Poder Judiciário a partir do ano de 2005, dando origem a uma Justiça Restaurativa judicial, cuja trajetória pode ser mapeada em dois tempos contínuos: a) o tempo da autodenominada “implantação”, que tem como marco os três projetos-piloto (São Paulo, Rio Grande do Sul e Distrito Federal) e cobre um período aproximado de cinco anos (2005-2010); e b) o tempo da “institucionalização-expansão” que, tendo como marco a Resolução n. 125/2010, seguida da Resolução n. 225/2016, ambas do Conselho Nacional de Justiça, cobre a segunda década do século 21 (2010-2017), estando no momento em curso” </w:t>
      </w:r>
      <w:r w:rsidDel="00000000" w:rsidR="00000000" w:rsidRPr="00000000">
        <w:rPr>
          <w:rFonts w:ascii="Times New Roman" w:cs="Times New Roman" w:eastAsia="Times New Roman" w:hAnsi="Times New Roman"/>
          <w:sz w:val="20"/>
          <w:szCs w:val="20"/>
          <w:rtl w:val="0"/>
        </w:rPr>
        <w:t xml:space="preserve">(CNJ, 2018b, p. 113)</w:t>
      </w:r>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tl w:val="0"/>
        </w:rPr>
      </w:r>
    </w:p>
  </w:footnote>
  <w:footnote w:id="3">
    <w:p w:rsidR="00000000" w:rsidDel="00000000" w:rsidP="00000000" w:rsidRDefault="00000000" w:rsidRPr="00000000" w14:paraId="0000099A">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“Restorative Justice is a problem-solving approach which involves the parties themselves, and the community generally, in an active relationship with statutory agencies. It is not any particular practice, but a set of principles which may orientate general practices of any agency or group in relation to crime” </w:t>
      </w:r>
      <w:r w:rsidDel="00000000" w:rsidR="00000000" w:rsidRPr="00000000">
        <w:rPr>
          <w:rFonts w:ascii="Times New Roman" w:cs="Times New Roman" w:eastAsia="Times New Roman" w:hAnsi="Times New Roman"/>
          <w:sz w:val="20"/>
          <w:szCs w:val="20"/>
          <w:rtl w:val="0"/>
        </w:rPr>
        <w:t xml:space="preserve">(Marshall, 1999, p. 5).</w:t>
      </w:r>
      <w:r w:rsidDel="00000000" w:rsidR="00000000" w:rsidRPr="00000000">
        <w:rPr>
          <w:rtl w:val="0"/>
        </w:rPr>
      </w:r>
    </w:p>
  </w:footnote>
  <w:footnote w:id="4">
    <w:p w:rsidR="00000000" w:rsidDel="00000000" w:rsidP="00000000" w:rsidRDefault="00000000" w:rsidRPr="00000000" w14:paraId="0000099B">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“Restorative Justice is a process whereby parties with a stake in a specific offence collectively resolve how to deal with the aftermath of the offence and its implications for the future” </w:t>
      </w:r>
      <w:r w:rsidDel="00000000" w:rsidR="00000000" w:rsidRPr="00000000">
        <w:rPr>
          <w:rFonts w:ascii="Times New Roman" w:cs="Times New Roman" w:eastAsia="Times New Roman" w:hAnsi="Times New Roman"/>
          <w:sz w:val="20"/>
          <w:szCs w:val="20"/>
          <w:rtl w:val="0"/>
        </w:rPr>
        <w:t xml:space="preserve">(Marshall, 1999, p. 5)</w:t>
      </w:r>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tl w:val="0"/>
        </w:rPr>
      </w:r>
    </w:p>
  </w:footnote>
  <w:footnote w:id="5">
    <w:p w:rsidR="00000000" w:rsidDel="00000000" w:rsidP="00000000" w:rsidRDefault="00000000" w:rsidRPr="00000000" w14:paraId="0000099C">
      <w:pPr>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Várias fontes teóricas e de militância política contribuíram para a ideia de processos restaurativos: o comunitarismo, o movimento de vítimas, o movimento desencarcerador, os movimentos de emancipação de povos indígenas, etc. (CNJ, 2018a, p. 251).</w:t>
      </w:r>
      <w:r w:rsidDel="00000000" w:rsidR="00000000" w:rsidRPr="00000000">
        <w:rPr>
          <w:rtl w:val="0"/>
        </w:rPr>
      </w:r>
    </w:p>
  </w:footnote>
  <w:footnote w:id="6">
    <w:p w:rsidR="00000000" w:rsidDel="00000000" w:rsidP="00000000" w:rsidRDefault="00000000" w:rsidRPr="00000000" w14:paraId="0000099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Embora uma análise comparativa seja de extrema complexidade, visto as diferenças nos sistemas processuais dos países que adotam a Justiça Restaurativa, além dos distintos e variados marcos teóricos, métodos e práticas. </w:t>
      </w:r>
    </w:p>
  </w:footnote>
  <w:footnote w:id="7">
    <w:p w:rsidR="00000000" w:rsidDel="00000000" w:rsidP="00000000" w:rsidRDefault="00000000" w:rsidRPr="00000000" w14:paraId="0000099E">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“Dessa forma, ainda que sejam diversificados os marcos teóricos, conceitos, metodologias e técnicas citados em campo como fundamento dos Programas, observou-se a hegemonia internacional de Howard Zehr (teoria das Lentes) e Kay Pranis (círculos da paz) como marcos teórico-metodológicos, conjuntamente com Dominic Barter e Marshall Rosemberg (comunicação-não-violenta). Como pano de fundo, aparece a cultura da paz, que funciona como ‘[...] uma espécie de guarda-chuva das inteligências coletivas restauradoras’ (PELIZZOLI, 2016, p.13-43). Essa é a triangulação que melhor imprime um rosto teórico-prático ao campo da Justiça Restaurativa Judicial brasileira” </w:t>
      </w:r>
      <w:r w:rsidDel="00000000" w:rsidR="00000000" w:rsidRPr="00000000">
        <w:rPr>
          <w:rFonts w:ascii="Times New Roman" w:cs="Times New Roman" w:eastAsia="Times New Roman" w:hAnsi="Times New Roman"/>
          <w:sz w:val="20"/>
          <w:szCs w:val="20"/>
          <w:rtl w:val="0"/>
        </w:rPr>
        <w:t xml:space="preserve">(CNJ, 2018b, p. 116)</w:t>
      </w:r>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tl w:val="0"/>
        </w:rPr>
      </w:r>
    </w:p>
  </w:footnote>
  <w:footnote w:id="8">
    <w:p w:rsidR="00000000" w:rsidDel="00000000" w:rsidP="00000000" w:rsidRDefault="00000000" w:rsidRPr="00000000" w14:paraId="0000099F">
      <w:pPr>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Usaremos a sigla ‘VD’ para nos referirmos a esses três contextos de violência contra mulheres e meninas.  </w:t>
      </w:r>
      <w:r w:rsidDel="00000000" w:rsidR="00000000" w:rsidRPr="00000000">
        <w:rPr>
          <w:rtl w:val="0"/>
        </w:rPr>
      </w:r>
    </w:p>
  </w:footnote>
  <w:footnote w:id="9">
    <w:p w:rsidR="00000000" w:rsidDel="00000000" w:rsidP="00000000" w:rsidRDefault="00000000" w:rsidRPr="00000000" w14:paraId="000009A0">
      <w:pPr>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Um exemplo é a aplicação da chamada “constelação familiar” nas Varas de Família, inspirada nos estudos do alemão Bert Hellinger (1925-2019), que defendia que, ao buscar a terapia, um indivíduo carrega também suas histórias, família e crenças, que devem ser compreendidos em conjunto. O Conselho Nacional de Justiça entende que a aplicação das constelações familiares no Poder Judiciário se coaduna com as práticas restaurativas, conforme informação retirada da página oficial do CNJ na internet  (CNJ, 2018c).</w:t>
      </w:r>
      <w:r w:rsidDel="00000000" w:rsidR="00000000" w:rsidRPr="00000000">
        <w:rPr>
          <w:rtl w:val="0"/>
        </w:rPr>
      </w:r>
    </w:p>
    <w:p w:rsidR="00000000" w:rsidDel="00000000" w:rsidP="00000000" w:rsidRDefault="00000000" w:rsidRPr="00000000" w14:paraId="000009A1">
      <w:pPr>
        <w:spacing w:after="0" w:line="240" w:lineRule="auto"/>
        <w:jc w:val="both"/>
        <w:rPr/>
      </w:pPr>
      <w:r w:rsidDel="00000000" w:rsidR="00000000" w:rsidRPr="00000000">
        <w:rPr>
          <w:rFonts w:ascii="Times New Roman" w:cs="Times New Roman" w:eastAsia="Times New Roman" w:hAnsi="Times New Roman"/>
          <w:sz w:val="20"/>
          <w:szCs w:val="20"/>
          <w:rtl w:val="0"/>
        </w:rPr>
        <w:t xml:space="preserve">No entanto, o Conselho Federal de Psicologia, por meio da Nota Técnica nº 1/2023, destaca incongruências éticas e de conduta profissional no uso desse tipo de psicoterapia, que se utiliza da violência para restabelecer hierarquias, “</w:t>
      </w:r>
      <w:r w:rsidDel="00000000" w:rsidR="00000000" w:rsidRPr="00000000">
        <w:rPr>
          <w:rFonts w:ascii="Times New Roman" w:cs="Times New Roman" w:eastAsia="Times New Roman" w:hAnsi="Times New Roman"/>
          <w:i w:val="1"/>
          <w:sz w:val="20"/>
          <w:szCs w:val="20"/>
          <w:rtl w:val="0"/>
        </w:rPr>
        <w:t xml:space="preserve">inclusive atribuindo a meninas e mulheres a responsabilidade pela violência sofrida</w:t>
      </w:r>
      <w:r w:rsidDel="00000000" w:rsidR="00000000" w:rsidRPr="00000000">
        <w:rPr>
          <w:rFonts w:ascii="Times New Roman" w:cs="Times New Roman" w:eastAsia="Times New Roman" w:hAnsi="Times New Roman"/>
          <w:sz w:val="20"/>
          <w:szCs w:val="20"/>
          <w:rtl w:val="0"/>
        </w:rPr>
        <w:t xml:space="preserve">”, além de informar que o método não apresenta conhecimento técnico suficiente para lidar com os estados de sofrimento e desorganização psíquica que podem ser gerados por esses encontros forçados entre as vítimas e seus familiares agressores.</w:t>
        <w:tab/>
        <w:t xml:space="preserve"> </w:t>
      </w:r>
      <w:r w:rsidDel="00000000" w:rsidR="00000000" w:rsidRPr="00000000">
        <w:rPr>
          <w:rtl w:val="0"/>
        </w:rPr>
      </w:r>
    </w:p>
  </w:footnote>
  <w:footnote w:id="10">
    <w:p w:rsidR="00000000" w:rsidDel="00000000" w:rsidP="00000000" w:rsidRDefault="00000000" w:rsidRPr="00000000" w14:paraId="000009A2">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Neste trabalho, nos ateremos à violência doméstica. Contudo, as dimensões da violência de gênero são inúmeras e, certamente, ensejarão outras reflexões e publicações. Vide, por exemplo, Campos; Padão, 2023. </w:t>
      </w:r>
      <w:r w:rsidDel="00000000" w:rsidR="00000000" w:rsidRPr="00000000">
        <w:rPr>
          <w:sz w:val="20"/>
          <w:szCs w:val="20"/>
          <w:rtl w:val="0"/>
        </w:rPr>
        <w:t xml:space="preserve"> </w:t>
      </w:r>
      <w:r w:rsidDel="00000000" w:rsidR="00000000" w:rsidRPr="00000000">
        <w:rPr>
          <w:rtl w:val="0"/>
        </w:rPr>
      </w:r>
    </w:p>
  </w:footnote>
  <w:footnote w:id="11">
    <w:p w:rsidR="00000000" w:rsidDel="00000000" w:rsidP="00000000" w:rsidRDefault="00000000" w:rsidRPr="00000000" w14:paraId="000009A3">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Inicialmente, o art. 61, da Lei 9.099/95, considerava</w:t>
      </w:r>
      <w:r w:rsidDel="00000000" w:rsidR="00000000" w:rsidRPr="00000000">
        <w:rPr>
          <w:rFonts w:ascii="Times New Roman" w:cs="Times New Roman" w:eastAsia="Times New Roman" w:hAnsi="Times New Roman"/>
          <w:sz w:val="20"/>
          <w:szCs w:val="20"/>
          <w:highlight w:val="white"/>
          <w:rtl w:val="0"/>
        </w:rPr>
        <w:t xml:space="preserve"> infrações penais de menor potencial ofensivo as contravenções penais e os crimes a que a lei cominasse pena máxima não superior a 1 ano. A redação foi modificada em 2006, pela Lei 11.313.</w:t>
      </w:r>
      <w:r w:rsidDel="00000000" w:rsidR="00000000" w:rsidRPr="00000000">
        <w:rPr>
          <w:rtl w:val="0"/>
        </w:rPr>
      </w:r>
    </w:p>
  </w:footnote>
  <w:footnote w:id="12">
    <w:p w:rsidR="00000000" w:rsidDel="00000000" w:rsidP="00000000" w:rsidRDefault="00000000" w:rsidRPr="00000000" w14:paraId="000009A4">
      <w:pPr>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Como nesta fala do Coordenador dos JECrims do início de seu funcionamento: </w:t>
      </w:r>
      <w:r w:rsidDel="00000000" w:rsidR="00000000" w:rsidRPr="00000000">
        <w:rPr>
          <w:rFonts w:ascii="Times New Roman" w:cs="Times New Roman" w:eastAsia="Times New Roman" w:hAnsi="Times New Roman"/>
          <w:i w:val="1"/>
          <w:sz w:val="20"/>
          <w:szCs w:val="20"/>
          <w:rtl w:val="0"/>
        </w:rPr>
        <w:t xml:space="preserve">“A democratização dos Juizados Especiais Criminais está em que a parte que, antigamente, por qualquer fato tido como delituoso, respondia a um processo e dava sua satisfação social através da sua submissão à pena, ela hoje resolve o problema através de uma composição com a parte ofendida, o que otimiza sobremodo o relacionamento social. Porque é muito melhor para nós que a harmonia social seja restaurada do que alguém sair vencedor e outro vencido, quer dizer, em nível ideológico, em nível de manutenção do equilíbrio social é muito mais proveitoso que haja uma composição do que uma imposição de pena”</w:t>
      </w:r>
      <w:r w:rsidDel="00000000" w:rsidR="00000000" w:rsidRPr="00000000">
        <w:rPr>
          <w:rFonts w:ascii="Times New Roman" w:cs="Times New Roman" w:eastAsia="Times New Roman" w:hAnsi="Times New Roman"/>
          <w:sz w:val="20"/>
          <w:szCs w:val="20"/>
          <w:rtl w:val="0"/>
        </w:rPr>
        <w:t xml:space="preserve"> (Augusto, 2004, p. 137).</w:t>
      </w:r>
      <w:r w:rsidDel="00000000" w:rsidR="00000000" w:rsidRPr="00000000">
        <w:rPr>
          <w:rtl w:val="0"/>
        </w:rPr>
      </w:r>
    </w:p>
  </w:footnote>
  <w:footnote w:id="13">
    <w:p w:rsidR="00000000" w:rsidDel="00000000" w:rsidP="00000000" w:rsidRDefault="00000000" w:rsidRPr="00000000" w14:paraId="000009A5">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Art. 5º, Convenção Interamericana para prevenir, punir e erradicar a violência contra a mulher (Convenção de Belém do Pará): </w:t>
      </w:r>
      <w:r w:rsidDel="00000000" w:rsidR="00000000" w:rsidRPr="00000000">
        <w:rPr>
          <w:rFonts w:ascii="Times New Roman" w:cs="Times New Roman" w:eastAsia="Times New Roman" w:hAnsi="Times New Roman"/>
          <w:i w:val="1"/>
          <w:sz w:val="20"/>
          <w:szCs w:val="20"/>
          <w:rtl w:val="0"/>
        </w:rPr>
        <w:t xml:space="preserve">“Toda mulher poderá exercer livre e plenamente seus direitos civis, políticos, econômicos, sociais e culturais e contará com a total proteção desses direitos consagrados nos instrumentos regionais e internacionais sobre direitos humanos. Os Estados Partes reconhecem que a violência contra a mulher impede e anula o exercício desses direitos” </w:t>
      </w:r>
      <w:r w:rsidDel="00000000" w:rsidR="00000000" w:rsidRPr="00000000">
        <w:rPr>
          <w:rFonts w:ascii="Times New Roman" w:cs="Times New Roman" w:eastAsia="Times New Roman" w:hAnsi="Times New Roman"/>
          <w:sz w:val="20"/>
          <w:szCs w:val="20"/>
          <w:rtl w:val="0"/>
        </w:rPr>
        <w:t xml:space="preserve">(OEA, 1994).</w:t>
      </w:r>
      <w:r w:rsidDel="00000000" w:rsidR="00000000" w:rsidRPr="00000000">
        <w:rPr>
          <w:rtl w:val="0"/>
        </w:rPr>
      </w:r>
    </w:p>
  </w:footnote>
  <w:footnote w:id="14">
    <w:p w:rsidR="00000000" w:rsidDel="00000000" w:rsidP="00000000" w:rsidRDefault="00000000" w:rsidRPr="00000000" w14:paraId="000009A6">
      <w:pPr>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a"/>
          <w:sz w:val="20"/>
          <w:szCs w:val="20"/>
          <w:rtl w:val="0"/>
        </w:rPr>
        <w:t xml:space="preserve">Pesquisas empíricas na área das Ciências Humanas e Sociais demonstram os inúmeros obstáculos ao acesso à Justiça ainda não superados. Sucintamente, podemos identificar certos aspectos físico-estruturais (como o grande número de processos, poucos Juizados, escassa infraestrutura, número reduzido de profissionais, atmosfera inóspita, etc.), características histórico-culturais (como a diferença entre cultura jurídica oficial e cultura jurídica popular, a permanência de um padrão patriarcal de interpretação dos conflitos, os casos de culpabilização da própria vítima, a tendência ao discurso de proteção da “família”, linguajar tecnicista etc.) e problemas político-legais (como a escassez do trabalho em Rede, a falta de visão da atividade judicante como integrada a um projeto maior de Política Pública, a ausência de capacitação qualitativamente condizente com este mesmo projeto, a legislação antiga e contraditória, a falta de implementação de condições para o cumprimento da Lei Maria da Penha na integralidade etc.) (Augusto, 2015).</w:t>
      </w:r>
      <w:r w:rsidDel="00000000" w:rsidR="00000000" w:rsidRPr="00000000">
        <w:rPr>
          <w:rtl w:val="0"/>
        </w:rPr>
      </w:r>
    </w:p>
  </w:footnote>
  <w:footnote w:id="15">
    <w:p w:rsidR="00000000" w:rsidDel="00000000" w:rsidP="00000000" w:rsidRDefault="00000000" w:rsidRPr="00000000" w14:paraId="000009A7">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“Art. 30 [Lei 11.340]. Compete à equipe de atendimento multidisciplinar, entre outras atribuições que lhe forem reservadas pela legislação local, fornecer subsídios por escrito ao juiz, ao Ministério Público e à Defensoria Pública, mediante laudos ou verbalmente em audiência, e desenvolver trabalhos de orientação, encaminhamento, prevenção e outras medidas, voltados para a ofendida, o agressor e os familiares, com especial atenção às crianças e aos adolescentes” </w:t>
      </w:r>
      <w:r w:rsidDel="00000000" w:rsidR="00000000" w:rsidRPr="00000000">
        <w:rPr>
          <w:rFonts w:ascii="Times New Roman" w:cs="Times New Roman" w:eastAsia="Times New Roman" w:hAnsi="Times New Roman"/>
          <w:sz w:val="20"/>
          <w:szCs w:val="20"/>
          <w:rtl w:val="0"/>
        </w:rPr>
        <w:t xml:space="preserve">(Brasil, 2006).</w:t>
      </w:r>
      <w:r w:rsidDel="00000000" w:rsidR="00000000" w:rsidRPr="00000000">
        <w:rPr>
          <w:rtl w:val="0"/>
        </w:rPr>
      </w:r>
    </w:p>
  </w:footnote>
  <w:footnote w:id="16">
    <w:p w:rsidR="00000000" w:rsidDel="00000000" w:rsidP="00000000" w:rsidRDefault="00000000" w:rsidRPr="00000000" w14:paraId="000009A8">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“Art. 41. Aos crimes praticados com violência doméstica e familiar contra a mulher, independentemente da pena prevista, não se aplica a </w:t>
      </w:r>
      <w:hyperlink r:id="rId1">
        <w:r w:rsidDel="00000000" w:rsidR="00000000" w:rsidRPr="00000000">
          <w:rPr>
            <w:rFonts w:ascii="Times New Roman" w:cs="Times New Roman" w:eastAsia="Times New Roman" w:hAnsi="Times New Roman"/>
            <w:i w:val="1"/>
            <w:sz w:val="20"/>
            <w:szCs w:val="20"/>
            <w:rtl w:val="0"/>
          </w:rPr>
          <w:t xml:space="preserve">Lei nº 9.099, de 26 de setembro de 1995”</w:t>
        </w:r>
      </w:hyperlink>
      <w:hyperlink r:id="rId2">
        <w:r w:rsidDel="00000000" w:rsidR="00000000" w:rsidRPr="00000000">
          <w:rPr>
            <w:rFonts w:ascii="Times New Roman" w:cs="Times New Roman" w:eastAsia="Times New Roman" w:hAnsi="Times New Roman"/>
            <w:sz w:val="20"/>
            <w:szCs w:val="20"/>
            <w:rtl w:val="0"/>
          </w:rPr>
          <w:t xml:space="preserve"> (Brasil, 2006).</w:t>
        </w:r>
      </w:hyperlink>
      <w:r w:rsidDel="00000000" w:rsidR="00000000" w:rsidRPr="00000000">
        <w:rPr>
          <w:rtl w:val="0"/>
        </w:rPr>
      </w:r>
    </w:p>
  </w:footnote>
  <w:footnote w:id="17">
    <w:p w:rsidR="00000000" w:rsidDel="00000000" w:rsidP="00000000" w:rsidRDefault="00000000" w:rsidRPr="00000000" w14:paraId="000009A9">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Art. 24. </w:t>
      </w:r>
      <w:r w:rsidDel="00000000" w:rsidR="00000000" w:rsidRPr="00000000">
        <w:rPr>
          <w:rFonts w:ascii="Times New Roman" w:cs="Times New Roman" w:eastAsia="Times New Roman" w:hAnsi="Times New Roman"/>
          <w:i w:val="1"/>
          <w:sz w:val="20"/>
          <w:szCs w:val="20"/>
          <w:rtl w:val="0"/>
        </w:rPr>
        <w:t xml:space="preserve">“Fica acrescido o seguinte parágrafo ao </w:t>
      </w:r>
      <w:hyperlink r:id="rId3">
        <w:r w:rsidDel="00000000" w:rsidR="00000000" w:rsidRPr="00000000">
          <w:rPr>
            <w:rFonts w:ascii="Times New Roman" w:cs="Times New Roman" w:eastAsia="Times New Roman" w:hAnsi="Times New Roman"/>
            <w:i w:val="1"/>
            <w:sz w:val="20"/>
            <w:szCs w:val="20"/>
            <w:rtl w:val="0"/>
          </w:rPr>
          <w:t xml:space="preserve">art. 3º da Resolução CNJ 128/2011</w:t>
        </w:r>
      </w:hyperlink>
      <w:r w:rsidDel="00000000" w:rsidR="00000000" w:rsidRPr="00000000">
        <w:rPr>
          <w:rFonts w:ascii="Times New Roman" w:cs="Times New Roman" w:eastAsia="Times New Roman" w:hAnsi="Times New Roman"/>
          <w:i w:val="1"/>
          <w:sz w:val="20"/>
          <w:szCs w:val="20"/>
          <w:rtl w:val="0"/>
        </w:rPr>
        <w:t xml:space="preserve">: “§3º. Na condução de suas atividades, a Coordenadoria Estadual da Mulher em Situação de Violência Doméstica e Familiar deverá adotar, quando cabível, processos restaurativos com o intuito de promover a responsabilização dos ofensores, proteção às vítimas, bem como restauração e estabilização das relações familiares.” </w:t>
      </w:r>
      <w:r w:rsidDel="00000000" w:rsidR="00000000" w:rsidRPr="00000000">
        <w:rPr>
          <w:rFonts w:ascii="Times New Roman" w:cs="Times New Roman" w:eastAsia="Times New Roman" w:hAnsi="Times New Roman"/>
          <w:sz w:val="20"/>
          <w:szCs w:val="20"/>
          <w:rtl w:val="0"/>
        </w:rPr>
        <w:t xml:space="preserve">(CNJ, 2016).</w:t>
      </w:r>
      <w:r w:rsidDel="00000000" w:rsidR="00000000" w:rsidRPr="00000000">
        <w:rPr>
          <w:rtl w:val="0"/>
        </w:rPr>
      </w:r>
    </w:p>
  </w:footnote>
  <w:footnote w:id="18">
    <w:p w:rsidR="00000000" w:rsidDel="00000000" w:rsidP="00000000" w:rsidRDefault="00000000" w:rsidRPr="00000000" w14:paraId="000009A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Algumas dificuldades na avaliação ou monitoramento dos Programas foram apontadas por Vera Andrade no Relatório da Pesquisa Pilotando a Justiça Restaurativa (CNJ, 2018b, p. 178-179).</w:t>
      </w:r>
    </w:p>
  </w:footnote>
  <w:footnote w:id="19">
    <w:p w:rsidR="00000000" w:rsidDel="00000000" w:rsidP="00000000" w:rsidRDefault="00000000" w:rsidRPr="00000000" w14:paraId="000009AB">
      <w:pPr>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Principalmente, após a declaração de inconstitucionalidade do artigo 16 da Lei 11.340/06, em que o Supremo Tribunal Federal (STF) determinou que os crimes de lesão corporal cometidos com violência doméstica e familiar contra a mulher devem ser processados por meio de ação penal pública incondicionada.</w:t>
      </w:r>
      <w:r w:rsidDel="00000000" w:rsidR="00000000" w:rsidRPr="00000000">
        <w:rPr>
          <w:rtl w:val="0"/>
        </w:rPr>
      </w:r>
    </w:p>
  </w:footnote>
  <w:footnote w:id="20">
    <w:p w:rsidR="00000000" w:rsidDel="00000000" w:rsidP="00000000" w:rsidRDefault="00000000" w:rsidRPr="00000000" w14:paraId="000009AC">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Fonts w:ascii="Times New Roman" w:cs="Times New Roman" w:eastAsia="Times New Roman" w:hAnsi="Times New Roman"/>
          <w:i w:val="1"/>
          <w:sz w:val="20"/>
          <w:szCs w:val="20"/>
          <w:highlight w:val="white"/>
          <w:rtl w:val="0"/>
        </w:rPr>
        <w:t xml:space="preserve">Nesse sentido, pode-se dizer que a justiça restaurativa também é fruto das perspectivas criminológicas críticas (Achutti, 2014; Giamberardino, 2016; Giamberardino, 2015; Pallamolla, 2009, Carvalho, 2014d), embora persista, no país, uma prática conservadora, conforme procuramos desenvolver neste artigo. E é justamente esse desenvolvimento conservador, apesar da sua emergência na crítica, que torna necessária a afirmação um modelo restaurativo crítico, ciente das características do sistema penal e atento às precauções necessárias para evitar que a sua lógica colonizadora venha a ser replicada sob o rótulo restaurativo (Achutti, 2014; Aertsen, 2017)”. </w:t>
      </w:r>
      <w:r w:rsidDel="00000000" w:rsidR="00000000" w:rsidRPr="00000000">
        <w:rPr>
          <w:rFonts w:ascii="Times New Roman" w:cs="Times New Roman" w:eastAsia="Times New Roman" w:hAnsi="Times New Roman"/>
          <w:sz w:val="20"/>
          <w:szCs w:val="20"/>
          <w:highlight w:val="white"/>
          <w:rtl w:val="0"/>
        </w:rPr>
        <w:t xml:space="preserve">(Carvalho; Achutti, 2021, s/p).</w:t>
      </w:r>
      <w:r w:rsidDel="00000000" w:rsidR="00000000" w:rsidRPr="00000000">
        <w:rPr>
          <w:rtl w:val="0"/>
        </w:rPr>
      </w:r>
    </w:p>
  </w:footnote>
  <w:footnote w:id="21">
    <w:p w:rsidR="00000000" w:rsidDel="00000000" w:rsidP="00000000" w:rsidRDefault="00000000" w:rsidRPr="00000000" w14:paraId="000009AD">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Mais informações sobre os modelos de Justiça Restaurativa aplicados pelo Judiciário Brasileiro podem ser encontrados em: </w:t>
      </w:r>
      <w:hyperlink r:id="rId4">
        <w:r w:rsidDel="00000000" w:rsidR="00000000" w:rsidRPr="00000000">
          <w:rPr>
            <w:rFonts w:ascii="Times New Roman" w:cs="Times New Roman" w:eastAsia="Times New Roman" w:hAnsi="Times New Roman"/>
            <w:sz w:val="20"/>
            <w:szCs w:val="20"/>
            <w:u w:val="single"/>
            <w:rtl w:val="0"/>
          </w:rPr>
          <w:t xml:space="preserve">https://www.cnj.jus.br/wp-content/uploads/conteudo/arquivo/2019/06/8e6cf55c06c5593974bfb8803a8697f3.pdf</w:t>
        </w:r>
      </w:hyperlink>
      <w:r w:rsidDel="00000000" w:rsidR="00000000" w:rsidRPr="00000000">
        <w:rPr>
          <w:rtl w:val="0"/>
        </w:rPr>
      </w:r>
    </w:p>
  </w:footnote>
  <w:footnote w:id="22">
    <w:p w:rsidR="00000000" w:rsidDel="00000000" w:rsidP="00000000" w:rsidRDefault="00000000" w:rsidRPr="00000000" w14:paraId="000009AE">
      <w:pPr>
        <w:spacing w:after="0" w:line="240" w:lineRule="auto"/>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0"/>
          <w:szCs w:val="20"/>
          <w:highlight w:val="white"/>
          <w:rtl w:val="0"/>
        </w:rPr>
        <w:t xml:space="preserve">“Não sabemos se aumentaram os registros ou se, de fato, a violência recrudesceu. Sabemos que cada dia mais a família precisa de apoio e nós precisamos atuar não só resolvendo um direito, mas fazendo a Justiça, recompondo esse tecido rasgado. Um juiz é como um ativista pela paz e deve agir para restaurar e pacificar a comunidade” - </w:t>
      </w:r>
      <w:r w:rsidDel="00000000" w:rsidR="00000000" w:rsidRPr="00000000">
        <w:rPr>
          <w:rFonts w:ascii="Times New Roman" w:cs="Times New Roman" w:eastAsia="Times New Roman" w:hAnsi="Times New Roman"/>
          <w:sz w:val="20"/>
          <w:szCs w:val="20"/>
          <w:highlight w:val="white"/>
          <w:rtl w:val="0"/>
        </w:rPr>
        <w:t xml:space="preserve">Ministra Cármen Lúcia (CNJ, 2017).</w:t>
      </w:r>
      <w:r w:rsidDel="00000000" w:rsidR="00000000" w:rsidRPr="00000000">
        <w:rPr>
          <w:rtl w:val="0"/>
        </w:rPr>
      </w:r>
    </w:p>
  </w:footnote>
  <w:footnote w:id="23">
    <w:p w:rsidR="00000000" w:rsidDel="00000000" w:rsidP="00000000" w:rsidRDefault="00000000" w:rsidRPr="00000000" w14:paraId="000009A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Importante registrar que as políticas voltadas para agressores não devem interferir no orçamento público das políticas dirigidas às mulheres e meninas.</w:t>
      </w:r>
    </w:p>
  </w:footnote>
  <w:footnote w:id="24">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Graduada em Ciências Econômicas pela Pontifícia Universidade Católica do Rio de Janeiro (PUC-Rio) e Mestra em Políticas Públicas em Direitos Humanos pela Universidade Federal do Rio de Janeiro (UFRJ) com convênio internacional na Universidade Sapienza de Roma. Fez parte do corpo editorial de revista discente decolonial e estuda questões de gênero e sexualidade, com ênfase em aborto, no Brasil e na Itália. E-mail: carolcagetti@gmail.com</w:t>
      </w:r>
    </w:p>
  </w:footnote>
  <w:footnote w:id="25">
    <w:p w:rsidR="00000000" w:rsidDel="00000000" w:rsidP="00000000" w:rsidRDefault="00000000" w:rsidRPr="00000000" w14:paraId="000009B1">
      <w:pPr>
        <w:spacing w:after="0" w:line="240" w:lineRule="auto"/>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Pedagoga e assistente social, mestranda do Programa de Pós-graduação em Serviço Social da UFRJ. email: costachrisalmeida@gmail.com</w:t>
      </w:r>
      <w:r w:rsidDel="00000000" w:rsidR="00000000" w:rsidRPr="00000000">
        <w:rPr>
          <w:rtl w:val="0"/>
        </w:rPr>
      </w:r>
    </w:p>
  </w:footnote>
  <w:footnote w:id="26">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Nos três casos o governo brasileiro oferece gratuitamente o aborto legal através do Sistema Único de Saúde.</w:t>
      </w:r>
    </w:p>
  </w:footnote>
  <w:footnote w:id="27">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Hominização é o momento em que um embrião se torna ser humano: animação ou infusão da alma (Hurst, 1998).</w:t>
      </w:r>
      <w:r w:rsidDel="00000000" w:rsidR="00000000" w:rsidRPr="00000000">
        <w:rPr>
          <w:rtl w:val="0"/>
        </w:rPr>
      </w:r>
    </w:p>
  </w:footnote>
  <w:footnote w:id="28">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reconhecimento da natureza dos Direitos Reprodutivos como direitos humanos é fundamental para a reconstrução dos direitos e obrigações, que envolvem o exercício das funções reprodutivas e da sexualidade” (VENTURA, Miriam. Direitos Reprodutivos no Brasil. UNFPA, Brasília, 2009)</w:t>
      </w:r>
    </w:p>
  </w:footnote>
  <w:footnote w:id="29">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grupo Católicas pelo Direito de Decidir é uma Organização Não-governamental (ONG), fundada em 1993 por Maria José Rosado-Nunes, que se apoia na prática e teoria feministas para promover mudanças na sociedade, principalmente nos padrões culturais e religiosos. A sua atuação se articula com a rede latino-americana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Católicas por el Derecho a Decidir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com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Catholics for a Free Choice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dos Estados Unidos (ROSADO-NUNES, 1997).</w:t>
      </w:r>
    </w:p>
  </w:footnote>
  <w:footnote w:id="30">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Central Nacional de Atendimento à Mulher, criada em 2005, que auxilia e orienta mulheres em situação de violência. Está ligada ao Ministério da Mulher, da Família e dos Direitos Humanos (MMFDH). </w:t>
      </w:r>
    </w:p>
  </w:footnote>
  <w:footnote w:id="31">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O auxílio emergencial é um benefício de R$ 600,00 para garantir uma renda mínima aos brasileiros em situação mais vulnerável durante a pandemia do Covid-19 (novo coronavírus), já que muitas atividades econômicas foram gravemente afetadas pela crise. </w:t>
      </w:r>
      <w:r w:rsidDel="00000000" w:rsidR="00000000" w:rsidRPr="00000000">
        <w:rPr>
          <w:rtl w:val="0"/>
        </w:rPr>
      </w:r>
    </w:p>
  </w:footnote>
  <w:footnote w:id="32">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Basuras é uma coletiva latino-americana que produz conteúdos elaborados a partir de uma perspectiva feminista e anticapitalista de assuntos diversos como meio ambiente, política, corpos dissidentes, autonomia popular, direitos humanos, entre outros. A coletiva nasce no Brasil, durante as eleições presidenciais de 2018 com campanhas informativas nas ruas sobre política e fake news. </w:t>
      </w:r>
      <w:r w:rsidDel="00000000" w:rsidR="00000000" w:rsidRPr="00000000">
        <w:rPr>
          <w:rtl w:val="0"/>
        </w:rPr>
      </w:r>
    </w:p>
  </w:footnote>
  <w:footnote w:id="33">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color w:val="222222"/>
          <w:sz w:val="20"/>
          <w:szCs w:val="20"/>
          <w:highlight w:val="white"/>
          <w:rtl w:val="0"/>
        </w:rPr>
        <w:t xml:space="preserve">Graduada, licenciada e mestre em Psicologia pela Universidade Federal do Rio de Janeiro. Discente no curso de Doutorado em Saúde Coletiva no Instituto de Medicina Social da Universidade do Estado do Rio de Janeiro. Contato: </w:t>
      </w:r>
      <w:r w:rsidDel="00000000" w:rsidR="00000000" w:rsidRPr="00000000">
        <w:rPr>
          <w:rFonts w:ascii="Times New Roman" w:cs="Times New Roman" w:eastAsia="Times New Roman" w:hAnsi="Times New Roman"/>
          <w:color w:val="1155cc"/>
          <w:sz w:val="20"/>
          <w:szCs w:val="20"/>
          <w:highlight w:val="white"/>
          <w:rtl w:val="0"/>
        </w:rPr>
        <w:t xml:space="preserve">jaqueserio@gmail.com</w:t>
      </w:r>
      <w:r w:rsidDel="00000000" w:rsidR="00000000" w:rsidRPr="00000000">
        <w:rPr>
          <w:rtl w:val="0"/>
        </w:rPr>
      </w:r>
    </w:p>
  </w:footnote>
  <w:footnote w:id="34">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comunidades terapêuticas são equipamentos inclusos na RAPS pela portaria 3.088/11, mas que funcionam de forma contrária aos princípios da Reforma Psiquiátrica. Elas acumulam uma série de relatórios de inspeção, realizados pelo Conselho Federal de Psicologia, Conselho Regional de Serviço Social do Rio de Janeiro, Ministério Público, Mecanismo de Prevenção e Combate à Tortura, entre outros, no qual se evidenciam graves violações de direitos humanos perpetradas nesses espaços que, a despeito das denúncias, recebem continuamente uma verba pública maior para seu fortalecimento e expansão.</w:t>
      </w:r>
      <w:r w:rsidDel="00000000" w:rsidR="00000000" w:rsidRPr="00000000">
        <w:rPr>
          <w:rtl w:val="0"/>
        </w:rPr>
      </w:r>
    </w:p>
  </w:footnote>
  <w:footnote w:id="35">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color w:val="222222"/>
          <w:sz w:val="20"/>
          <w:szCs w:val="20"/>
          <w:highlight w:val="white"/>
          <w:rtl w:val="0"/>
        </w:rPr>
        <w:t xml:space="preserve">Mestra em Políticas Públicas em Direitos Humanos pela Universidade Federal do Rio de Janeiro (UFRJ), Pós-Graduada em Direito das Famílias e Sucessões pela Pontifícia Universidade Católica do Rio de Janeiro (PUC-Rio) e Bacharel em Direito pela PUC-Rio. Advogada capacitada em Práticas Colaborativas e em Mediação de Conflitos. E-mail: </w:t>
      </w:r>
      <w:r w:rsidDel="00000000" w:rsidR="00000000" w:rsidRPr="00000000">
        <w:rPr>
          <w:rFonts w:ascii="Times New Roman" w:cs="Times New Roman" w:eastAsia="Times New Roman" w:hAnsi="Times New Roman"/>
          <w:color w:val="1155cc"/>
          <w:sz w:val="20"/>
          <w:szCs w:val="20"/>
          <w:highlight w:val="white"/>
          <w:rtl w:val="0"/>
        </w:rPr>
        <w:t xml:space="preserve">juliagutman@gmail.com</w:t>
      </w:r>
      <w:r w:rsidDel="00000000" w:rsidR="00000000" w:rsidRPr="00000000">
        <w:rPr>
          <w:rtl w:val="0"/>
        </w:rPr>
      </w:r>
    </w:p>
  </w:footnote>
  <w:footnote w:id="36">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Optei por utilizar a expressão “Ditadura Empresarial Militar”, tendo em vista que compartilho da opinião dos que a veem como necessária para explicar de maneira adequada o regime vivido no Brasil entre 1964 e 1985, que resultou de uma grandiosa organização por parte de setores militar, civil e empresarial, assim como parte de coronéis dos latifúndios, setores religiosos e dos meios de comunicação. Com isso, no entender desta corrente, falar somente em “Ditadura Militar” seria deixar de reconhecer o papel ativo de segmentos da burguesia e do empresariado no regime ditatorial. O golpe de 1964 foi também financiado e apoiado pelo grande capital e por outros setores civis da sociedade brasileira e, por conta disso, compartilho da opinião de que deve ser denominado “Ditadura Empresarial Militar”. Porém, ressalta-se que não há unanimidade na doutrina, a mesma diverge quanto à utilização de termos como “Ditadura Militar”, “Ditadura Civil Militar” ou “Ditadura Empresarial Militar”.</w:t>
      </w:r>
    </w:p>
  </w:footnote>
  <w:footnote w:id="37">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GLOBO NEWS. Força policial brasileira é a que mais mata no mundo, diz relatório. 2015. Disponível em: &lt;http://g1.globo.com/globo-news/noticia/2015/09/forca-policial-brasileira-e-que-mais-mata-no-mundo-diz-</w:t>
      </w:r>
    </w:p>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relatorio.html&gt;. Acesso em: 10 de maio de 2019.</w:t>
      </w:r>
      <w:r w:rsidDel="00000000" w:rsidR="00000000" w:rsidRPr="00000000">
        <w:rPr>
          <w:rtl w:val="0"/>
        </w:rPr>
      </w:r>
    </w:p>
  </w:footnote>
  <w:footnote w:id="38">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REVISTA EXAME. Assassinatos causados por policiais superam latrocínios, diz Ipea: Veja em quais estados a diferença entre as mortes causadas pela polícia e os latrocínios é maior. 2017. Redigido por Luíza Calegari.</w:t>
      </w:r>
    </w:p>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Disponível em: &lt;http://exame.abril.com.br/brasil/assassinatos-causados-por-policiais-superam-latrocinios-diz-</w:t>
      </w:r>
    </w:p>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ipea&gt;. Acesso em: 13 de maio de 2019 e IBGE. Estimativas da população residente no Brasil e Unidades da Federação com data de referência em 1º de julho de 2016. Brasília, 2017. Disponível em: &lt;ftp://ftp.ibge.gov.br/Estimativas_de_Populacao/Estimativas_2016/estimativa_dou_2016_20160913.pdf&gt;.</w:t>
      </w:r>
    </w:p>
  </w:footnote>
  <w:footnote w:id="39">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Latrocínio consiste no crime de roubo, seguido de morte.</w:t>
      </w:r>
    </w:p>
  </w:footnote>
  <w:footnote w:id="40">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G1 RIO. #MapaDoCrime: casos de mortos em intervenções policiais crescem 60%; mortes de policiais também preocupam: Delegacias das zonas Norte e Oeste registraram aumento no número de homicídios por intervenção policial. Rotina de PMs muda diante de violência contra militares. Uma morte de PM é registrada a cada 2 dias.</w:t>
      </w:r>
    </w:p>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2017. Disponível em: &lt;http://g1.globo.com/rio-de-janeiro/noticia/mapadocrime-casos-de-mortos-em-intervencoes-policiais-crescem-60-mortes-de-policiais-tambem-preocupam.html&gt;. Acesso em: 13 de maio de 2019.</w:t>
      </w:r>
    </w:p>
  </w:footnote>
  <w:footnote w:id="41">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Graduada em Direito pela Universidade Federal do Rio de Janeiro (FND/UFRJ) e Mestranda no Programa de Políticas Públicas em Direitos Humanos (PPDH/NEPP-DH/UFRJ). Como principal publicação, destaca-se o artigo "Necropsiquiatria e Patriarcado: o tratamento médico-judiciário das loucas infratoras no Brasil do século XIX", em coautoria com Cristiane Brandão Augusto e Hugo Gomes de Lira. E-mail: iglesias.julia27@gmail.com</w:t>
      </w:r>
      <w:r w:rsidDel="00000000" w:rsidR="00000000" w:rsidRPr="00000000">
        <w:rPr>
          <w:rtl w:val="0"/>
        </w:rPr>
      </w:r>
    </w:p>
  </w:footnote>
  <w:footnote w:id="42">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É possível acessar o documento na íntegra através do link: </w:t>
      </w:r>
      <w:hyperlink r:id="rId5">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https://site.cfp.org.br/wp-content/uploads/2017/05/manifesto-de-bauru.pdf</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43">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É possível acessar os dados fornecidos pela plataforma através do seguinte link: </w:t>
      </w:r>
      <w:hyperlink r:id="rId6">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https://www.gov.br/senappen/pt-br/servicos/sisdepen</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44">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PhD. Professora associada do Programa de Pós-graduação em Políticas Públicas e Direitos Humanos do Núcleo de Políticas Públicas em Direitos Humanos - NEPP-DH/UFRJ. Coordenadora do Grupo de Estudos Direitos Humanos e Justiça, GEDHJUS/ NEPP-DH. Diretora do NEPP-DH (2021/25). E-mail: mcelmarques@gmail.com /  http://lattes.cnpq.br/2014327112277784</w:t>
      </w:r>
      <w:r w:rsidDel="00000000" w:rsidR="00000000" w:rsidRPr="00000000">
        <w:rPr>
          <w:rtl w:val="0"/>
        </w:rPr>
      </w:r>
    </w:p>
  </w:footnote>
  <w:footnote w:id="45">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Juíza do Trabalho Auxiliar da 22ª Vara do Trabalho de Brasília/DF, mestre em Direito do Trabalho pela PUC-Minas, doutoranda em direito do trabalho pela UFMG, integrante da Comissão Amatra Mulheres - Amatra 10 e da Comissão Anamatra Mulheres – Anamatra. E-mail: nataliaqcr@gmail.com</w:t>
      </w:r>
      <w:r w:rsidDel="00000000" w:rsidR="00000000" w:rsidRPr="00000000">
        <w:rPr>
          <w:rtl w:val="0"/>
        </w:rPr>
      </w:r>
    </w:p>
  </w:footnote>
  <w:footnote w:id="46">
    <w:p w:rsidR="00000000" w:rsidDel="00000000" w:rsidP="00000000" w:rsidRDefault="00000000" w:rsidRPr="00000000" w14:paraId="000009C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Mnemosine era uma titânide que personificava a memória na mitologia grega. Diodoro Sículo, historiador grego que viveu no século I a. C., escreveu que ela deu nomes a muitos dos objetos e conceitos usados para fazer os mortais se entenderem enquanto conversavam. Wikipédia, capturado em 24-09-23.  </w:t>
      </w:r>
    </w:p>
  </w:footnote>
  <w:footnote w:id="47">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Louvável a iniciativa da Ong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Tenda das Candidatas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que possui mais de 9 mil seguidores no Instagram e tem como objetivo capacitar mulheres para campanhas eleitorais, no afã de diminuir a desigualdade e a restrição de acesso pelas mulheres ao mundo da política.</w:t>
      </w:r>
    </w:p>
  </w:footnote>
  <w:footnote w:id="48">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 Brasil, merece especial destaque a perspectiva interseccional de gênero e raça, por sermos quantitativamente uma nação predominantemente composta por pessoas pretas e pardas. </w:t>
      </w:r>
    </w:p>
  </w:footnote>
  <w:footnote w:id="49">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htpps://www.sbp.com.br/imprensa/detalhe/nid/aleitamento-materno-uma-forma-muito-especial-de-comunicação. Acesso em 28-07-2023.</w:t>
      </w:r>
    </w:p>
  </w:footnote>
  <w:footnote w:id="50">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Vide Judith Buther. Corpos que importam. Os limites discursivos do “sexo”. 1 ed. Crocodilo edições, São Paulo, 2019.</w:t>
      </w:r>
    </w:p>
  </w:footnote>
  <w:footnote w:id="51">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w:t>
      </w:r>
      <w:hyperlink r:id="rId7">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ww.conjur.com.br/2023-jul-12/silva-rodrigues-isonomia-salarial-interseccionalidades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ConJur - Silva e Rodrigues: Isonomia salarial e interseccionalidades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p>
  </w:footnote>
  <w:footnote w:id="52">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Mulheres são maioria nas universidades, mas ainda são minoria nos cursos tecnológicos e de engenharia. Disponível em: https://www.ibge.gov.br</w:t>
      </w:r>
    </w:p>
  </w:footnote>
  <w:footnote w:id="53">
    <w:p w:rsidR="00000000" w:rsidDel="00000000" w:rsidP="00000000" w:rsidRDefault="00000000" w:rsidRPr="00000000" w14:paraId="000009D1">
      <w:pPr>
        <w:spacing w:after="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Vide artigo de MELO, Cecília Vieira; AUGUSTO, Cristiane Brandão; QUINTANS, Mariana Trotta Dallalana. </w:t>
      </w:r>
      <w:r w:rsidDel="00000000" w:rsidR="00000000" w:rsidRPr="00000000">
        <w:rPr>
          <w:rFonts w:ascii="Times New Roman" w:cs="Times New Roman" w:eastAsia="Times New Roman" w:hAnsi="Times New Roman"/>
          <w:i w:val="1"/>
          <w:sz w:val="20"/>
          <w:szCs w:val="20"/>
          <w:rtl w:val="0"/>
        </w:rPr>
        <w:t xml:space="preserve">Endividar-se para viver: olhares e resistências feministas ao neoliberalismo. In: Novas direitas e genocídio no Brasil [recurso eletrônico]: pandemias e pandemônio - vol. II</w:t>
      </w:r>
      <w:r w:rsidDel="00000000" w:rsidR="00000000" w:rsidRPr="00000000">
        <w:rPr>
          <w:rFonts w:ascii="Times New Roman" w:cs="Times New Roman" w:eastAsia="Times New Roman" w:hAnsi="Times New Roman"/>
          <w:sz w:val="20"/>
          <w:szCs w:val="20"/>
          <w:rtl w:val="0"/>
        </w:rPr>
        <w:t xml:space="preserve"> / Bárbara L.C.V. Dias ... [</w:t>
      </w:r>
      <w:r w:rsidDel="00000000" w:rsidR="00000000" w:rsidRPr="00000000">
        <w:rPr>
          <w:rFonts w:ascii="Times New Roman" w:cs="Times New Roman" w:eastAsia="Times New Roman" w:hAnsi="Times New Roman"/>
          <w:i w:val="1"/>
          <w:sz w:val="20"/>
          <w:szCs w:val="20"/>
          <w:rtl w:val="0"/>
        </w:rPr>
        <w:t xml:space="preserve">et al</w:t>
      </w:r>
      <w:r w:rsidDel="00000000" w:rsidR="00000000" w:rsidRPr="00000000">
        <w:rPr>
          <w:rFonts w:ascii="Times New Roman" w:cs="Times New Roman" w:eastAsia="Times New Roman" w:hAnsi="Times New Roman"/>
          <w:sz w:val="20"/>
          <w:szCs w:val="20"/>
          <w:rtl w:val="0"/>
        </w:rPr>
        <w:t xml:space="preserve">.]; organização Cristiane Brandão Augusto ... [</w:t>
      </w:r>
      <w:r w:rsidDel="00000000" w:rsidR="00000000" w:rsidRPr="00000000">
        <w:rPr>
          <w:rFonts w:ascii="Times New Roman" w:cs="Times New Roman" w:eastAsia="Times New Roman" w:hAnsi="Times New Roman"/>
          <w:i w:val="1"/>
          <w:sz w:val="20"/>
          <w:szCs w:val="20"/>
          <w:rtl w:val="0"/>
        </w:rPr>
        <w:t xml:space="preserve">et al</w:t>
      </w:r>
      <w:r w:rsidDel="00000000" w:rsidR="00000000" w:rsidRPr="00000000">
        <w:rPr>
          <w:rFonts w:ascii="Times New Roman" w:cs="Times New Roman" w:eastAsia="Times New Roman" w:hAnsi="Times New Roman"/>
          <w:sz w:val="20"/>
          <w:szCs w:val="20"/>
          <w:rtl w:val="0"/>
        </w:rPr>
        <w:t xml:space="preserve">.]. - [2. ed.] - São Paulo : Tirant Lo Blanch, 2021.  pp. 292-307.</w:t>
      </w:r>
    </w:p>
  </w:footnote>
  <w:footnote w:id="54">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Notícia veiculada no portal6: Filha perde na Justiça ao tentar provar que cuidar do pai doente era emprego. https://portal6.com.br/2023/07/27/filha-perde-na-justica-ao-tentar-provar-que-cuidar-do-pai-doente-era-emprego/</w:t>
      </w:r>
    </w:p>
  </w:footnote>
  <w:footnote w:id="55">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Graduada em Serviço Social (UFF), espec</w:t>
      </w:r>
      <w:r w:rsidDel="00000000" w:rsidR="00000000" w:rsidRPr="00000000">
        <w:rPr>
          <w:sz w:val="20"/>
          <w:szCs w:val="20"/>
          <w:rtl w:val="0"/>
        </w:rPr>
        <w:t xml:space="preserve">ialista em Políticas Sociais e Intersetorialidade (IFF/Fiocruz), Mestre e Doutoranda em Serviço Social (UFRJ). Pesquisadora do Núcleo de Extensão e Pesquisa em Direitos Humanos, infância, Juventude e Serviço Social (UFF). Email: </w:t>
      </w:r>
      <w:hyperlink r:id="rId9">
        <w:r w:rsidDel="00000000" w:rsidR="00000000" w:rsidRPr="00000000">
          <w:rPr>
            <w:color w:val="1155cc"/>
            <w:sz w:val="20"/>
            <w:szCs w:val="20"/>
            <w:u w:val="single"/>
            <w:rtl w:val="0"/>
          </w:rPr>
          <w:t xml:space="preserve">contato.nicolaumariana@gmail.com</w:t>
        </w:r>
      </w:hyperlink>
      <w:r w:rsidDel="00000000" w:rsidR="00000000" w:rsidRPr="00000000">
        <w:rPr>
          <w:sz w:val="20"/>
          <w:szCs w:val="20"/>
          <w:rtl w:val="0"/>
        </w:rPr>
        <w:t xml:space="preserve"> </w:t>
      </w:r>
      <w:r w:rsidDel="00000000" w:rsidR="00000000" w:rsidRPr="00000000">
        <w:rPr>
          <w:rtl w:val="0"/>
        </w:rPr>
      </w:r>
    </w:p>
  </w:footnote>
  <w:footnote w:id="56">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Disponível em: </w:t>
      </w:r>
      <w:hyperlink r:id="rId10">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http://www.who.int/violence_injury_prevention/violence/status_report/2014/en/</w:t>
        </w:r>
      </w:hyperlink>
      <w:hyperlink r:id="rId1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 2023.</w:t>
      </w:r>
    </w:p>
  </w:footnote>
  <w:footnote w:id="57">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t>
      </w:r>
      <w:hyperlink r:id="rId12">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Nota-tecnica-A-inter-relacao-entre-violencia-contra-a-mulher-e-violencia-contra-as-criancas.pdf (unicef.org)</w:t>
        </w:r>
      </w:hyperlink>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 2023</w:t>
      </w:r>
    </w:p>
  </w:footnote>
  <w:footnote w:id="58">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t>
      </w:r>
      <w:hyperlink r:id="rId13">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Juíza: Mulher pode apanhar do marido e 'ele ser excelente pai' (intercept.com.br)</w:t>
        </w:r>
      </w:hyperlink>
      <w:hyperlink r:id="rId1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 2023.</w:t>
      </w:r>
      <w:r w:rsidDel="00000000" w:rsidR="00000000" w:rsidRPr="00000000">
        <w:rPr>
          <w:rtl w:val="0"/>
        </w:rPr>
      </w:r>
    </w:p>
  </w:footnote>
  <w:footnote w:id="59">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t>
      </w:r>
      <w:hyperlink r:id="rId15">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Juiz tira guarda de mãe por considerar Rio de Janeiro muito violento (gazetadopovo.com.br)</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Acesso em 30 de jul. de 2023.</w:t>
      </w:r>
    </w:p>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60">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https://www.cnj.jus.br/wp</w:t>
      </w:r>
      <w:hyperlink r:id="rId16">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content/uploads/conteudo/arquivo/2019/08/7b7cb6d9ac9042c8d3e40700b80bf207.pdf</w:t>
        </w:r>
      </w:hyperlink>
      <w:hyperlink r:id="rId1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julho de 2023.</w:t>
      </w:r>
    </w:p>
  </w:footnote>
  <w:footnote w:id="61">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hyperlink r:id="rId18">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https://www.cnj.jus.br/wp-</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9">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content/uploads/conteudo/arquivo/2019/08/7b7cb6d9ac9042c8d3e40700b80bf207.pdf</w:t>
        </w:r>
      </w:hyperlink>
      <w:hyperlink r:id="rId2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julho de 2023.</w:t>
      </w:r>
    </w:p>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62">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Disponível em: </w:t>
      </w:r>
      <w:hyperlink r:id="rId21">
        <w:r w:rsidDel="00000000" w:rsidR="00000000" w:rsidRPr="00000000">
          <w:rPr>
            <w:rFonts w:ascii="Times New Roman" w:cs="Times New Roman" w:eastAsia="Times New Roman" w:hAnsi="Times New Roman"/>
            <w:b w:val="0"/>
            <w:i w:val="0"/>
            <w:smallCaps w:val="0"/>
            <w:strike w:val="0"/>
            <w:color w:val="1154cc"/>
            <w:sz w:val="20"/>
            <w:szCs w:val="20"/>
            <w:u w:val="single"/>
            <w:shd w:fill="auto" w:val="clear"/>
            <w:vertAlign w:val="baseline"/>
            <w:rtl w:val="0"/>
          </w:rPr>
          <w:t xml:space="preserve">Formas de violência contra a mulher - Portal CNJ</w:t>
        </w:r>
      </w:hyperlink>
      <w:hyperlink r:id="rId22">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Acesso em 30 de jul. de 2023</w:t>
      </w:r>
      <w:r w:rsidDel="00000000" w:rsidR="00000000" w:rsidRPr="00000000">
        <w:rPr>
          <w:rtl w:val="0"/>
        </w:rPr>
      </w:r>
    </w:p>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63">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t>
      </w:r>
      <w:hyperlink r:id="rId23">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https://www.unicef.org/brazil/comunicados-de-imprensa/duas-em-cada-tres-criancas-na-</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24">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america-latina-e-no-caribe-sofrem-violencia</w:t>
        </w:r>
      </w:hyperlink>
      <w:hyperlink r:id="rId25">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 de 2023.</w:t>
      </w:r>
    </w:p>
  </w:footnote>
  <w:footnote w:id="64">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w:t>
      </w:r>
      <w:hyperlink r:id="rId26">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Disque 100 registra mais de 17,5 mil violações sexuais contra crianças e adolescentes nos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27">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quatro primeiros meses de 2023 — Ministério dos Direitos Humanos e da Cidadania (www.gov.br)</w:t>
        </w:r>
      </w:hyperlink>
      <w:hyperlink r:id="rId28">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Acesso em 30 de jul. de 2023.</w:t>
      </w:r>
    </w:p>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65">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Graduada em Relações Internacionais pela Universidade Federal Rural do Rio de Janeiro, pós-graduada em Políticas Públicas e Justiça de Gênero pelo Conselho Latino-americano de Ciências Sociais e mestranda em Políticas Públicas em Direitos Humanos pelo Núcleo de Estudos de Políticas Públicas em Direitos Humanos da Universidade Federal do Rio de Janeiro. </w:t>
      </w:r>
      <w:hyperlink r:id="rId29">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juliamoulinpereira@gmail.com</w:t>
        </w:r>
      </w:hyperlink>
      <w:r w:rsidDel="00000000" w:rsidR="00000000" w:rsidRPr="00000000">
        <w:rPr>
          <w:rtl w:val="0"/>
        </w:rPr>
      </w:r>
    </w:p>
  </w:footnote>
  <w:footnote w:id="66">
    <w:p w:rsidR="00000000" w:rsidDel="00000000" w:rsidP="00000000" w:rsidRDefault="00000000" w:rsidRPr="00000000" w14:paraId="000009E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 conceito de “</w:t>
      </w:r>
      <w:r w:rsidDel="00000000" w:rsidR="00000000" w:rsidRPr="00000000">
        <w:rPr>
          <w:rFonts w:ascii="Times New Roman" w:cs="Times New Roman" w:eastAsia="Times New Roman" w:hAnsi="Times New Roman"/>
          <w:i w:val="1"/>
          <w:sz w:val="20"/>
          <w:szCs w:val="20"/>
          <w:rtl w:val="0"/>
        </w:rPr>
        <w:t xml:space="preserve">não-brancas</w:t>
      </w:r>
      <w:r w:rsidDel="00000000" w:rsidR="00000000" w:rsidRPr="00000000">
        <w:rPr>
          <w:rFonts w:ascii="Times New Roman" w:cs="Times New Roman" w:eastAsia="Times New Roman" w:hAnsi="Times New Roman"/>
          <w:sz w:val="20"/>
          <w:szCs w:val="20"/>
          <w:rtl w:val="0"/>
        </w:rPr>
        <w:t xml:space="preserve">” utilizado baseia-se na explicação de Carla Akotirene acerca do desvio da “</w:t>
      </w:r>
      <w:r w:rsidDel="00000000" w:rsidR="00000000" w:rsidRPr="00000000">
        <w:rPr>
          <w:rFonts w:ascii="Times New Roman" w:cs="Times New Roman" w:eastAsia="Times New Roman" w:hAnsi="Times New Roman"/>
          <w:i w:val="1"/>
          <w:sz w:val="20"/>
          <w:szCs w:val="20"/>
          <w:rtl w:val="0"/>
        </w:rPr>
        <w:t xml:space="preserve">cisheteronormatividade</w:t>
      </w:r>
      <w:r w:rsidDel="00000000" w:rsidR="00000000" w:rsidRPr="00000000">
        <w:rPr>
          <w:rFonts w:ascii="Times New Roman" w:cs="Times New Roman" w:eastAsia="Times New Roman" w:hAnsi="Times New Roman"/>
          <w:sz w:val="20"/>
          <w:szCs w:val="20"/>
          <w:rtl w:val="0"/>
        </w:rPr>
        <w:t xml:space="preserve">” (AKOTIRENE, Carla, 2020, p. 39).</w:t>
      </w:r>
    </w:p>
  </w:footnote>
  <w:footnote w:id="67">
    <w:p w:rsidR="00000000" w:rsidDel="00000000" w:rsidP="00000000" w:rsidRDefault="00000000" w:rsidRPr="00000000" w14:paraId="000009E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“Ao mesmo tempo, a “responsabilização” (responsabilization, termo franco-britânico que faz elementos fracos e pequenos serem normativa e praticamente responsáveis pela própria prosperidade) substitui, no campo analítico, a crítica estrutural e, no campo prático, proteções sociais e bens públicos</w:t>
      </w:r>
      <w:r w:rsidDel="00000000" w:rsidR="00000000" w:rsidRPr="00000000">
        <w:rPr>
          <w:rFonts w:ascii="Times New Roman" w:cs="Times New Roman" w:eastAsia="Times New Roman" w:hAnsi="Times New Roman"/>
          <w:sz w:val="20"/>
          <w:szCs w:val="20"/>
          <w:rtl w:val="0"/>
        </w:rPr>
        <w:t xml:space="preserve">.” (BROWN, Wendy, 2018, p.11)</w:t>
      </w:r>
    </w:p>
  </w:footnote>
  <w:footnote w:id="68">
    <w:p w:rsidR="00000000" w:rsidDel="00000000" w:rsidP="00000000" w:rsidRDefault="00000000" w:rsidRPr="00000000" w14:paraId="000009E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“Migrantes forçados” não é um termo jurídico, e sim um conceito social generalista para abarcar deslocamentos ou movimentos involuntários de pessoas ao cruzar fronteiras internacionais ou nacionais, podendo elas terem seu </w:t>
      </w:r>
      <w:r w:rsidDel="00000000" w:rsidR="00000000" w:rsidRPr="00000000">
        <w:rPr>
          <w:rFonts w:ascii="Times New Roman" w:cs="Times New Roman" w:eastAsia="Times New Roman" w:hAnsi="Times New Roman"/>
          <w:i w:val="1"/>
          <w:sz w:val="20"/>
          <w:szCs w:val="20"/>
          <w:rtl w:val="0"/>
        </w:rPr>
        <w:t xml:space="preserve">status </w:t>
      </w:r>
      <w:r w:rsidDel="00000000" w:rsidR="00000000" w:rsidRPr="00000000">
        <w:rPr>
          <w:rFonts w:ascii="Times New Roman" w:cs="Times New Roman" w:eastAsia="Times New Roman" w:hAnsi="Times New Roman"/>
          <w:sz w:val="20"/>
          <w:szCs w:val="20"/>
          <w:rtl w:val="0"/>
        </w:rPr>
        <w:t xml:space="preserve">de refúgio reconhecido ou não. (COLUMBIA UNIVERSITY, 2022). Disponível em: </w:t>
      </w:r>
      <w:hyperlink r:id="rId30">
        <w:r w:rsidDel="00000000" w:rsidR="00000000" w:rsidRPr="00000000">
          <w:rPr>
            <w:rFonts w:ascii="Times New Roman" w:cs="Times New Roman" w:eastAsia="Times New Roman" w:hAnsi="Times New Roman"/>
            <w:color w:val="1155cc"/>
            <w:sz w:val="20"/>
            <w:szCs w:val="20"/>
            <w:u w:val="single"/>
            <w:rtl w:val="0"/>
          </w:rPr>
          <w:t xml:space="preserve">http://www.columbia.edu/itc/hs/pubhealth/modules/forcedMigration/definitions.html</w:t>
        </w:r>
      </w:hyperlink>
      <w:r w:rsidDel="00000000" w:rsidR="00000000" w:rsidRPr="00000000">
        <w:rPr>
          <w:rFonts w:ascii="Times New Roman" w:cs="Times New Roman" w:eastAsia="Times New Roman" w:hAnsi="Times New Roman"/>
          <w:sz w:val="20"/>
          <w:szCs w:val="20"/>
          <w:rtl w:val="0"/>
        </w:rPr>
        <w:t xml:space="preserve"> Acesso em: 08 out 2023.</w:t>
      </w:r>
    </w:p>
  </w:footnote>
  <w:footnote w:id="69">
    <w:p w:rsidR="00000000" w:rsidDel="00000000" w:rsidP="00000000" w:rsidRDefault="00000000" w:rsidRPr="00000000" w14:paraId="000009E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Utilizaremos o conceito de </w:t>
      </w:r>
      <w:r w:rsidDel="00000000" w:rsidR="00000000" w:rsidRPr="00000000">
        <w:rPr>
          <w:rFonts w:ascii="Times New Roman" w:cs="Times New Roman" w:eastAsia="Times New Roman" w:hAnsi="Times New Roman"/>
          <w:i w:val="1"/>
          <w:sz w:val="20"/>
          <w:szCs w:val="20"/>
          <w:rtl w:val="0"/>
        </w:rPr>
        <w:t xml:space="preserve">migrante</w:t>
      </w:r>
      <w:r w:rsidDel="00000000" w:rsidR="00000000" w:rsidRPr="00000000">
        <w:rPr>
          <w:rFonts w:ascii="Times New Roman" w:cs="Times New Roman" w:eastAsia="Times New Roman" w:hAnsi="Times New Roman"/>
          <w:sz w:val="20"/>
          <w:szCs w:val="20"/>
          <w:rtl w:val="0"/>
        </w:rPr>
        <w:t xml:space="preserve">, e não de </w:t>
      </w:r>
      <w:r w:rsidDel="00000000" w:rsidR="00000000" w:rsidRPr="00000000">
        <w:rPr>
          <w:rFonts w:ascii="Times New Roman" w:cs="Times New Roman" w:eastAsia="Times New Roman" w:hAnsi="Times New Roman"/>
          <w:i w:val="1"/>
          <w:sz w:val="20"/>
          <w:szCs w:val="20"/>
          <w:rtl w:val="0"/>
        </w:rPr>
        <w:t xml:space="preserve">imigrante</w:t>
      </w:r>
      <w:r w:rsidDel="00000000" w:rsidR="00000000" w:rsidRPr="00000000">
        <w:rPr>
          <w:rFonts w:ascii="Times New Roman" w:cs="Times New Roman" w:eastAsia="Times New Roman" w:hAnsi="Times New Roman"/>
          <w:sz w:val="20"/>
          <w:szCs w:val="20"/>
          <w:rtl w:val="0"/>
        </w:rPr>
        <w:t xml:space="preserve">, pois entendemos o indivíduo migrante como aquele que está em constante movimento e fluxo, podendo ser tanto imigrante quanto emigrante, dependendo do ponto de vista. Além disso, evidencia-se o reconhecimento do migrante enquanto sujeito de direitos, não o definindo por uma condição de estar entrando ou deixando um determinado território. Por conseguinte, afirma-se a migração principalmente enquanto fenômeno humano transversal, em detrimento de apenas uma travessia. (BALZAM, Nicolli, 2020, p. 9) Disponível em:</w:t>
        <w:tab/>
        <w:t xml:space="preserve"> </w:t>
      </w:r>
      <w:hyperlink r:id="rId31">
        <w:r w:rsidDel="00000000" w:rsidR="00000000" w:rsidRPr="00000000">
          <w:rPr>
            <w:rFonts w:ascii="Times New Roman" w:cs="Times New Roman" w:eastAsia="Times New Roman" w:hAnsi="Times New Roman"/>
            <w:color w:val="0563c1"/>
            <w:sz w:val="20"/>
            <w:szCs w:val="20"/>
            <w:u w:val="single"/>
            <w:rtl w:val="0"/>
          </w:rPr>
          <w:t xml:space="preserve">https://identidade.pucpr.br/webapp/assets/images/instituto_ciencia_e_fe/upload/file80534_cadernotravessias-idpucpr-dez20.pdf</w:t>
        </w:r>
      </w:hyperlink>
      <w:r w:rsidDel="00000000" w:rsidR="00000000" w:rsidRPr="00000000">
        <w:rPr>
          <w:rFonts w:ascii="Times New Roman" w:cs="Times New Roman" w:eastAsia="Times New Roman" w:hAnsi="Times New Roman"/>
          <w:sz w:val="20"/>
          <w:szCs w:val="20"/>
          <w:rtl w:val="0"/>
        </w:rPr>
        <w:t xml:space="preserve">&gt;. Acesso em: 08 out 2023.</w:t>
      </w:r>
    </w:p>
  </w:footnote>
  <w:footnote w:id="70">
    <w:p w:rsidR="00000000" w:rsidDel="00000000" w:rsidP="00000000" w:rsidRDefault="00000000" w:rsidRPr="00000000" w14:paraId="000009E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Lei nº 8.080, de 19 de setembro de 1990. CAPÍTULO II, Dos Princípios e Diretrizes</w:t>
      </w:r>
    </w:p>
    <w:p w:rsidR="00000000" w:rsidDel="00000000" w:rsidP="00000000" w:rsidRDefault="00000000" w:rsidRPr="00000000" w14:paraId="000009E7">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Art. 7º As ações e serviços públicos de saúde e os serviços privados contratados ou conveniados que integram o Sistema Único de Saúde (SUS), são desenvolvidos de acordo com as diretrizes previstas no art. 198 da Constituição Federal, obedecendo ainda aos seguintes princípios:</w:t>
      </w:r>
    </w:p>
    <w:p w:rsidR="00000000" w:rsidDel="00000000" w:rsidP="00000000" w:rsidRDefault="00000000" w:rsidRPr="00000000" w14:paraId="000009E8">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 universalidade de acesso aos serviços de saúde em todos os níveis de assistência; [...]</w:t>
      </w:r>
    </w:p>
    <w:p w:rsidR="00000000" w:rsidDel="00000000" w:rsidP="00000000" w:rsidRDefault="00000000" w:rsidRPr="00000000" w14:paraId="000009E9">
      <w:pPr>
        <w:spacing w:after="0" w:line="240" w:lineRule="auto"/>
        <w:ind w:firstLine="720"/>
        <w:jc w:val="both"/>
        <w:rPr>
          <w:sz w:val="20"/>
          <w:szCs w:val="20"/>
        </w:rPr>
      </w:pPr>
      <w:r w:rsidDel="00000000" w:rsidR="00000000" w:rsidRPr="00000000">
        <w:rPr>
          <w:rFonts w:ascii="Times New Roman" w:cs="Times New Roman" w:eastAsia="Times New Roman" w:hAnsi="Times New Roman"/>
          <w:sz w:val="20"/>
          <w:szCs w:val="20"/>
          <w:rtl w:val="0"/>
        </w:rPr>
        <w:t xml:space="preserve">IV - igualdade da assistência à saúde, sem preconceitos ou privilégios de qualquer espécie;</w:t>
      </w:r>
      <w:r w:rsidDel="00000000" w:rsidR="00000000" w:rsidRPr="00000000">
        <w:rPr>
          <w:rtl w:val="0"/>
        </w:rPr>
      </w:r>
    </w:p>
  </w:footnote>
  <w:footnote w:id="71">
    <w:p w:rsidR="00000000" w:rsidDel="00000000" w:rsidP="00000000" w:rsidRDefault="00000000" w:rsidRPr="00000000" w14:paraId="000009EA">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Gazeta do Povo. Os desafios para inserir refugiados nas escolas brasileiras. Disponível em:</w:t>
      </w:r>
      <w:hyperlink r:id="rId32">
        <w:r w:rsidDel="00000000" w:rsidR="00000000" w:rsidRPr="00000000">
          <w:rPr>
            <w:rFonts w:ascii="Times New Roman" w:cs="Times New Roman" w:eastAsia="Times New Roman" w:hAnsi="Times New Roman"/>
            <w:sz w:val="20"/>
            <w:szCs w:val="20"/>
            <w:rtl w:val="0"/>
          </w:rPr>
          <w:t xml:space="preserve"> https://www.gazetadopovo.com.br/educacao/os-desafios-para-inserir-refugiados-nas-escolas-brasileiras-822xhyanr24jnb569n7phgkn1/</w:t>
        </w:r>
      </w:hyperlink>
      <w:r w:rsidDel="00000000" w:rsidR="00000000" w:rsidRPr="00000000">
        <w:rPr>
          <w:rFonts w:ascii="Times New Roman" w:cs="Times New Roman" w:eastAsia="Times New Roman" w:hAnsi="Times New Roman"/>
          <w:sz w:val="20"/>
          <w:szCs w:val="20"/>
          <w:rtl w:val="0"/>
        </w:rPr>
        <w:t xml:space="preserve">. Acesso em: 08 out 2023.</w:t>
      </w:r>
      <w:r w:rsidDel="00000000" w:rsidR="00000000" w:rsidRPr="00000000">
        <w:rPr>
          <w:rtl w:val="0"/>
        </w:rPr>
      </w:r>
    </w:p>
  </w:footnote>
  <w:footnote w:id="72">
    <w:p w:rsidR="00000000" w:rsidDel="00000000" w:rsidP="00000000" w:rsidRDefault="00000000" w:rsidRPr="00000000" w14:paraId="000009E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 Dia. Refugiados criticam fim de abrigo e incerteza sobre centro inaugurado em janeiro. Rio de Janeiro. 28 de junho 2023. Disponível em: https://odia.ig.com.br/rio-de-janeiro/2023/06/6661312-refugiados-criticam-fim-de-abrigo-e-incerteza-sobre-centro-inaugurado-em-janeiro.html. Acesso em: 08 out 2023.</w:t>
      </w:r>
    </w:p>
  </w:footnote>
  <w:footnote w:id="73">
    <w:p w:rsidR="00000000" w:rsidDel="00000000" w:rsidP="00000000" w:rsidRDefault="00000000" w:rsidRPr="00000000" w14:paraId="000009E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Legislação Municipal. Lei nº 7.730, de 20 de dezembro de 2022. Estabelece princípios e diretrizes para a Política Municipal de Proteção dos Direitos da População Migrante e Refugiada. Disponível em: &lt;http://aplicnt.camara.rj.gov.br/APL/Legislativos/contlei.nsf/7cb7d306c2b748cb0325796000610ad8/8de368ec1cf9a0670325891e00623645?OpenDocument&gt;</w:t>
      </w:r>
    </w:p>
  </w:footnote>
  <w:footnote w:id="74">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Bacharel em Direito (Universidade Estácio de Sá), Especialização em Processo Civil (EMERJ), Advogada com com ênfase em Direito das famílias e na defesa do Direito das mulheres, Mestranda no curso de Pós-Graduação em Políticas Públicas e Direitos Humanos (UFRJ). E-mail: catarinasouza1adv@gmail.com</w:t>
      </w:r>
      <w:r w:rsidDel="00000000" w:rsidR="00000000" w:rsidRPr="00000000">
        <w:rPr>
          <w:rtl w:val="0"/>
        </w:rPr>
      </w:r>
    </w:p>
  </w:footnote>
  <w:footnote w:id="75">
    <w:p w:rsidR="00000000" w:rsidDel="00000000" w:rsidP="00000000" w:rsidRDefault="00000000" w:rsidRPr="00000000" w14:paraId="000009EE">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 Associação Elas Existem-Mulheres Encarceradas é uma organização sem fins lucrativos manifestadamente feminista interseccional, anti-punitivista, abolicionista penal e tem como missão </w:t>
      </w:r>
      <w:r w:rsidDel="00000000" w:rsidR="00000000" w:rsidRPr="00000000">
        <w:rPr>
          <w:rFonts w:ascii="Times New Roman" w:cs="Times New Roman" w:eastAsia="Times New Roman" w:hAnsi="Times New Roman"/>
          <w:sz w:val="20"/>
          <w:szCs w:val="20"/>
          <w:highlight w:val="white"/>
          <w:rtl w:val="0"/>
        </w:rPr>
        <w:t xml:space="preserve">lutar pelo desencarceramento, pela redução do sofrimento e pela garantia de direitos de mulheres e adolescentes cis e trans em privação de liberdade.</w:t>
      </w:r>
      <w:r w:rsidDel="00000000" w:rsidR="00000000" w:rsidRPr="00000000">
        <w:rPr>
          <w:rtl w:val="0"/>
        </w:rPr>
      </w:r>
    </w:p>
  </w:footnote>
  <w:footnote w:id="76">
    <w:p w:rsidR="00000000" w:rsidDel="00000000" w:rsidP="00000000" w:rsidRDefault="00000000" w:rsidRPr="00000000" w14:paraId="000009EF">
      <w:pPr>
        <w:spacing w:after="0" w:line="240" w:lineRule="auto"/>
        <w:jc w:val="both"/>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highlight w:val="white"/>
          <w:rtl w:val="0"/>
        </w:rPr>
        <w:t xml:space="preserve"> O Congresso em Foco é um site jornalístico que faz uma cobertura apartidária do Congresso Nacional e dos principais fatos políticos da Capital Federal. No ano de 2010, iniciou uma parceria com o </w:t>
      </w:r>
      <w:hyperlink r:id="rId33">
        <w:r w:rsidDel="00000000" w:rsidR="00000000" w:rsidRPr="00000000">
          <w:rPr>
            <w:rFonts w:ascii="Times New Roman" w:cs="Times New Roman" w:eastAsia="Times New Roman" w:hAnsi="Times New Roman"/>
            <w:sz w:val="20"/>
            <w:szCs w:val="20"/>
            <w:highlight w:val="white"/>
            <w:rtl w:val="0"/>
          </w:rPr>
          <w:t xml:space="preserve">UOL</w:t>
        </w:r>
      </w:hyperlink>
      <w:r w:rsidDel="00000000" w:rsidR="00000000" w:rsidRPr="00000000">
        <w:rPr>
          <w:rFonts w:ascii="Times New Roman" w:cs="Times New Roman" w:eastAsia="Times New Roman" w:hAnsi="Times New Roman"/>
          <w:sz w:val="20"/>
          <w:szCs w:val="20"/>
          <w:highlight w:val="white"/>
          <w:rtl w:val="0"/>
        </w:rPr>
        <w:t xml:space="preserve">, onde se encontra hospedado.</w:t>
      </w:r>
    </w:p>
  </w:footnote>
  <w:footnote w:id="77">
    <w:p w:rsidR="00000000" w:rsidDel="00000000" w:rsidP="00000000" w:rsidRDefault="00000000" w:rsidRPr="00000000" w14:paraId="000009F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É uma organização de Direitos Humanos, fundada em 1997, cuja visão é a de erradicar a desigualdade de gênero, garantir direitos e combater o encarceramento. </w:t>
      </w:r>
      <w:r w:rsidDel="00000000" w:rsidR="00000000" w:rsidRPr="00000000">
        <w:rPr>
          <w:rtl w:val="0"/>
        </w:rPr>
      </w:r>
    </w:p>
  </w:footnote>
  <w:footnote w:id="78">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Doutoranda e Mestra em Serviço Social pelo PPGSS da UFRJ. Assistente Social com atuação na Rede de Atenção Psicossocial do município do Rio de Janeiro. E-mail: as.rosaria@gmail.com</w:t>
      </w:r>
    </w:p>
  </w:footnote>
  <w:footnote w:id="79">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 Organização Mundial de Saúde (OMS) declarou, no dia 11 de março de 2020 o início da Pandemia da COVID-19 e, no dia 05 de maio de 2023 demarcou oficialmente o fim da crise sanitária. </w:t>
      </w:r>
    </w:p>
  </w:footnote>
  <w:footnote w:id="80">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Para discussão detalhada sobre a temática do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care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sugiro ver (Gouveia, 2018).</w:t>
      </w:r>
    </w:p>
  </w:footnote>
  <w:footnote w:id="81">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Para o aprofundamento do debate sugiro a leitura de (Machado, 2018).</w:t>
      </w:r>
    </w:p>
  </w:footnote>
  <w:footnote w:id="82">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Marx compreende por acumulação primitiva “o processo histórico que dissocia o trabalhador dos meios de produção. É considerada primitiva porque constitui a pré-história do capital e do modo de produção capitalista” (Marx, 2009, p.828).</w:t>
      </w:r>
    </w:p>
  </w:footnote>
  <w:footnote w:id="83">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Em, 11 de março de 2020, a Organização Mundial de Sáude declarou a Covid-19 uma doença de caráter pandêmico, com exigências à população mundial, de severas medidas de isolamento social. </w:t>
      </w:r>
    </w:p>
  </w:footnote>
  <w:footnote w:id="84">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 Estupro de vulnerável é qualificado pelo artigo 217 do Código Penal Brasileiro, que proíbe a conjunção carnal ou prática de ato libidinoso com criança e/ou adolescente com idade inferior a 14 anos.</w:t>
      </w:r>
    </w:p>
  </w:footnote>
  <w:footnote w:id="85">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 pesquisa Nacional de Vitimização lançada pelo Ministério da Justiça, através da Secretaria Nacional de Segurança Pública – SENASP. A versão analisada foi lançada em maio de 2013. Cabe mencionar que verificamos as versões mais recentes, no entanto não constam dados sobre violencia sexual.</w:t>
      </w:r>
    </w:p>
  </w:footnote>
  <w:footnote w:id="86">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Publicação anual do Instituto de Segurança Pública do Estado do Rio de Janeiro que registra os dados sobre violência de gênero no Estado do Rio de Janeiro, tendo como referência a apuração dos dados obtidos através dos registros de ocorrências das Sedes de Delegacias de Polícia. No caso do Dossiê 2020, foram consolidados e analisados os quantitativos de registro de ocorrência realizados no ano de 2019.</w:t>
      </w:r>
    </w:p>
  </w:footnote>
  <w:footnote w:id="87">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Destacamos que até momento de revisão deste artigo, não havia sido lançado o Dossiê Mulher 2023, com a apuração dos indicadores da violência de gênero relativos ao ano de 2022. </w:t>
      </w:r>
    </w:p>
  </w:footnote>
  <w:footnote w:id="88">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Portaria do Ministério da Sáude que dispõe sobre o procedimento de justificação e autorização para interrupção da gravidez, nos casos previstos em lei: 1) em caso de risco de morte materna; 2) gestação em decorrência de estupro; 3) em caso de gestação de feto anencefálico.</w:t>
      </w:r>
    </w:p>
  </w:footnote>
  <w:footnote w:id="89">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 aplicativo EVISU é produto da pesquisa “Análise dos serviços de saúde na atenção as mulheres em situação de violência: estudo comparativo em duas capitais brasileiras  (Rio de Janeiro / Fortaleza). Através da parceria entre Universidade Federal do Rio de Janeiro, Universidade Federal de Fortaleza e FUNCAP (Fundação Cearense de Apoio ao Desenvolvimento Científico e Tecnológico. Seu objetivo é fornecer informações sobre o enfrentamento à violência contra a mulher, contribuindo para a formação e qualificação profissional, bem como a visibilidade do tema.</w:t>
      </w:r>
      <w:r w:rsidDel="00000000" w:rsidR="00000000" w:rsidRPr="00000000">
        <w:rPr>
          <w:rtl w:val="0"/>
        </w:rPr>
      </w:r>
    </w:p>
  </w:footnote>
  <w:footnote w:id="90">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Mestranda do Programa de Pós-graduação em Políticas Públicas e Direitos Humanos do Núcleo de Políticas Públicas em Direitos Humanos - NEPP-DH/UFRJ. Especialista em Gênero e Direito pela Escola de Magistratura do Estado do Rio de Janeiro - EMERJ. Pesquisadora colaboradora do Núcleo de Pesquisa em Gênero, Raça e Etnia/ NUPEGRE/ EMERJ. Diretora do Centro Especializado de Atendimento à Mulher Chiquinha Gonzaga/ SPM-Rio/ Prefeitura RJ. E-mail: ropereirapcrj@gmail.com / http://lattes.cnpq.br/2223577856440074.</w:t>
      </w:r>
    </w:p>
  </w:footnote>
  <w:footnote w:id="91">
    <w:p w:rsidR="00000000" w:rsidDel="00000000" w:rsidP="00000000" w:rsidRDefault="00000000" w:rsidRPr="00000000" w14:paraId="000009F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Disponível em: https://www.tjrj.jus.br/web/portal-conhecimento/noticias/noticia/-/visualizar-conteudo/5736540/ 251498376. Acesso em: 05 out. 2023</w:t>
      </w:r>
      <w:r w:rsidDel="00000000" w:rsidR="00000000" w:rsidRPr="00000000">
        <w:rPr>
          <w:rtl w:val="0"/>
        </w:rPr>
      </w:r>
    </w:p>
  </w:footnote>
  <w:footnote w:id="92">
    <w:p w:rsidR="00000000" w:rsidDel="00000000" w:rsidP="00000000" w:rsidRDefault="00000000" w:rsidRPr="00000000" w14:paraId="000009F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Nos documentos consultados não encontramos a autodeclaração da cor/raça/etnia de Aline. Pelas fotos e vídeos percebemos uma mulher de pele clara e cabelos escuros.</w:t>
      </w:r>
    </w:p>
  </w:footnote>
  <w:footnote w:id="93">
    <w:p w:rsidR="00000000" w:rsidDel="00000000" w:rsidP="00000000" w:rsidRDefault="00000000" w:rsidRPr="00000000" w14:paraId="00000A0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0"/>
          <w:szCs w:val="20"/>
          <w:rtl w:val="0"/>
        </w:rPr>
        <w:t xml:space="preserve">Disponível em: </w:t>
      </w:r>
      <w:hyperlink r:id="rId34">
        <w:r w:rsidDel="00000000" w:rsidR="00000000" w:rsidRPr="00000000">
          <w:rPr>
            <w:rFonts w:ascii="Times New Roman" w:cs="Times New Roman" w:eastAsia="Times New Roman" w:hAnsi="Times New Roman"/>
            <w:color w:val="000000"/>
            <w:sz w:val="20"/>
            <w:szCs w:val="20"/>
            <w:rtl w:val="0"/>
          </w:rPr>
          <w:t xml:space="preserve">https://www.megacurioso.com.br/estilo-de-vida/124496-o-que-e-redpill-incel-mgtow-entenda-termos-misoginos-da-internet.htm</w:t>
        </w:r>
      </w:hyperlink>
      <w:r w:rsidDel="00000000" w:rsidR="00000000" w:rsidRPr="00000000">
        <w:rPr>
          <w:rFonts w:ascii="Times New Roman" w:cs="Times New Roman" w:eastAsia="Times New Roman" w:hAnsi="Times New Roman"/>
          <w:color w:val="000000"/>
          <w:sz w:val="20"/>
          <w:szCs w:val="20"/>
          <w:rtl w:val="0"/>
        </w:rPr>
        <w:t xml:space="preserve">.  Acesso em: 05 out. 2023</w:t>
      </w:r>
      <w:r w:rsidDel="00000000" w:rsidR="00000000" w:rsidRPr="00000000">
        <w:rPr>
          <w:rtl w:val="0"/>
        </w:rPr>
      </w:r>
    </w:p>
  </w:footnote>
  <w:footnote w:id="94">
    <w:p w:rsidR="00000000" w:rsidDel="00000000" w:rsidP="00000000" w:rsidRDefault="00000000" w:rsidRPr="00000000" w14:paraId="00000A0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Organização Mundial de Saúde. </w:t>
      </w:r>
      <w:r w:rsidDel="00000000" w:rsidR="00000000" w:rsidRPr="00000000">
        <w:rPr>
          <w:rFonts w:ascii="Times New Roman" w:cs="Times New Roman" w:eastAsia="Times New Roman" w:hAnsi="Times New Roman"/>
          <w:b w:val="1"/>
          <w:color w:val="000000"/>
          <w:sz w:val="20"/>
          <w:szCs w:val="20"/>
          <w:rtl w:val="0"/>
        </w:rPr>
        <w:t xml:space="preserve">Violence </w:t>
      </w:r>
      <w:r w:rsidDel="00000000" w:rsidR="00000000" w:rsidRPr="00000000">
        <w:rPr>
          <w:rFonts w:ascii="Times New Roman" w:cs="Times New Roman" w:eastAsia="Times New Roman" w:hAnsi="Times New Roman"/>
          <w:b w:val="1"/>
          <w:sz w:val="20"/>
          <w:szCs w:val="20"/>
          <w:rtl w:val="0"/>
        </w:rPr>
        <w:t xml:space="preserve">against</w:t>
      </w:r>
      <w:r w:rsidDel="00000000" w:rsidR="00000000" w:rsidRPr="00000000">
        <w:rPr>
          <w:rFonts w:ascii="Times New Roman" w:cs="Times New Roman" w:eastAsia="Times New Roman" w:hAnsi="Times New Roman"/>
          <w:b w:val="1"/>
          <w:color w:val="000000"/>
          <w:sz w:val="20"/>
          <w:szCs w:val="20"/>
          <w:rtl w:val="0"/>
        </w:rPr>
        <w:t xml:space="preserve"> women.</w:t>
      </w:r>
      <w:r w:rsidDel="00000000" w:rsidR="00000000" w:rsidRPr="00000000">
        <w:rPr>
          <w:rFonts w:ascii="Times New Roman" w:cs="Times New Roman" w:eastAsia="Times New Roman" w:hAnsi="Times New Roman"/>
          <w:color w:val="000000"/>
          <w:sz w:val="20"/>
          <w:szCs w:val="20"/>
          <w:rtl w:val="0"/>
        </w:rPr>
        <w:t xml:space="preserve"> OMS/OPAS. Disponível em: </w:t>
      </w:r>
      <w:hyperlink r:id="rId35">
        <w:r w:rsidDel="00000000" w:rsidR="00000000" w:rsidRPr="00000000">
          <w:rPr>
            <w:rFonts w:ascii="Times New Roman" w:cs="Times New Roman" w:eastAsia="Times New Roman" w:hAnsi="Times New Roman"/>
            <w:color w:val="0563c1"/>
            <w:sz w:val="20"/>
            <w:szCs w:val="20"/>
            <w:u w:val="single"/>
            <w:rtl w:val="0"/>
          </w:rPr>
          <w:t xml:space="preserve">https://www.paho.org/pt/topics/violence-against-women</w:t>
        </w:r>
      </w:hyperlink>
      <w:r w:rsidDel="00000000" w:rsidR="00000000" w:rsidRPr="00000000">
        <w:rPr>
          <w:rFonts w:ascii="Times New Roman" w:cs="Times New Roman" w:eastAsia="Times New Roman" w:hAnsi="Times New Roman"/>
          <w:color w:val="000000"/>
          <w:sz w:val="20"/>
          <w:szCs w:val="20"/>
          <w:rtl w:val="0"/>
        </w:rPr>
        <w:t xml:space="preserve">. Acesso em 10 jul. 2023. </w:t>
      </w:r>
    </w:p>
  </w:footnote>
  <w:footnote w:id="95">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Advogada e Servidora Pública do Município do Rio de Janeiro. Mestre em Políticas Públicas de Direitos Humanos (NEPP/UFRJ); Mestre em Direito das Relações Internacionais e Integração da América Latina (UDE/Uruguai). Pós-graduada em Direito Penal e Processo Penal, em Direito de Família, em Direito Internacional e Direitos Humanos pela Universidade Cândido Mendes (UCAM). Pós-graduada em Gênero e Direito pela Escola de Magistratura do Estado do Rio de Janeiro (EMERJ) e em História da África e Cultura afro-brasileira pela Universidade Santa Úrsula/ Instituto Pretos Novos. e-mail: prof.daniellesouza@gmail.com</w:t>
      </w:r>
      <w:r w:rsidDel="00000000" w:rsidR="00000000" w:rsidRPr="00000000">
        <w:rPr>
          <w:rtl w:val="0"/>
        </w:rPr>
      </w:r>
    </w:p>
  </w:footnote>
  <w:footnote w:id="96">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a1a1a"/>
          <w:sz w:val="20"/>
          <w:szCs w:val="20"/>
          <w:highlight w:val="white"/>
          <w:u w:val="none"/>
          <w:vertAlign w:val="baseline"/>
          <w:rtl w:val="0"/>
        </w:rPr>
        <w:t xml:space="preserve">RADFORD, Jill; RUSSEL, Diana (Orgs.). Femicide: the politics of woman killing. New York: Twayne Publishers, 1992.</w:t>
      </w:r>
      <w:r w:rsidDel="00000000" w:rsidR="00000000" w:rsidRPr="00000000">
        <w:rPr>
          <w:rtl w:val="0"/>
        </w:rPr>
      </w:r>
    </w:p>
  </w:footnote>
  <w:footnote w:id="97">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RORIZ, Regina Célia Lopes Lustosa. Mulher, Direito Penal e Justiça Restaurativa: da proteção simbólica à possibilidade de restauração. 2010. 206 f. Tese (Mestrado em Direito) – Faculdade de Direito do Recife, Universidade Federal de Pernambuco, Recife. 2010 p. 38. </w:t>
      </w:r>
    </w:p>
  </w:footnote>
  <w:footnote w:id="98">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Não se pretende, aqui, tratar do movimento feminista como um movimento composto por um grupo homogêneo com demandas coesas, de modo que não se pode afirmar que a busca pela repressividade do sistema penal como modo de enfrentamento da violência de gênero seja uma demanda de todas as feministas. </w:t>
      </w:r>
    </w:p>
  </w:footnote>
  <w:footnote w:id="99">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instauração dessa Comissão corresponde a compromissos internacionais firmados no sentido de erradicar a violência de gênero e punir o feminicídio, tais como as Conclusões Acordadas da 57ª Sessão da Comissão sobre o Status da Mulher da ONU (2013) e a criação de um Protocolo para a Investigação de Assassinatos Violentos Relacionados a Gênero de Mulheres/Feminicídio.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0">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O Júri é um órgão colegiado heterogêneo, hoje constitucional e não um tribunal de exceção, bifásico, presidido por um juiz togado e 25 jurados. Competente para julgar os crimes dolosos contra a vida e seus conexos. ARAUJO, Daniela Galvão. SILVA, Patricia Fernandes Carneiro. Artigo: Tribunal do Júri: Organização. Publicação em 08/2017. Definição disponível em &lt;</w:t>
      </w:r>
      <w:hyperlink r:id="rId36">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https://jus.com.br/artigos/59672/tribunal-do-juri-organizacao</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&gt; Acesso em 05 out 2023.</w:t>
      </w:r>
    </w:p>
  </w:footnote>
  <w:footnote w:id="101">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documento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Diretrizes Nacionais para investigar, processar e julgar com perspectiva de gênero as mortes violentas de mulheres (feminicídios)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é resultado do processo de adaptação do Modelo de Protocolo latino-americano para investigação das mortes violentas de mulheres por razões de gênero (femicídio/feminicídio) à realidade social, cultural, política e jurídica no Brasil.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2">
    <w:p w:rsidR="00000000" w:rsidDel="00000000" w:rsidP="00000000" w:rsidRDefault="00000000" w:rsidRPr="00000000" w14:paraId="00000A09">
      <w:pPr>
        <w:spacing w:after="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OACNUDH. América Central do Alto Comissariado das Nações Unidas para os Direitos Humano. Modelo de Protocolo Latino-Americano de Investigação das Mortes Violentas de Mulheres por Razões de Gênero (Femicídio/Feminicídio). Tradução para o português Lucas Cureau. Brasília: ONU Mulheres, 2014. Disponível em: &lt; https://www.onumulheres.org.br/wp-content/uploads/2015/05/protocolo_feminicidio_publicacao.pdf &gt;. Acesso em 05 out 2023.</w:t>
      </w:r>
    </w:p>
  </w:footnote>
  <w:footnote w:id="103">
    <w:p w:rsidR="00000000" w:rsidDel="00000000" w:rsidP="00000000" w:rsidRDefault="00000000" w:rsidRPr="00000000" w14:paraId="00000A0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ROUSSEFF, Dilma; GOMES; Nina Lino; MENICUCCI, Eleonora. Diretrizes Nacionais  Feminicídio – Investigar, Processar e Julgar com perspectivas de gênero as mortes violentas de mulheres. Disponível em &lt; </w:t>
      </w:r>
      <w:hyperlink r:id="rId37">
        <w:r w:rsidDel="00000000" w:rsidR="00000000" w:rsidRPr="00000000">
          <w:rPr>
            <w:rFonts w:ascii="Times New Roman" w:cs="Times New Roman" w:eastAsia="Times New Roman" w:hAnsi="Times New Roman"/>
            <w:color w:val="0563c1"/>
            <w:sz w:val="20"/>
            <w:szCs w:val="20"/>
            <w:u w:val="single"/>
            <w:rtl w:val="0"/>
          </w:rPr>
          <w:t xml:space="preserve">http://www.onumulheres.org.br/wp-content/uploads/2016/04/diretrizes_feminicidio.pdf</w:t>
        </w:r>
      </w:hyperlink>
      <w:r w:rsidDel="00000000" w:rsidR="00000000" w:rsidRPr="00000000">
        <w:rPr>
          <w:rFonts w:ascii="Times New Roman" w:cs="Times New Roman" w:eastAsia="Times New Roman" w:hAnsi="Times New Roman"/>
          <w:sz w:val="20"/>
          <w:szCs w:val="20"/>
          <w:rtl w:val="0"/>
        </w:rPr>
        <w:t xml:space="preserve">&gt;. Acesso em 05 out 2023. </w:t>
      </w:r>
    </w:p>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04">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COMISSÃO INTERAMERICANA DE DIREITOS HUMANOS. Relatório Anual 2000. Relatório nº 54/01. Maria da Penha Maia Fernandes – 04 de abril de 2001. Disponível em &lt; </w:t>
      </w:r>
      <w:hyperlink r:id="rId38">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https://www.cidh.oas.org/annualrep/2000port/12051.htm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&gt; Acesso em 05 out 2023. </w:t>
      </w:r>
    </w:p>
  </w:footnote>
  <w:footnote w:id="105">
    <w:p w:rsidR="00000000" w:rsidDel="00000000" w:rsidP="00000000" w:rsidRDefault="00000000" w:rsidRPr="00000000" w14:paraId="00000A0D">
      <w:pPr>
        <w:spacing w:after="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Nesse sentido ver art. 387, IV do Código de Processo Penal. “</w:t>
      </w:r>
      <w:r w:rsidDel="00000000" w:rsidR="00000000" w:rsidRPr="00000000">
        <w:rPr>
          <w:rFonts w:ascii="Times New Roman" w:cs="Times New Roman" w:eastAsia="Times New Roman" w:hAnsi="Times New Roman"/>
          <w:sz w:val="20"/>
          <w:szCs w:val="20"/>
          <w:highlight w:val="white"/>
          <w:rtl w:val="0"/>
        </w:rPr>
        <w:t xml:space="preserve">Art. 387.  O juiz, ao proferir sentença condenatória:  IV - fixará valor mínimo para reparação dos danos causados pela infração, considerando os prejuízos sofridos pelo ofendido. Disponível em: &lt;</w:t>
      </w:r>
      <w:hyperlink r:id="rId39">
        <w:r w:rsidDel="00000000" w:rsidR="00000000" w:rsidRPr="00000000">
          <w:rPr>
            <w:rFonts w:ascii="Times New Roman" w:cs="Times New Roman" w:eastAsia="Times New Roman" w:hAnsi="Times New Roman"/>
            <w:color w:val="0563c1"/>
            <w:sz w:val="20"/>
            <w:szCs w:val="20"/>
            <w:highlight w:val="white"/>
            <w:u w:val="single"/>
            <w:rtl w:val="0"/>
          </w:rPr>
          <w:t xml:space="preserve">www.planalto.gov.br/ccivil_03/decreto-lei/del3689compilado.htm&gt; Acesso em 05 out 2023. </w:t>
        </w:r>
      </w:hyperlink>
      <w:r w:rsidDel="00000000" w:rsidR="00000000" w:rsidRPr="00000000">
        <w:rPr>
          <w:rtl w:val="0"/>
        </w:rPr>
      </w:r>
    </w:p>
  </w:footnote>
  <w:footnote w:id="106">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Outras hipóteses encontram-se previstas no artigo 950, do CCB, que trata inclusive da pensão mensal alimentar à vítima sobrevivente ou da opção de pagamento em parcela única indenizatória. Também caberá indenização por injúria, difamação ou calúnia, nos termos do artigo 953, do CCB, para as vítimas sobreviventes ou indiretas, dependendo da extensão do dano.</w:t>
      </w:r>
    </w:p>
  </w:footnote>
  <w:footnote w:id="107">
    <w:p w:rsidR="00000000" w:rsidDel="00000000" w:rsidP="00000000" w:rsidRDefault="00000000" w:rsidRPr="00000000" w14:paraId="00000A0F">
      <w:pPr>
        <w:spacing w:after="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São exemplos dessa culpa do serviço ou falta de serviço a morosidade na investigação policial ou, nos casos específicos das medidas protetivas de urgência, quando ocorre a demora da concessão de medida protetiva requerida pela vítima ao Poder Judiciário, que não analisa o pedido no prazo de 48 horas, como determinado pelo art. 18 da LMP, ou quando a medida é expedida, porém há total ausência de monitoramento de seu cumprimento por parte do Estado. Esses casos podem ensejar a responsabilização do Estado em eventual crime de feminicídio ou tentativa, deste pelo não cumprimento do dever de devida diligência, e a possibilidade de indenização para a vítima sobrevivente ou as vítimas indiretas.</w:t>
      </w:r>
    </w:p>
  </w:footnote>
  <w:footnote w:id="108">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BRASIL. Lei Federal Nº 13.239, de 30 de dezembro de 2015. Disponível em: </w:t>
      </w:r>
      <w:hyperlink r:id="rId40">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http://www.planalto.gov.br/ccivil_03/_ato2015-2018/2015/lei/L13239.htm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Acesso em: 05 out 2023.</w:t>
      </w:r>
    </w:p>
  </w:footnote>
  <w:footnote w:id="109">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CÂMARA DOS DEPUTADOS. Projeto de Lei nº 976 de 2022. Disponível em: &lt;</w:t>
      </w:r>
      <w:hyperlink r:id="rId41">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https://www.camara.leg.br/proposicoesWeb/prop_mostrarintegra?codteor=2159662</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&gt; Acesso em 05 out 2023. </w:t>
      </w:r>
    </w:p>
  </w:footnote>
  <w:footnote w:id="110">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57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OLIVEIRA, Natália. Rio cria auxílio financeiro para órfãos de vítimas do feminicídio. Disponível &lt;h</w:t>
      </w:r>
      <w:hyperlink r:id="rId42">
        <w:r w:rsidDel="00000000" w:rsidR="00000000" w:rsidRPr="00000000">
          <w:rPr>
            <w:rFonts w:ascii="Times New Roman" w:cs="Times New Roman" w:eastAsia="Times New Roman" w:hAnsi="Times New Roman"/>
            <w:b w:val="0"/>
            <w:i w:val="0"/>
            <w:smallCaps w:val="0"/>
            <w:strike w:val="0"/>
            <w:color w:val="0563c1"/>
            <w:sz w:val="20"/>
            <w:szCs w:val="20"/>
            <w:highlight w:val="white"/>
            <w:u w:val="single"/>
            <w:vertAlign w:val="baseline"/>
            <w:rtl w:val="0"/>
          </w:rPr>
          <w:t xml:space="preserve">ttps://oglobo.globo.com/rio/noticia/2022/08/rio-cria-auxilio-financeiro-para-orfaos-de-vitimas-do-feminicidio.ghtml</w:t>
        </w:r>
      </w:hyperlink>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Acesso em 05 out 2023.</w:t>
      </w:r>
      <w:r w:rsidDel="00000000" w:rsidR="00000000" w:rsidRPr="00000000">
        <w:rPr>
          <w:rtl w:val="0"/>
        </w:rPr>
      </w:r>
    </w:p>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11">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Advogada, pós-graduação lato </w:t>
      </w:r>
      <w:r w:rsidDel="00000000" w:rsidR="00000000" w:rsidRPr="00000000">
        <w:rPr>
          <w:rFonts w:ascii="Times New Roman" w:cs="Times New Roman" w:eastAsia="Times New Roman" w:hAnsi="Times New Roman"/>
          <w:sz w:val="20"/>
          <w:szCs w:val="20"/>
          <w:rtl w:val="0"/>
        </w:rPr>
        <w:t xml:space="preserve">sensu</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 Direito Público (UCAM), mestre em Políticas Públicas em Direitos Humanos (PPDH-UFRJ), co-idealizadora e co-diretora executiva do projeto A Tenda das Candidatas. Email: lauraastrolabio@gmail.com</w:t>
      </w:r>
      <w:r w:rsidDel="00000000" w:rsidR="00000000" w:rsidRPr="00000000">
        <w:rPr>
          <w:rtl w:val="0"/>
        </w:rPr>
      </w:r>
    </w:p>
  </w:footnote>
  <w:footnote w:id="112">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MULHERES NEGRAS DECIDEM. 2022. Disponível em </w:t>
      </w:r>
      <w:hyperlink r:id="rId43">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https://mulheresnegrasdecidem.org/dados/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113">
    <w:p w:rsidR="00000000" w:rsidDel="00000000" w:rsidP="00000000" w:rsidRDefault="00000000" w:rsidRPr="00000000" w14:paraId="00000A17">
      <w:pPr>
        <w:pStyle w:val="Heading2"/>
        <w:pBdr>
          <w:bottom w:color="eeeeee" w:space="7" w:sz="6" w:val="single"/>
        </w:pBdr>
        <w:spacing w:after="75" w:before="0" w:lineRule="auto"/>
        <w:jc w:val="both"/>
        <w:rPr>
          <w:rFonts w:ascii="Times New Roman" w:cs="Times New Roman" w:eastAsia="Times New Roman" w:hAnsi="Times New Roman"/>
          <w:b w:val="1"/>
          <w:color w:val="333333"/>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333333"/>
          <w:sz w:val="20"/>
          <w:szCs w:val="20"/>
          <w:rtl w:val="0"/>
        </w:rPr>
        <w:t xml:space="preserve"> FVG SISTEMA DE BIBLIOTECAS. 2019. Disponível em:  </w:t>
      </w:r>
      <w:hyperlink r:id="rId44">
        <w:r w:rsidDel="00000000" w:rsidR="00000000" w:rsidRPr="00000000">
          <w:rPr>
            <w:rFonts w:ascii="Times New Roman" w:cs="Times New Roman" w:eastAsia="Times New Roman" w:hAnsi="Times New Roman"/>
            <w:color w:val="0563c1"/>
            <w:sz w:val="20"/>
            <w:szCs w:val="20"/>
            <w:u w:val="single"/>
            <w:rtl w:val="0"/>
          </w:rPr>
          <w:t xml:space="preserve">https://bibliotecadigital.fgv.br/dspace/handle/10438/27646</w:t>
        </w:r>
      </w:hyperlink>
      <w:r w:rsidDel="00000000" w:rsidR="00000000" w:rsidRPr="00000000">
        <w:rPr>
          <w:rFonts w:ascii="Times New Roman" w:cs="Times New Roman" w:eastAsia="Times New Roman" w:hAnsi="Times New Roman"/>
          <w:color w:val="333333"/>
          <w:sz w:val="20"/>
          <w:szCs w:val="20"/>
          <w:rtl w:val="0"/>
        </w:rPr>
        <w:t xml:space="preserve"> . Acesso em: 06 out 2023.</w:t>
      </w:r>
      <w:r w:rsidDel="00000000" w:rsidR="00000000" w:rsidRPr="00000000">
        <w:rPr>
          <w:rtl w:val="0"/>
        </w:rPr>
      </w:r>
    </w:p>
    <w:p w:rsidR="00000000" w:rsidDel="00000000" w:rsidP="00000000" w:rsidRDefault="00000000" w:rsidRPr="00000000" w14:paraId="00000A18">
      <w:pPr>
        <w:pStyle w:val="Heading2"/>
        <w:pBdr>
          <w:bottom w:color="eeeeee" w:space="7" w:sz="6" w:val="single"/>
        </w:pBdr>
        <w:spacing w:after="75" w:before="0" w:lineRule="auto"/>
        <w:jc w:val="both"/>
        <w:rPr>
          <w:b w:val="1"/>
          <w:color w:val="333333"/>
          <w:sz w:val="20"/>
          <w:szCs w:val="20"/>
        </w:rPr>
      </w:pPr>
      <w:r w:rsidDel="00000000" w:rsidR="00000000" w:rsidRPr="00000000">
        <w:rPr>
          <w:rtl w:val="0"/>
        </w:rPr>
      </w:r>
    </w:p>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14">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TENDA DAS CANDIDATAS. 2023. Disponível em:  </w:t>
      </w:r>
      <w:hyperlink r:id="rId45">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https://atendadascandidatas.org/pesquisa-combatendo-a-sub-representacao-de-genero-e-raca-na-politica-2020-2022/</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footnote>
  <w:footnote w:id="115">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TENDA DAS CANDIDATAS. 2023. Disponível em: </w:t>
      </w:r>
      <w:hyperlink r:id="rId46">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https://atendadascandidatas.org/campaign/a-conta-nao-fecha/</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footnote>
  <w:footnote w:id="116">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TENDA DAS CANDIDATAS. 2023. Disponível em: </w:t>
      </w:r>
      <w:hyperlink r:id="rId47">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https://atendadascandidatas.org/cartilha-leis-de-acoes-afirmativas-de-genero-e-raca-na-politica-x-anistia-aos-partidos/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footnote>
  <w:footnote w:id="117">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CÂMARA DOS DEPUTADOS. 2023. Disponível em: </w:t>
      </w:r>
      <w:hyperlink r:id="rId48">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https://www.camara.leg.br/proposicoesWeb/prop_mostrarintegra?codteor=2247263</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footnote>
  <w:footnote w:id="118">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GÊNERO E NÚMERO.  2022. Disponível em:  </w:t>
      </w:r>
      <w:hyperlink r:id="rId49">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https://www.generonumero.media/reportagens/eleicoes-2022-mulheres-negrass-recebem-apenas-20-do-recursos-para-homens-brancos/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footnote>
  <w:footnote w:id="119">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MULHERES NEGRAS DECIDEM. 2022. Disponível em: </w:t>
      </w:r>
      <w:hyperlink r:id="rId50">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https://mulheresnegrasdecidem.org/mitos-eleitorais/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Acesso em: 06 out 2023.</w:t>
      </w:r>
    </w:p>
  </w:footnote>
  <w:footnote w:id="120">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acharela em Direito pela FND/UFRJ; Especialista em Direitos Humanos e Questão Social pela PUC-PR; Mestre em Políticas Públicas em Direitos Humanos pelo NEPP-DH/UFRJ. julianvargas1609@gmail.com</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102"/>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har"/>
    <w:uiPriority w:val="9"/>
    <w:qFormat w:val="1"/>
    <w:rsid w:val="00E02C25"/>
    <w:pPr>
      <w:widowControl w:val="0"/>
      <w:autoSpaceDE w:val="0"/>
      <w:autoSpaceDN w:val="0"/>
      <w:spacing w:after="0" w:line="240" w:lineRule="auto"/>
      <w:ind w:left="102"/>
      <w:outlineLvl w:val="0"/>
    </w:pPr>
    <w:rPr>
      <w:rFonts w:ascii="Times New Roman" w:cs="Times New Roman" w:eastAsia="Times New Roman" w:hAnsi="Times New Roman"/>
      <w:b w:val="1"/>
      <w:bCs w:val="1"/>
      <w:kern w:val="0"/>
      <w:sz w:val="24"/>
      <w:szCs w:val="24"/>
      <w:lang w:val="pt-PT"/>
    </w:rPr>
  </w:style>
  <w:style w:type="paragraph" w:styleId="Ttulo2">
    <w:name w:val="heading 2"/>
    <w:basedOn w:val="Normal"/>
    <w:next w:val="Normal"/>
    <w:link w:val="Ttulo2Char"/>
    <w:uiPriority w:val="9"/>
    <w:unhideWhenUsed w:val="1"/>
    <w:qFormat w:val="1"/>
    <w:rsid w:val="004503EA"/>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ncoradanotaderodap" w:customStyle="1">
    <w:name w:val="Âncora da nota de rodapé"/>
    <w:rsid w:val="00D26EEB"/>
    <w:rPr>
      <w:vertAlign w:val="superscript"/>
    </w:rPr>
  </w:style>
  <w:style w:type="character" w:styleId="LinkdaInternet" w:customStyle="1">
    <w:name w:val="Link da Internet"/>
    <w:basedOn w:val="Fontepargpadro"/>
    <w:rsid w:val="00D26EEB"/>
    <w:rPr>
      <w:color w:val="0000ff"/>
      <w:u w:val="single"/>
    </w:rPr>
  </w:style>
  <w:style w:type="character" w:styleId="Caracteresdenotaderodap" w:customStyle="1">
    <w:name w:val="Caracteres de nota de rodapé"/>
    <w:uiPriority w:val="7"/>
    <w:qFormat w:val="1"/>
    <w:rsid w:val="00D26EEB"/>
  </w:style>
  <w:style w:type="character" w:styleId="Hyperlink">
    <w:name w:val="Hyperlink"/>
    <w:basedOn w:val="Fontepargpadro"/>
    <w:uiPriority w:val="99"/>
    <w:unhideWhenUsed w:val="1"/>
    <w:rsid w:val="00987E3D"/>
    <w:rPr>
      <w:color w:val="0563c1" w:themeColor="hyperlink"/>
      <w:u w:val="single"/>
    </w:rPr>
  </w:style>
  <w:style w:type="paragraph" w:styleId="Textodenotaderodap">
    <w:name w:val="footnote text"/>
    <w:basedOn w:val="Normal"/>
    <w:link w:val="TextodenotaderodapChar"/>
    <w:uiPriority w:val="99"/>
    <w:unhideWhenUsed w:val="1"/>
    <w:rsid w:val="007A0049"/>
    <w:pPr>
      <w:spacing w:after="0" w:line="240" w:lineRule="auto"/>
    </w:pPr>
    <w:rPr>
      <w:kern w:val="0"/>
      <w:sz w:val="20"/>
      <w:szCs w:val="20"/>
    </w:rPr>
  </w:style>
  <w:style w:type="character" w:styleId="TextodenotaderodapChar" w:customStyle="1">
    <w:name w:val="Texto de nota de rodapé Char"/>
    <w:basedOn w:val="Fontepargpadro"/>
    <w:link w:val="Textodenotaderodap"/>
    <w:uiPriority w:val="99"/>
    <w:rsid w:val="007A0049"/>
    <w:rPr>
      <w:kern w:val="0"/>
      <w:sz w:val="20"/>
      <w:szCs w:val="20"/>
    </w:rPr>
  </w:style>
  <w:style w:type="character" w:styleId="Refdenotaderodap">
    <w:name w:val="footnote reference"/>
    <w:basedOn w:val="Fontepargpadro"/>
    <w:uiPriority w:val="99"/>
    <w:unhideWhenUsed w:val="1"/>
    <w:rsid w:val="007A0049"/>
    <w:rPr>
      <w:vertAlign w:val="superscript"/>
    </w:rPr>
  </w:style>
  <w:style w:type="paragraph" w:styleId="css-1ikvhrr-paragraph" w:customStyle="1">
    <w:name w:val="css-1ikvhrr-paragraph"/>
    <w:basedOn w:val="Normal"/>
    <w:rsid w:val="007A0049"/>
    <w:pPr>
      <w:spacing w:after="100" w:afterAutospacing="1" w:before="100" w:beforeAutospacing="1" w:line="240" w:lineRule="auto"/>
    </w:pPr>
    <w:rPr>
      <w:rFonts w:ascii="Times New Roman" w:cs="Times New Roman" w:eastAsia="Times New Roman" w:hAnsi="Times New Roman"/>
      <w:kern w:val="0"/>
      <w:sz w:val="24"/>
      <w:szCs w:val="24"/>
      <w:lang w:eastAsia="pt-BR"/>
    </w:rPr>
  </w:style>
  <w:style w:type="character" w:styleId="Refdecomentrio">
    <w:name w:val="annotation reference"/>
    <w:basedOn w:val="Fontepargpadro"/>
    <w:uiPriority w:val="99"/>
    <w:semiHidden w:val="1"/>
    <w:unhideWhenUsed w:val="1"/>
    <w:rsid w:val="007A0049"/>
    <w:rPr>
      <w:sz w:val="16"/>
      <w:szCs w:val="16"/>
    </w:rPr>
  </w:style>
  <w:style w:type="paragraph" w:styleId="Textodecomentrio">
    <w:name w:val="annotation text"/>
    <w:basedOn w:val="Normal"/>
    <w:link w:val="TextodecomentrioChar"/>
    <w:uiPriority w:val="99"/>
    <w:unhideWhenUsed w:val="1"/>
    <w:rsid w:val="007A0049"/>
    <w:pPr>
      <w:spacing w:line="240" w:lineRule="auto"/>
    </w:pPr>
    <w:rPr>
      <w:kern w:val="0"/>
      <w:sz w:val="20"/>
      <w:szCs w:val="20"/>
    </w:rPr>
  </w:style>
  <w:style w:type="character" w:styleId="TextodecomentrioChar" w:customStyle="1">
    <w:name w:val="Texto de comentário Char"/>
    <w:basedOn w:val="Fontepargpadro"/>
    <w:link w:val="Textodecomentrio"/>
    <w:uiPriority w:val="99"/>
    <w:rsid w:val="007A0049"/>
    <w:rPr>
      <w:kern w:val="0"/>
      <w:sz w:val="20"/>
      <w:szCs w:val="20"/>
    </w:rPr>
  </w:style>
  <w:style w:type="character" w:styleId="Nenhum" w:customStyle="1">
    <w:name w:val="Nenhum"/>
    <w:rsid w:val="00E32DC1"/>
  </w:style>
  <w:style w:type="paragraph" w:styleId="Normal1" w:customStyle="1">
    <w:name w:val="Normal1"/>
    <w:rsid w:val="00707B71"/>
    <w:pPr>
      <w:spacing w:after="0" w:line="276" w:lineRule="auto"/>
    </w:pPr>
    <w:rPr>
      <w:rFonts w:ascii="Arial" w:cs="Arial" w:eastAsia="Arial" w:hAnsi="Arial"/>
      <w:kern w:val="0"/>
      <w:lang w:eastAsia="pt-BR"/>
    </w:rPr>
  </w:style>
  <w:style w:type="paragraph" w:styleId="NormalWeb">
    <w:name w:val="Normal (Web)"/>
    <w:basedOn w:val="Normal"/>
    <w:uiPriority w:val="99"/>
    <w:unhideWhenUsed w:val="1"/>
    <w:rsid w:val="002B1853"/>
    <w:pPr>
      <w:spacing w:after="100" w:afterAutospacing="1" w:before="100" w:beforeAutospacing="1" w:line="240" w:lineRule="auto"/>
    </w:pPr>
    <w:rPr>
      <w:rFonts w:ascii="Times New Roman" w:cs="Times New Roman" w:eastAsia="Times New Roman" w:hAnsi="Times New Roman"/>
      <w:kern w:val="0"/>
      <w:sz w:val="24"/>
      <w:szCs w:val="24"/>
      <w:lang w:eastAsia="pt-BR"/>
    </w:rPr>
  </w:style>
  <w:style w:type="character" w:styleId="Fontepargpadro1" w:customStyle="1">
    <w:name w:val="Fonte parág. padrão1"/>
    <w:uiPriority w:val="6"/>
    <w:rsid w:val="00C06273"/>
  </w:style>
  <w:style w:type="character" w:styleId="Refdenotaderodap2" w:customStyle="1">
    <w:name w:val="Ref. de nota de rodapé2"/>
    <w:uiPriority w:val="6"/>
    <w:rsid w:val="00C06273"/>
    <w:rPr>
      <w:vertAlign w:val="superscript"/>
    </w:rPr>
  </w:style>
  <w:style w:type="character" w:styleId="A5" w:customStyle="1">
    <w:name w:val="A5"/>
    <w:uiPriority w:val="99"/>
    <w:rsid w:val="00C06273"/>
    <w:rPr>
      <w:b w:val="1"/>
      <w:sz w:val="18"/>
    </w:rPr>
  </w:style>
  <w:style w:type="character" w:styleId="A6" w:customStyle="1">
    <w:name w:val="A6"/>
    <w:rsid w:val="00C06273"/>
    <w:rPr>
      <w:sz w:val="27"/>
    </w:rPr>
  </w:style>
  <w:style w:type="character" w:styleId="A2" w:customStyle="1">
    <w:name w:val="A2"/>
    <w:rsid w:val="00C06273"/>
    <w:rPr>
      <w:rFonts w:ascii="Rochester" w:cs="Rochester" w:hAnsi="Rochester"/>
      <w:sz w:val="128"/>
    </w:rPr>
  </w:style>
  <w:style w:type="character" w:styleId="Ttulo1Char" w:customStyle="1">
    <w:name w:val="Título 1 Char"/>
    <w:basedOn w:val="Fontepargpadro"/>
    <w:link w:val="Ttulo1"/>
    <w:uiPriority w:val="9"/>
    <w:rsid w:val="00E02C25"/>
    <w:rPr>
      <w:rFonts w:ascii="Times New Roman" w:cs="Times New Roman" w:eastAsia="Times New Roman" w:hAnsi="Times New Roman"/>
      <w:b w:val="1"/>
      <w:bCs w:val="1"/>
      <w:kern w:val="0"/>
      <w:sz w:val="24"/>
      <w:szCs w:val="24"/>
      <w:lang w:val="pt-PT"/>
    </w:rPr>
  </w:style>
  <w:style w:type="table" w:styleId="TableNormal" w:customStyle="1">
    <w:name w:val="Table Normal"/>
    <w:uiPriority w:val="2"/>
    <w:semiHidden w:val="1"/>
    <w:unhideWhenUsed w:val="1"/>
    <w:qFormat w:val="1"/>
    <w:rsid w:val="00E02C25"/>
    <w:pPr>
      <w:widowControl w:val="0"/>
      <w:autoSpaceDE w:val="0"/>
      <w:autoSpaceDN w:val="0"/>
      <w:spacing w:after="0" w:line="240" w:lineRule="auto"/>
    </w:pPr>
    <w:rPr>
      <w:kern w:val="0"/>
      <w:lang w:val="en-US"/>
    </w:rPr>
    <w:tblPr>
      <w:tblInd w:w="0.0" w:type="dxa"/>
      <w:tblCellMar>
        <w:top w:w="0.0" w:type="dxa"/>
        <w:left w:w="0.0" w:type="dxa"/>
        <w:bottom w:w="0.0" w:type="dxa"/>
        <w:right w:w="0.0" w:type="dxa"/>
      </w:tblCellMar>
    </w:tblPr>
  </w:style>
  <w:style w:type="paragraph" w:styleId="Corpodetexto">
    <w:name w:val="Body Text"/>
    <w:basedOn w:val="Normal"/>
    <w:link w:val="CorpodetextoChar"/>
    <w:uiPriority w:val="1"/>
    <w:qFormat w:val="1"/>
    <w:rsid w:val="00E02C25"/>
    <w:pPr>
      <w:widowControl w:val="0"/>
      <w:autoSpaceDE w:val="0"/>
      <w:autoSpaceDN w:val="0"/>
      <w:spacing w:after="0" w:line="240" w:lineRule="auto"/>
    </w:pPr>
    <w:rPr>
      <w:rFonts w:ascii="Times New Roman" w:cs="Times New Roman" w:eastAsia="Times New Roman" w:hAnsi="Times New Roman"/>
      <w:kern w:val="0"/>
      <w:sz w:val="24"/>
      <w:szCs w:val="24"/>
      <w:lang w:val="pt-PT"/>
    </w:rPr>
  </w:style>
  <w:style w:type="character" w:styleId="CorpodetextoChar" w:customStyle="1">
    <w:name w:val="Corpo de texto Char"/>
    <w:basedOn w:val="Fontepargpadro"/>
    <w:link w:val="Corpodetexto"/>
    <w:uiPriority w:val="1"/>
    <w:rsid w:val="00E02C25"/>
    <w:rPr>
      <w:rFonts w:ascii="Times New Roman" w:cs="Times New Roman" w:eastAsia="Times New Roman" w:hAnsi="Times New Roman"/>
      <w:kern w:val="0"/>
      <w:sz w:val="24"/>
      <w:szCs w:val="24"/>
      <w:lang w:val="pt-PT"/>
    </w:rPr>
  </w:style>
  <w:style w:type="paragraph" w:styleId="PargrafodaLista">
    <w:name w:val="List Paragraph"/>
    <w:basedOn w:val="Normal"/>
    <w:uiPriority w:val="1"/>
    <w:qFormat w:val="1"/>
    <w:rsid w:val="00E02C25"/>
    <w:pPr>
      <w:widowControl w:val="0"/>
      <w:autoSpaceDE w:val="0"/>
      <w:autoSpaceDN w:val="0"/>
      <w:spacing w:after="0" w:line="240" w:lineRule="auto"/>
    </w:pPr>
    <w:rPr>
      <w:rFonts w:ascii="Times New Roman" w:cs="Times New Roman" w:eastAsia="Times New Roman" w:hAnsi="Times New Roman"/>
      <w:kern w:val="0"/>
      <w:lang w:val="pt-PT"/>
    </w:rPr>
  </w:style>
  <w:style w:type="paragraph" w:styleId="TableParagraph" w:customStyle="1">
    <w:name w:val="Table Paragraph"/>
    <w:basedOn w:val="Normal"/>
    <w:uiPriority w:val="1"/>
    <w:qFormat w:val="1"/>
    <w:rsid w:val="00E02C25"/>
    <w:pPr>
      <w:widowControl w:val="0"/>
      <w:autoSpaceDE w:val="0"/>
      <w:autoSpaceDN w:val="0"/>
      <w:spacing w:after="0" w:line="240" w:lineRule="auto"/>
    </w:pPr>
    <w:rPr>
      <w:rFonts w:ascii="Times New Roman" w:cs="Times New Roman" w:eastAsia="Times New Roman" w:hAnsi="Times New Roman"/>
      <w:kern w:val="0"/>
      <w:lang w:val="pt-PT"/>
    </w:rPr>
  </w:style>
  <w:style w:type="paragraph" w:styleId="Assuntodocomentrio">
    <w:name w:val="annotation subject"/>
    <w:basedOn w:val="Textodecomentrio"/>
    <w:next w:val="Textodecomentrio"/>
    <w:link w:val="AssuntodocomentrioChar"/>
    <w:uiPriority w:val="99"/>
    <w:semiHidden w:val="1"/>
    <w:unhideWhenUsed w:val="1"/>
    <w:rsid w:val="00E02C25"/>
    <w:pPr>
      <w:widowControl w:val="0"/>
      <w:autoSpaceDE w:val="0"/>
      <w:autoSpaceDN w:val="0"/>
      <w:spacing w:after="0"/>
    </w:pPr>
    <w:rPr>
      <w:rFonts w:ascii="Times New Roman" w:cs="Times New Roman" w:eastAsia="Times New Roman" w:hAnsi="Times New Roman"/>
      <w:b w:val="1"/>
      <w:bCs w:val="1"/>
      <w:lang w:val="pt-PT"/>
    </w:rPr>
  </w:style>
  <w:style w:type="character" w:styleId="AssuntodocomentrioChar" w:customStyle="1">
    <w:name w:val="Assunto do comentário Char"/>
    <w:basedOn w:val="TextodecomentrioChar"/>
    <w:link w:val="Assuntodocomentrio"/>
    <w:uiPriority w:val="99"/>
    <w:semiHidden w:val="1"/>
    <w:rsid w:val="00E02C25"/>
    <w:rPr>
      <w:rFonts w:ascii="Times New Roman" w:cs="Times New Roman" w:eastAsia="Times New Roman" w:hAnsi="Times New Roman"/>
      <w:b w:val="1"/>
      <w:bCs w:val="1"/>
      <w:kern w:val="0"/>
      <w:sz w:val="20"/>
      <w:szCs w:val="20"/>
      <w:lang w:val="pt-PT"/>
    </w:rPr>
  </w:style>
  <w:style w:type="paragraph" w:styleId="Pa14" w:customStyle="1">
    <w:name w:val="Pa14"/>
    <w:basedOn w:val="Normal"/>
    <w:next w:val="Normal"/>
    <w:uiPriority w:val="99"/>
    <w:rsid w:val="003E5122"/>
    <w:pPr>
      <w:autoSpaceDE w:val="0"/>
      <w:autoSpaceDN w:val="0"/>
      <w:adjustRightInd w:val="0"/>
      <w:spacing w:after="0" w:line="241" w:lineRule="atLeast"/>
    </w:pPr>
    <w:rPr>
      <w:rFonts w:ascii="Calibri" w:cs="Calibri" w:eastAsia="Calibri" w:hAnsi="Calibri"/>
      <w:kern w:val="0"/>
      <w:sz w:val="24"/>
      <w:szCs w:val="24"/>
    </w:rPr>
  </w:style>
  <w:style w:type="paragraph" w:styleId="Pa15" w:customStyle="1">
    <w:name w:val="Pa15"/>
    <w:basedOn w:val="Normal"/>
    <w:next w:val="Normal"/>
    <w:uiPriority w:val="99"/>
    <w:rsid w:val="003E5122"/>
    <w:pPr>
      <w:autoSpaceDE w:val="0"/>
      <w:autoSpaceDN w:val="0"/>
      <w:adjustRightInd w:val="0"/>
      <w:spacing w:after="0" w:line="221" w:lineRule="atLeast"/>
    </w:pPr>
    <w:rPr>
      <w:rFonts w:ascii="Calibri" w:cs="Calibri" w:eastAsia="Calibri" w:hAnsi="Calibri"/>
      <w:kern w:val="0"/>
      <w:sz w:val="24"/>
      <w:szCs w:val="24"/>
    </w:rPr>
  </w:style>
  <w:style w:type="paragraph" w:styleId="Pa54" w:customStyle="1">
    <w:name w:val="Pa54"/>
    <w:basedOn w:val="Normal"/>
    <w:next w:val="Normal"/>
    <w:uiPriority w:val="99"/>
    <w:rsid w:val="003E5122"/>
    <w:pPr>
      <w:autoSpaceDE w:val="0"/>
      <w:autoSpaceDN w:val="0"/>
      <w:adjustRightInd w:val="0"/>
      <w:spacing w:after="0" w:line="241" w:lineRule="atLeast"/>
    </w:pPr>
    <w:rPr>
      <w:rFonts w:ascii="Calibri" w:cs="Calibri" w:eastAsia="Calibri" w:hAnsi="Calibri"/>
      <w:kern w:val="0"/>
      <w:sz w:val="24"/>
      <w:szCs w:val="24"/>
    </w:rPr>
  </w:style>
  <w:style w:type="character" w:styleId="A0" w:customStyle="1">
    <w:name w:val="A0"/>
    <w:uiPriority w:val="99"/>
    <w:rsid w:val="003E5122"/>
    <w:rPr>
      <w:color w:val="000000"/>
      <w:sz w:val="18"/>
      <w:szCs w:val="18"/>
    </w:rPr>
  </w:style>
  <w:style w:type="character" w:styleId="Ttulo2Char" w:customStyle="1">
    <w:name w:val="Título 2 Char"/>
    <w:basedOn w:val="Fontepargpadro"/>
    <w:link w:val="Ttulo2"/>
    <w:uiPriority w:val="9"/>
    <w:rsid w:val="004503EA"/>
    <w:rPr>
      <w:rFonts w:asciiTheme="majorHAnsi" w:cstheme="majorBidi" w:eastAsiaTheme="majorEastAsia" w:hAnsiTheme="majorHAnsi"/>
      <w:color w:val="2f5496" w:themeColor="accent1" w:themeShade="0000BF"/>
      <w:sz w:val="26"/>
      <w:szCs w:val="26"/>
    </w:rPr>
  </w:style>
  <w:style w:type="character" w:styleId="nfase">
    <w:name w:val="Emphasis"/>
    <w:basedOn w:val="Fontepargpadro"/>
    <w:uiPriority w:val="20"/>
    <w:qFormat w:val="1"/>
    <w:rsid w:val="004503EA"/>
    <w:rPr>
      <w:i w:val="1"/>
      <w:iCs w:val="1"/>
    </w:rPr>
  </w:style>
  <w:style w:type="character" w:styleId="apple-converted-space" w:customStyle="1">
    <w:name w:val="apple-converted-space"/>
    <w:basedOn w:val="Fontepargpadro"/>
    <w:rsid w:val="004503EA"/>
  </w:style>
  <w:style w:type="paragraph" w:styleId="Cabealho">
    <w:name w:val="header"/>
    <w:basedOn w:val="Normal"/>
    <w:link w:val="CabealhoChar"/>
    <w:uiPriority w:val="99"/>
    <w:unhideWhenUsed w:val="1"/>
    <w:rsid w:val="00B270A3"/>
    <w:pPr>
      <w:tabs>
        <w:tab w:val="center" w:pos="4252"/>
        <w:tab w:val="right" w:pos="8504"/>
      </w:tabs>
      <w:spacing w:after="200" w:line="276" w:lineRule="auto"/>
    </w:pPr>
    <w:rPr>
      <w:rFonts w:ascii="Calibri" w:cs="Times New Roman" w:eastAsia="Calibri" w:hAnsi="Calibri"/>
      <w:kern w:val="0"/>
    </w:rPr>
  </w:style>
  <w:style w:type="character" w:styleId="CabealhoChar" w:customStyle="1">
    <w:name w:val="Cabeçalho Char"/>
    <w:basedOn w:val="Fontepargpadro"/>
    <w:link w:val="Cabealho"/>
    <w:uiPriority w:val="99"/>
    <w:rsid w:val="00B270A3"/>
    <w:rPr>
      <w:rFonts w:ascii="Calibri" w:cs="Times New Roman" w:eastAsia="Calibri" w:hAnsi="Calibri"/>
      <w:kern w:val="0"/>
    </w:rPr>
  </w:style>
  <w:style w:type="paragraph" w:styleId="Rodap">
    <w:name w:val="footer"/>
    <w:basedOn w:val="Normal"/>
    <w:link w:val="RodapChar"/>
    <w:uiPriority w:val="99"/>
    <w:unhideWhenUsed w:val="1"/>
    <w:rsid w:val="00B270A3"/>
    <w:pPr>
      <w:tabs>
        <w:tab w:val="center" w:pos="4252"/>
        <w:tab w:val="right" w:pos="8504"/>
      </w:tabs>
      <w:spacing w:after="200" w:line="276" w:lineRule="auto"/>
    </w:pPr>
    <w:rPr>
      <w:rFonts w:ascii="Calibri" w:cs="Times New Roman" w:eastAsia="Calibri" w:hAnsi="Calibri"/>
      <w:kern w:val="0"/>
    </w:rPr>
  </w:style>
  <w:style w:type="character" w:styleId="RodapChar" w:customStyle="1">
    <w:name w:val="Rodapé Char"/>
    <w:basedOn w:val="Fontepargpadro"/>
    <w:link w:val="Rodap"/>
    <w:uiPriority w:val="99"/>
    <w:rsid w:val="00B270A3"/>
    <w:rPr>
      <w:rFonts w:ascii="Calibri" w:cs="Times New Roman" w:eastAsia="Calibri" w:hAnsi="Calibri"/>
      <w:kern w:val="0"/>
    </w:rPr>
  </w:style>
  <w:style w:type="character" w:styleId="MenoPendente">
    <w:name w:val="Unresolved Mention"/>
    <w:basedOn w:val="Fontepargpadro"/>
    <w:uiPriority w:val="99"/>
    <w:semiHidden w:val="1"/>
    <w:unhideWhenUsed w:val="1"/>
    <w:rsid w:val="00EC1F61"/>
    <w:rPr>
      <w:color w:val="605e5c"/>
      <w:shd w:color="auto" w:fill="e1dfdd" w:val="clear"/>
    </w:rPr>
  </w:style>
  <w:style w:type="paragraph" w:styleId="CabealhodoSumrio">
    <w:name w:val="TOC Heading"/>
    <w:basedOn w:val="Ttulo1"/>
    <w:next w:val="Normal"/>
    <w:uiPriority w:val="39"/>
    <w:unhideWhenUsed w:val="1"/>
    <w:qFormat w:val="1"/>
    <w:rsid w:val="00282062"/>
    <w:pPr>
      <w:keepNext w:val="1"/>
      <w:keepLines w:val="1"/>
      <w:widowControl w:val="1"/>
      <w:autoSpaceDE w:val="1"/>
      <w:autoSpaceDN w:val="1"/>
      <w:spacing w:before="240" w:line="259" w:lineRule="auto"/>
      <w:ind w:left="0"/>
      <w:outlineLvl w:val="9"/>
    </w:pPr>
    <w:rPr>
      <w:rFonts w:asciiTheme="majorHAnsi" w:cstheme="majorBidi" w:eastAsiaTheme="majorEastAsia" w:hAnsiTheme="majorHAnsi"/>
      <w:b w:val="0"/>
      <w:bCs w:val="0"/>
      <w:color w:val="2f5496" w:themeColor="accent1" w:themeShade="0000BF"/>
      <w:sz w:val="32"/>
      <w:szCs w:val="32"/>
      <w:lang w:eastAsia="pt-BR" w:val="pt-BR"/>
    </w:rPr>
  </w:style>
  <w:style w:type="paragraph" w:styleId="Sumrio2">
    <w:name w:val="toc 2"/>
    <w:basedOn w:val="Normal"/>
    <w:next w:val="Normal"/>
    <w:autoRedefine w:val="1"/>
    <w:uiPriority w:val="39"/>
    <w:unhideWhenUsed w:val="1"/>
    <w:rsid w:val="00282062"/>
    <w:pPr>
      <w:spacing w:after="100"/>
      <w:ind w:left="220"/>
    </w:pPr>
    <w:rPr>
      <w:rFonts w:cs="Times New Roman" w:eastAsiaTheme="minorEastAsia"/>
      <w:kern w:val="0"/>
      <w:lang w:eastAsia="pt-BR"/>
    </w:rPr>
  </w:style>
  <w:style w:type="paragraph" w:styleId="Sumrio1">
    <w:name w:val="toc 1"/>
    <w:basedOn w:val="Normal"/>
    <w:next w:val="Normal"/>
    <w:autoRedefine w:val="1"/>
    <w:uiPriority w:val="39"/>
    <w:unhideWhenUsed w:val="1"/>
    <w:rsid w:val="00282062"/>
    <w:pPr>
      <w:spacing w:after="100"/>
    </w:pPr>
    <w:rPr>
      <w:rFonts w:cs="Times New Roman" w:eastAsiaTheme="minorEastAsia"/>
      <w:kern w:val="0"/>
      <w:lang w:eastAsia="pt-BR"/>
    </w:rPr>
  </w:style>
  <w:style w:type="paragraph" w:styleId="Sumrio3">
    <w:name w:val="toc 3"/>
    <w:basedOn w:val="Normal"/>
    <w:next w:val="Normal"/>
    <w:autoRedefine w:val="1"/>
    <w:uiPriority w:val="39"/>
    <w:unhideWhenUsed w:val="1"/>
    <w:rsid w:val="00282062"/>
    <w:pPr>
      <w:spacing w:after="100"/>
      <w:ind w:left="440"/>
    </w:pPr>
    <w:rPr>
      <w:rFonts w:cs="Times New Roman" w:eastAsiaTheme="minorEastAsia"/>
      <w:kern w:val="0"/>
      <w:lang w:eastAsia="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opas.org.br/wp-content/uploads/2015/09/%20relatorio-mundial-violencia-saude-1.pdf" TargetMode="External"/><Relationship Id="rId42" Type="http://schemas.openxmlformats.org/officeDocument/2006/relationships/hyperlink" Target="http://www.dianarussell.com/f/femicde%28small%20%29.pdf" TargetMode="External"/><Relationship Id="rId41" Type="http://schemas.openxmlformats.org/officeDocument/2006/relationships/hyperlink" Target="https://catarinas.info/manifestacoes-marcam-a-primavera-feminista-pela-legalizacao-do-aborto-e-contra-o-fascismo/" TargetMode="External"/><Relationship Id="rId44" Type="http://schemas.openxmlformats.org/officeDocument/2006/relationships/hyperlink" Target="http://www.dianarussell.com/origin_of_femicide.html" TargetMode="External"/><Relationship Id="rId43" Type="http://schemas.openxmlformats.org/officeDocument/2006/relationships/hyperlink" Target="https://repositorio.unicamp.br/acervo/detalhe/988584" TargetMode="External"/><Relationship Id="rId46" Type="http://schemas.openxmlformats.org/officeDocument/2006/relationships/hyperlink" Target="https://catarinas.info/wp-content/uploads/2020/05/Pandemia-e-direitos-reprodutivos_BasurasA4-1.pdf" TargetMode="External"/><Relationship Id="rId45" Type="http://schemas.openxmlformats.org/officeDocument/2006/relationships/hyperlink" Target="https://www.scielo.br/j/spp/a/qKKQXTJ3kQm3D5%20QMTY5PQqw/?format=pdf&amp;lang=pt" TargetMode="External"/><Relationship Id="rId107" Type="http://schemas.openxmlformats.org/officeDocument/2006/relationships/hyperlink" Target="https://www.gov.br/senappen/pt-br/assuntos/noticias/depen-produz-1o-levantamento-sobre-prestacao-de-assistencia-religiosa-no-sistema-prisional-brasileiro" TargetMode="External"/><Relationship Id="rId106" Type="http://schemas.openxmlformats.org/officeDocument/2006/relationships/hyperlink" Target="https://www.gov.br/senappen/pt-br/assuntos/noticias/depen-produz-1o-levantamento-sobre-prestacao-de-assistencia-religiosa-no-sistema-prisional-brasileiro" TargetMode="External"/><Relationship Id="rId105" Type="http://schemas.openxmlformats.org/officeDocument/2006/relationships/hyperlink" Target="https://brasil.elpais.com/brasil/2017/07/05/politica/1499276543_932033.html" TargetMode="External"/><Relationship Id="rId104" Type="http://schemas.openxmlformats.org/officeDocument/2006/relationships/hyperlink" Target="https://brasil.elpais.com/brasil/2017/07/05/politica/1499276543_932033.html" TargetMode="External"/><Relationship Id="rId109" Type="http://schemas.openxmlformats.org/officeDocument/2006/relationships/hyperlink" Target="https://operamundi.uol.com.br/politica-e-economia/74272/depois-do-carnaval-o-racismo-religioso-quer-demonizar-exu-diz-autor-de-livro-sobre-intolerancia-religiosa" TargetMode="External"/><Relationship Id="rId108" Type="http://schemas.openxmlformats.org/officeDocument/2006/relationships/hyperlink" Target="https://operamundi.uol.com.br/politica-e-economia/74272/depois-do-carnaval-o-racismo-religioso-quer-demonizar-exu-diz-autor-de-livro-sobre-intolerancia-religiosa" TargetMode="External"/><Relationship Id="rId48" Type="http://schemas.openxmlformats.org/officeDocument/2006/relationships/hyperlink" Target="https://benfeitoria.com/MVM#:~:text=Uma%20iniciativa%20de%20solidariedade%20m%C3%BAtua,de%20forma%20segura%20e%20legal.&amp;text=A%20Opera%C3%A7%C3%A3o%20MILHAS%20PELA%20VIDA,Luta%20pela%20Descriminaliza%C3%A7%C3%A3o%20do%20Aborto" TargetMode="External"/><Relationship Id="rId47" Type="http://schemas.openxmlformats.org/officeDocument/2006/relationships/hyperlink" Target="https://www.bbc.com/portuguese/geral-52777810" TargetMode="External"/><Relationship Id="rId49" Type="http://schemas.openxmlformats.org/officeDocument/2006/relationships/hyperlink" Target="https://jamilchade.blogosfera.uol.com.br/2019/06/26/brasil-se-abstem-em-voto-sobre-saude-sexual-e-reprodutiva-na-onu/" TargetMode="External"/><Relationship Id="rId103" Type="http://schemas.openxmlformats.org/officeDocument/2006/relationships/hyperlink" Target="https://doi.org/10.20947/S0102-3098a0010" TargetMode="External"/><Relationship Id="rId102" Type="http://schemas.openxmlformats.org/officeDocument/2006/relationships/hyperlink" Target="https://portalseer.ufba.br/index.php/cadgendiv" TargetMode="External"/><Relationship Id="rId101" Type="http://schemas.openxmlformats.org/officeDocument/2006/relationships/hyperlink" Target="http://incedes.org.gt/Master/boydgriecodiez.pdf" TargetMode="External"/><Relationship Id="rId100" Type="http://schemas.openxmlformats.org/officeDocument/2006/relationships/hyperlink" Target="https://www.e-publicacoes.uerj.br/index.php/revispsi/article/view/43008/29657" TargetMode="External"/><Relationship Id="rId31" Type="http://schemas.openxmlformats.org/officeDocument/2006/relationships/hyperlink" Target="https://portal.stf.jus.br/noticias/%20verNoticiaDetalhe.asp?idConteudo=386005" TargetMode="External"/><Relationship Id="rId30" Type="http://schemas.openxmlformats.org/officeDocument/2006/relationships/hyperlink" Target="https://portal.stf.jus.br/%20noticias/verNoticiaDetalhe.asp?idConteudo=385093" TargetMode="External"/><Relationship Id="rId33" Type="http://schemas.openxmlformats.org/officeDocument/2006/relationships/hyperlink" Target="https://www.cepal.org/notas/66/%20documentos/ConsensoBrasilia_ESP.pdf" TargetMode="External"/><Relationship Id="rId32" Type="http://schemas.openxmlformats.org/officeDocument/2006/relationships/hyperlink" Target="https://portal.stf.jus.br/noticias/verNoticiaDetalhe.asp?idConteudo=514619&amp;ori=1" TargetMode="External"/><Relationship Id="rId35" Type="http://schemas.openxmlformats.org/officeDocument/2006/relationships/hyperlink" Target="http://www.cidh.org/basicos/portugues/m.belem.do.para.htm" TargetMode="External"/><Relationship Id="rId34" Type="http://schemas.openxmlformats.org/officeDocument/2006/relationships/hyperlink" Target="https://www.cfemea.org.br/plataforma25anos/_anos/2008.php?iframe=aborto_%20negado_2008" TargetMode="External"/><Relationship Id="rId37" Type="http://schemas.openxmlformats.org/officeDocument/2006/relationships/hyperlink" Target="https://www.ankulegi.org/wp-content/uploads/%202012/03/0008Lagarde.pdf" TargetMode="External"/><Relationship Id="rId36" Type="http://schemas.openxmlformats.org/officeDocument/2006/relationships/hyperlink" Target="https://portal.fiocruz.br/noticia/nota-sobre-os-20-anos-da-politica-nacional-de-reducao-de-morbimortalidade-por-acidentes-e" TargetMode="External"/><Relationship Id="rId39" Type="http://schemas.openxmlformats.org/officeDocument/2006/relationships/hyperlink" Target="https://brazil.unfpa.org/%20sites/default/files/pub-pdf/relatorio-cairo.pdf" TargetMode="External"/><Relationship Id="rId38" Type="http://schemas.openxmlformats.org/officeDocument/2006/relationships/hyperlink" Target="https://brasil.un.org/pt-br/208824-ag%C3%AAncias-da-onu-fazem-apelo-diante-de-novos-dados-de-viol%C3%AAncia-de-g%C3%AAnero#:~:text=E%20m%202021%20%2C%20dos%2018%20pa%C3%ADses,feminic%C3%ADdio%20por%20100%20mil%20mulheres" TargetMode="External"/><Relationship Id="rId20" Type="http://schemas.openxmlformats.org/officeDocument/2006/relationships/hyperlink" Target="https://repositorio.ufsc.br/bitstream/handle/123456789/215276/PDPC-P0025-D.pdf?sequence=-1&amp;isAllowed=y" TargetMode="External"/><Relationship Id="rId22" Type="http://schemas.openxmlformats.org/officeDocument/2006/relationships/hyperlink" Target="http://www.antoniocasella.eu/restorative/Marshall_1999-b.pdf" TargetMode="External"/><Relationship Id="rId21" Type="http://schemas.openxmlformats.org/officeDocument/2006/relationships/hyperlink" Target="https://www.indexlaw.org/index.php/revistagsd/article/view/7820/pdf" TargetMode="External"/><Relationship Id="rId24" Type="http://schemas.openxmlformats.org/officeDocument/2006/relationships/hyperlink" Target="http://www.cidh.org/Basicos/Portugues/m.Belem.do.Para.htm" TargetMode="External"/><Relationship Id="rId23" Type="http://schemas.openxmlformats.org/officeDocument/2006/relationships/hyperlink" Target="https://assets-compromissoeatitude-ipg.sfo2.digitaloceanspaces.com/2016/02/Recomendacao-Geral-n33-Comite-CEDAW.pdf" TargetMode="External"/><Relationship Id="rId129" Type="http://schemas.openxmlformats.org/officeDocument/2006/relationships/hyperlink" Target="https://observatoriomorteseviolenciaslgbtibrasil.org/dossie/mortes-lgbt-2022/" TargetMode="External"/><Relationship Id="rId128" Type="http://schemas.openxmlformats.org/officeDocument/2006/relationships/hyperlink" Target="https://g1.globo.com/rj/rio-de-janeiro/noticia/2023/05/08/meu-pai-matou-minha-mae-com-dois-tiros-na-cabeca-mae-de-mulher-morta-em-bangu-relata-fala-do-neto-que-esta-com-trauma.ghtml" TargetMode="External"/><Relationship Id="rId127" Type="http://schemas.openxmlformats.org/officeDocument/2006/relationships/hyperlink" Target="https://g1.globo.com/rj/rio-de-janeiro/noticia/2023/05/08/ninguem-vai-devolver-minha-filha-diz-mae-de-mulher-morta-pelo-ex-marido-na-frente-do-filho.ghtml" TargetMode="External"/><Relationship Id="rId126" Type="http://schemas.openxmlformats.org/officeDocument/2006/relationships/hyperlink" Target="https://www.crisp.ufmg.br/wp-content/uploads/2013/10/Relat%C3%B3rio-PNV-Senasp_final.pdf" TargetMode="External"/><Relationship Id="rId26" Type="http://schemas.openxmlformats.org/officeDocument/2006/relationships/hyperlink" Target="http://www.emerj.tjrj.jus.br/revistaemerj_online/edicoes/revista72/revista72_sumario.htm" TargetMode="External"/><Relationship Id="rId121" Type="http://schemas.openxmlformats.org/officeDocument/2006/relationships/hyperlink" Target="https://forumseguranca.org.br/wp-content/uploads/2018/05/violencia-domestica-covid-19-ed03-v2.pdf" TargetMode="External"/><Relationship Id="rId25" Type="http://schemas.openxmlformats.org/officeDocument/2006/relationships/hyperlink" Target="http://www.scielo.br/scielo.php?script=sci_arttext&amp;pid=S0104-83332011000200008&amp;lng=en&amp;nrm=iso" TargetMode="External"/><Relationship Id="rId120" Type="http://schemas.openxmlformats.org/officeDocument/2006/relationships/hyperlink" Target="http://arquivo.proderj.rj.gov.br/isp_imagens/uploads/DossieMulher2021.pdf" TargetMode="External"/><Relationship Id="rId28" Type="http://schemas.openxmlformats.org/officeDocument/2006/relationships/hyperlink" Target="https://bvsms.saude.gov.br/bvs/publicacoes/atencao_%20humanizada_abortamento_norma_tecnica_2ed.pdf" TargetMode="External"/><Relationship Id="rId27" Type="http://schemas.openxmlformats.org/officeDocument/2006/relationships/hyperlink" Target="https://www.camara.leg.br/propostas-legislativas/543252" TargetMode="External"/><Relationship Id="rId125" Type="http://schemas.openxmlformats.org/officeDocument/2006/relationships/hyperlink" Target="http://www.nepp-dh.ufrj.br/artigo_07_04_2020_prof_Marildo.pdf" TargetMode="External"/><Relationship Id="rId29" Type="http://schemas.openxmlformats.org/officeDocument/2006/relationships/hyperlink" Target="http://bvsms.saude.gov.br/bvs/%20publicacoes/acidentes.pdf" TargetMode="External"/><Relationship Id="rId124" Type="http://schemas.openxmlformats.org/officeDocument/2006/relationships/hyperlink" Target="http://www.isp.rj.gov.br/Conteudo.asp?ident=48" TargetMode="External"/><Relationship Id="rId123" Type="http://schemas.openxmlformats.org/officeDocument/2006/relationships/hyperlink" Target="https://forumseguranca.org.br/wp-content/uploads/2022/06/anuario-2022.pdf?v=15" TargetMode="External"/><Relationship Id="rId122" Type="http://schemas.openxmlformats.org/officeDocument/2006/relationships/hyperlink" Target="https://forumseguranca.org.br/wp-content/uploads/2023/07/anuario-2023.pdf" TargetMode="External"/><Relationship Id="rId95" Type="http://schemas.openxmlformats.org/officeDocument/2006/relationships/hyperlink" Target="http://www.columbia.edu/itc/hs/pubhealth/modules/forcedMigration/definitions.html" TargetMode="External"/><Relationship Id="rId94" Type="http://schemas.openxmlformats.org/officeDocument/2006/relationships/hyperlink" Target="https://periodicos.unb.br/index.php/obmigra_periplos/article/view/34738/29127" TargetMode="External"/><Relationship Id="rId97" Type="http://schemas.openxmlformats.org/officeDocument/2006/relationships/hyperlink" Target="https://www.redalyc.org/articulo.oa?id=552264297011" TargetMode="External"/><Relationship Id="rId96" Type="http://schemas.openxmlformats.org/officeDocument/2006/relationships/hyperlink" Target="https://www.oas.org/es/cidh/informes/pdfs/PoliticasPublicasDDHH.pdf" TargetMode="External"/><Relationship Id="rId11" Type="http://schemas.openxmlformats.org/officeDocument/2006/relationships/hyperlink" Target="https://atos.cnj.jus.br/files/compilado160827202007275f1efbfbf0faa.pdf" TargetMode="External"/><Relationship Id="rId99" Type="http://schemas.openxmlformats.org/officeDocument/2006/relationships/hyperlink" Target="https://www.e-publicacoes.uerj.br/index.php/revispsi/article/view/43008/29657" TargetMode="External"/><Relationship Id="rId10" Type="http://schemas.openxmlformats.org/officeDocument/2006/relationships/hyperlink" Target="https://site.cfp.org.br/wp-content/uploads/2023/03/Nota-Tecnica_Constelacao-familiar-03-03-23.pdf" TargetMode="External"/><Relationship Id="rId98" Type="http://schemas.openxmlformats.org/officeDocument/2006/relationships/hyperlink" Target="https://www.redalyc.org/articulo.oa?id=552264297011" TargetMode="External"/><Relationship Id="rId13" Type="http://schemas.openxmlformats.org/officeDocument/2006/relationships/hyperlink" Target="https://www.cnj.jus.br/programas-e-acoes/violencia-contra-a-mulher/justica-pela-paz-em-casa/" TargetMode="External"/><Relationship Id="rId12" Type="http://schemas.openxmlformats.org/officeDocument/2006/relationships/hyperlink" Target="https://www.cnj.jus.br/carmen-lucia-justica-restaurativa-pela-paz-em-casa/" TargetMode="External"/><Relationship Id="rId91" Type="http://schemas.openxmlformats.org/officeDocument/2006/relationships/hyperlink" Target="https://www.unicef.org/lac/media/15826/file/Nota-tecnica-A-inter-relacao-entre-violencia-contra-a-mulher-e-violencia-contra-as-criancas.pdf" TargetMode="External"/><Relationship Id="rId90" Type="http://schemas.openxmlformats.org/officeDocument/2006/relationships/hyperlink" Target="https://www.unicef.org/lac/media/15826/file/Nota-tecnica-A-inter-relacao-entre-violencia-contra-a-mulher-e-violencia-contra-as-criancas.pdf" TargetMode="External"/><Relationship Id="rId93" Type="http://schemas.openxmlformats.org/officeDocument/2006/relationships/hyperlink" Target="https://identidade.pucpr.br/webapp/assets/images/instituto_ciencia_e_fe/upload/file80534_cadernotravessias-idpucpr-dez20.pdf" TargetMode="External"/><Relationship Id="rId92" Type="http://schemas.openxmlformats.org/officeDocument/2006/relationships/hyperlink" Target="http://www.planalto.gov.br/ccivil_03/_ato2015-2018/2017/lei/l13445.htm" TargetMode="External"/><Relationship Id="rId118" Type="http://schemas.openxmlformats.org/officeDocument/2006/relationships/hyperlink" Target="http://bvsms.saude.gov.br/edicoes-2020/is-n-03/3227-aborto-induzido" TargetMode="External"/><Relationship Id="rId117" Type="http://schemas.openxmlformats.org/officeDocument/2006/relationships/hyperlink" Target="https://bit.ly/3gj6RRd" TargetMode="External"/><Relationship Id="rId116" Type="http://schemas.openxmlformats.org/officeDocument/2006/relationships/hyperlink" Target="https://congressoemfoco.uol.com.br/area/congresso-nacional/veja-quais-deputados-e-senadores-fazem-parte-da-bancada-evangelica/" TargetMode="External"/><Relationship Id="rId115" Type="http://schemas.openxmlformats.org/officeDocument/2006/relationships/hyperlink" Target="https://congressoemfoco.uol.com.br/area/congresso-nacional/veja-quais-deputados-e-senadores-fazem-parte-da-bancada-evangelica/" TargetMode="External"/><Relationship Id="rId119" Type="http://schemas.openxmlformats.org/officeDocument/2006/relationships/hyperlink" Target="https://arquivo.proderj.rj.gov.br/isp_imagens/uploads/DossieMulher2022.pdf" TargetMode="External"/><Relationship Id="rId15" Type="http://schemas.openxmlformats.org/officeDocument/2006/relationships/hyperlink" Target="https://bibliotecadigital.cnj.jus.br/jspui/handle/123456789/284" TargetMode="External"/><Relationship Id="rId110" Type="http://schemas.openxmlformats.org/officeDocument/2006/relationships/hyperlink" Target="https://www.planalto.gov.br/ccivil_03/leis/l7210.htm" TargetMode="External"/><Relationship Id="rId14" Type="http://schemas.openxmlformats.org/officeDocument/2006/relationships/hyperlink" Target="https://www.cnj.jus.br/wp-content/uploads/2011/02/69f98306e01d7a679720c82bf016b8ea.pdf" TargetMode="External"/><Relationship Id="rId17" Type="http://schemas.openxmlformats.org/officeDocument/2006/relationships/hyperlink" Target="https://www.cnj.jus.br/wp-content/uploads/conteudo/arquivo/2019/06/8e6cf55c06c5593974bfb8803a8697f3.pdf" TargetMode="External"/><Relationship Id="rId16" Type="http://schemas.openxmlformats.org/officeDocument/2006/relationships/hyperlink" Target="https://www.cnj.jus.br/constelacao-familiar-no-firmamento-da-justica-em-16-estados-e-no-df/" TargetMode="External"/><Relationship Id="rId19" Type="http://schemas.openxmlformats.org/officeDocument/2006/relationships/hyperlink" Target="http://mientrastanto.org/sites/default/files/pdfs/928.pdf" TargetMode="External"/><Relationship Id="rId114" Type="http://schemas.openxmlformats.org/officeDocument/2006/relationships/hyperlink" Target="https://g1.globo.com/rj/rio-de-janeiro/noticia/2020/11/19/rj-tem-apenas-uma-mae-de-santo-autorizada-a-entrar-em-presidios-a-cadeia-reproduz-o-preconceito-da-sociedade.ghtml" TargetMode="External"/><Relationship Id="rId18" Type="http://schemas.openxmlformats.org/officeDocument/2006/relationships/hyperlink" Target="http://www.emerj.tjrj.jus.br/revistaemerj_online/edicoes/revista72/revista72_41.pdf" TargetMode="External"/><Relationship Id="rId113" Type="http://schemas.openxmlformats.org/officeDocument/2006/relationships/hyperlink" Target="https://g1.globo.com/rj/rio-de-janeiro/noticia/2020/11/19/rj-tem-apenas-uma-mae-de-santo-autorizada-a-entrar-em-presidios-a-cadeia-reproduz-o-preconceito-da-sociedade.ghtml" TargetMode="External"/><Relationship Id="rId112" Type="http://schemas.openxmlformats.org/officeDocument/2006/relationships/hyperlink" Target="https://www.scielo.br/j/psoc/a/kkcQJggKT3GTTWpLggHDXSb/?format=html&amp;lang=pt" TargetMode="External"/><Relationship Id="rId111" Type="http://schemas.openxmlformats.org/officeDocument/2006/relationships/hyperlink" Target="https://www.scielo.br/j/psoc/a/kkcQJggKT3GTTWpLggHDXSb/?format=html&amp;lang=pt" TargetMode="External"/><Relationship Id="rId84" Type="http://schemas.openxmlformats.org/officeDocument/2006/relationships/hyperlink" Target="https://search.proquest.com/indexingvolumeissuelinkhandler/2031972/Media%24e7%24f0es/02018Y12Y01%2423Dec%2B2018%243b%2B%2BVol.%2B23%2B%24283%2429/23/3%3Bjsessionid%3DD2D3F69D05D7FEB1F390738A8A3C9303.i-071b0cea6d6671624" TargetMode="External"/><Relationship Id="rId83" Type="http://schemas.openxmlformats.org/officeDocument/2006/relationships/hyperlink" Target="https://search.proquest.com/pubidlinkhandler/sng/pubtitle/Media%24e7%24f0es/%24N/2031972/OpenView/2178518796/%24B/C6C3D90525874175PQ/1%3Bjsessionid%3DD2D3F69D05D7FEB1F390738A8A3C9303.i-071b0cea6d6671624" TargetMode="External"/><Relationship Id="rId86" Type="http://schemas.openxmlformats.org/officeDocument/2006/relationships/hyperlink" Target="https://onedrive.live.com/view.aspx?resid=4301065D05481E74!910&amp;authkey=!AHxAaiY86W821A8" TargetMode="External"/><Relationship Id="rId85" Type="http://schemas.openxmlformats.org/officeDocument/2006/relationships/hyperlink" Target="https://onedrive.live.com/view.aspx?resid=4301065D05481E74!910&amp;authkey=!AHxAaiY86W821A8" TargetMode="External"/><Relationship Id="rId88" Type="http://schemas.openxmlformats.org/officeDocument/2006/relationships/image" Target="media/image1.png"/><Relationship Id="rId150" Type="http://schemas.openxmlformats.org/officeDocument/2006/relationships/hyperlink" Target="http://www.onumulheres.org.br/wp-content/uploads/2016/04/diretrizes_feminicidio.pdf" TargetMode="External"/><Relationship Id="rId87" Type="http://schemas.openxmlformats.org/officeDocument/2006/relationships/hyperlink" Target="https://onedrive.live.com/view.aspx?resid=4301065D05481E74!910&amp;authkey=!AHxAaiY86W821A8" TargetMode="External"/><Relationship Id="rId89" Type="http://schemas.openxmlformats.org/officeDocument/2006/relationships/hyperlink" Target="http://www.onumulheres.org.br/wp-content/uploads/2015/03/declaracao_pequim1.pdf" TargetMode="External"/><Relationship Id="rId80" Type="http://schemas.openxmlformats.org/officeDocument/2006/relationships/hyperlink" Target="https://www.cnj.jus.br/wp-content/uploads/conteudo/arquivo/2019/08/7b7cb6d9ac9042c8d3e40700b80bf207.pdf" TargetMode="External"/><Relationship Id="rId82" Type="http://schemas.openxmlformats.org/officeDocument/2006/relationships/hyperlink" Target="https://search.proquest.com/pubidlinkhandler/sng/pubtitle/Media%24e7%24f0es/%24N/2031972/OpenView/2178518796/%24B/C6C3D90525874175PQ/1%3Bjsessionid%3DD2D3F69D05D7FEB1F390738A8A3C9303.i-071b0cea6d6671624" TargetMode="External"/><Relationship Id="rId81" Type="http://schemas.openxmlformats.org/officeDocument/2006/relationships/hyperlink" Target="https://www.cnj.jus.br/wp-content/uploads/conteudo/arquivo/2019/08/7b7cb6d9ac9042c8d3e40700b80bf207.pd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149" Type="http://schemas.openxmlformats.org/officeDocument/2006/relationships/hyperlink" Target="https://oglobo.globo.com/rio/noticia/2022/08/rio-cria-auxilio-financeiro-para-orfaos-de-vitimas-do-feminicidio.ghtml" TargetMode="External"/><Relationship Id="rId4" Type="http://schemas.openxmlformats.org/officeDocument/2006/relationships/fontTable" Target="fontTable.xml"/><Relationship Id="rId148" Type="http://schemas.openxmlformats.org/officeDocument/2006/relationships/hyperlink" Target="https://www.cidh.oas.org/annualrep/2000port/12051.htm" TargetMode="External"/><Relationship Id="rId9" Type="http://schemas.openxmlformats.org/officeDocument/2006/relationships/hyperlink" Target="https://periodicos.ufsc.br/index.php/sequencia/article/view/74694" TargetMode="External"/><Relationship Id="rId143" Type="http://schemas.openxmlformats.org/officeDocument/2006/relationships/hyperlink" Target="https://jus.com.br/artigos/59672/tribunal-do-juri-organizacao" TargetMode="External"/><Relationship Id="rId142" Type="http://schemas.openxmlformats.org/officeDocument/2006/relationships/hyperlink" Target="https://cesecseguranca.com.br/textodownload/elas-vivem-dados-que-nao-se-calam/" TargetMode="External"/><Relationship Id="rId141" Type="http://schemas.openxmlformats.org/officeDocument/2006/relationships/hyperlink" Target="https://odia.ig.com.br/rio-de-janeiro/2023/05/6627391-mulher-assassinada-pelo-ex-avisou-a-policia-uma-semana-antes-do-crime-sobre-as-ameacas.html" TargetMode="External"/><Relationship Id="rId140" Type="http://schemas.openxmlformats.org/officeDocument/2006/relationships/hyperlink" Target="https://www.paho.org/pt/topics/violence-against-women" TargetMode="External"/><Relationship Id="rId5" Type="http://schemas.openxmlformats.org/officeDocument/2006/relationships/footnotes" Target="footnotes.xml"/><Relationship Id="rId147" Type="http://schemas.openxmlformats.org/officeDocument/2006/relationships/hyperlink" Target="http://www.planalto.gov.br/ccivil_03/_ato2015-2018/2015/lei/L13239.htm" TargetMode="External"/><Relationship Id="rId6" Type="http://schemas.openxmlformats.org/officeDocument/2006/relationships/numbering" Target="numbering.xml"/><Relationship Id="rId146" Type="http://schemas.openxmlformats.org/officeDocument/2006/relationships/hyperlink" Target="http://www.planalto.gov.br/ccivil_03/decreto-lei/del3689compilado.htm%3E%20Acesso%20em%2031%20jul%202019." TargetMode="External"/><Relationship Id="rId7" Type="http://schemas.openxmlformats.org/officeDocument/2006/relationships/styles" Target="styles.xml"/><Relationship Id="rId145" Type="http://schemas.openxmlformats.org/officeDocument/2006/relationships/hyperlink" Target="http://www.planalto.gov.br/ccivil_03/decreto-lei/del3689compilado.htm%3E%20Acesso%20em%2031%20jul%202019." TargetMode="External"/><Relationship Id="rId8" Type="http://schemas.openxmlformats.org/officeDocument/2006/relationships/hyperlink" Target="http://www.mpgo.mp.br/portal/arquivos/2023/05/23/12_51_15_343_Desafios_para_aproximar.pdf" TargetMode="External"/><Relationship Id="rId144" Type="http://schemas.openxmlformats.org/officeDocument/2006/relationships/hyperlink" Target="http://www.planalto.gov.br/ccivil_03/decreto-lei/del3689compilado.htm%3E%20Acesso%20em%2031%20jul%202019." TargetMode="External"/><Relationship Id="rId73" Type="http://schemas.openxmlformats.org/officeDocument/2006/relationships/hyperlink" Target="https://www.teses.usp.br/teses/disponiveis/2/2138/tde-30102020-143919/publico/5953743" TargetMode="External"/><Relationship Id="rId72" Type="http://schemas.openxmlformats.org/officeDocument/2006/relationships/hyperlink" Target="https://www.portalgeledes.com.br/#_blank" TargetMode="External"/><Relationship Id="rId75" Type="http://schemas.openxmlformats.org/officeDocument/2006/relationships/hyperlink" Target="https://fadc.org.br/sites/default/files/2022-03/cenario-da-infancia-e-adolescencia-no-brasil-2022_0.pdf" TargetMode="External"/><Relationship Id="rId74" Type="http://schemas.openxmlformats.org/officeDocument/2006/relationships/hyperlink" Target="https://www.defensoria.ce.def.br/noticia/pesquisa-inedita-da-defensoria-mostra-que-a-violencia-domestica-e-esquecida-na-tramitacao-processual/" TargetMode="External"/><Relationship Id="rId77" Type="http://schemas.openxmlformats.org/officeDocument/2006/relationships/hyperlink" Target="https://fadc.org.br/sites/default/files/2022-03/cenario-da-infancia-e-adolescencia-no-brasil-2022_0.pdf" TargetMode="External"/><Relationship Id="rId76" Type="http://schemas.openxmlformats.org/officeDocument/2006/relationships/hyperlink" Target="https://fadc.org.br/sites/default/files/2022-03/cenario-da-infancia-e-adolescencia-no-brasil-2022_0.pdf" TargetMode="External"/><Relationship Id="rId79" Type="http://schemas.openxmlformats.org/officeDocument/2006/relationships/hyperlink" Target="http://www.planalto.gov.br/ccivil_03/_ato2007-2010/2010/lei/l12318.htm" TargetMode="External"/><Relationship Id="rId78" Type="http://schemas.openxmlformats.org/officeDocument/2006/relationships/hyperlink" Target="https://forumseguranca.org.br/wp-content/uploads/2023/07/anuario-2023.pdf" TargetMode="External"/><Relationship Id="rId71" Type="http://schemas.openxmlformats.org/officeDocument/2006/relationships/hyperlink" Target="https://www.conjur.com.br/2023-jul-12/silva-rodrigues-isonomia-salarial-interseccionalidades" TargetMode="External"/><Relationship Id="rId70" Type="http://schemas.openxmlformats.org/officeDocument/2006/relationships/hyperlink" Target="https://pt.wikipedia.org/wiki/Especial:Fontes_de_livros/9789588063607" TargetMode="External"/><Relationship Id="rId139" Type="http://schemas.openxmlformats.org/officeDocument/2006/relationships/hyperlink" Target="http://www.onumulheres.org.br/noticias/onu-mulheres-e-governo-brasileiro-lancam-em-84-diretrizes-nacionais-para-investigacao-de-feminicidios/" TargetMode="External"/><Relationship Id="rId138" Type="http://schemas.openxmlformats.org/officeDocument/2006/relationships/hyperlink" Target="https://observatoriomorteseviolenciaslgbtibrasil.org/%20dossie/mortes-lgbt-2022/" TargetMode="External"/><Relationship Id="rId137" Type="http://schemas.openxmlformats.org/officeDocument/2006/relationships/hyperlink" Target="https://g1.globo.com/rj/rio-de-janeiro/noticia/2023/05/22/mp-denuncia-por-feminicidio-ex-companheiro-e-namorada-por-morte-de-mulher-em-bangu.ghtml" TargetMode="External"/><Relationship Id="rId132" Type="http://schemas.openxmlformats.org/officeDocument/2006/relationships/hyperlink" Target="https://flacso.org.br/2015/11/09/mapa-da-violencia-2015-homicidio-de-mulheres-no-brasil/" TargetMode="External"/><Relationship Id="rId131" Type="http://schemas.openxmlformats.org/officeDocument/2006/relationships/hyperlink" Target="https://g1.globo.com/rj/rio-de-janeiro/noticia/2023/05/09/preso-por-feminicidio-se-dizia-especialista-na-defesa-de-homens-acusados-pela-lei-maria-da-penha.ghtml" TargetMode="External"/><Relationship Id="rId130" Type="http://schemas.openxmlformats.org/officeDocument/2006/relationships/hyperlink" Target="https://forumseguranca.org.br/wp-content/uploads/2022/07/10-anuario-2022-feminicidios-caem-mas-outras-formas-de-violencia-contra-meninas-e-mulheres-crescem-em-2021.pdf" TargetMode="External"/><Relationship Id="rId136" Type="http://schemas.openxmlformats.org/officeDocument/2006/relationships/hyperlink" Target="https://oglobo.globo.com/rio/noticia/2023/06/apos-feminicidio-da-filha-pais-assumem-guarda-do-neto-e-vivem-incerteza-quanto-ao-futuro.ghtml" TargetMode="External"/><Relationship Id="rId135" Type="http://schemas.openxmlformats.org/officeDocument/2006/relationships/hyperlink" Target="https://extra.globo.com/rio/casos-de-policia/noticia/2023/05/ela-precisou-morrer-para-que-marcius-fosse-preso-lamenta-advogada-de-aline-assassinada-por-ex-em-bangu.ghtml" TargetMode="External"/><Relationship Id="rId134" Type="http://schemas.openxmlformats.org/officeDocument/2006/relationships/hyperlink" Target="https://www.jb.com.br/brasil/justica/2023/07/1045112-promotora-e-juiza-em-vara-de-familia-no-rio-culpam-mae-vitima-de-violencia-domestica.html" TargetMode="External"/><Relationship Id="rId133" Type="http://schemas.openxmlformats.org/officeDocument/2006/relationships/hyperlink" Target="https://xenero.webs.uvigo.es/profesorado/Marcela" TargetMode="External"/><Relationship Id="rId62" Type="http://schemas.openxmlformats.org/officeDocument/2006/relationships/hyperlink" Target="http://www.planalto.gov.br/ccivil_03/_ato2004-2006/2006/lei/l11340.htm" TargetMode="External"/><Relationship Id="rId61" Type="http://schemas.openxmlformats.org/officeDocument/2006/relationships/hyperlink" Target="http://www.planalto.gov.br/ccivil_03/_ato2004-2006/2006/lei/l11340.htm" TargetMode="External"/><Relationship Id="rId64" Type="http://schemas.openxmlformats.org/officeDocument/2006/relationships/hyperlink" Target="https://atos.cnj.jus.br/files" TargetMode="External"/><Relationship Id="rId63" Type="http://schemas.openxmlformats.org/officeDocument/2006/relationships/hyperlink" Target="https://atos.cnj.jus.br/files" TargetMode="External"/><Relationship Id="rId66" Type="http://schemas.openxmlformats.org/officeDocument/2006/relationships/hyperlink" Target="https://www.ibge.gov.br/estatisticas/sociais/populacao/9127-pesquisa-nacional-por-amostra-de-domicilios.html" TargetMode="External"/><Relationship Id="rId65" Type="http://schemas.openxmlformats.org/officeDocument/2006/relationships/hyperlink" Target="https://www.ipea.gov.br/ods/ods5.html" TargetMode="External"/><Relationship Id="rId68" Type="http://schemas.openxmlformats.org/officeDocument/2006/relationships/hyperlink" Target="https://www.ilo.org/brasilia/convencoes/WCMS_242709/lang--pt/index.htm" TargetMode="External"/><Relationship Id="rId67" Type="http://schemas.openxmlformats.org/officeDocument/2006/relationships/hyperlink" Target="https://www.tse.jus.br/comunicacao/noticias/2023/Janeiro/tse-mulheres-portal-reune-estatisticas-sobre-eleitorado-e-participacao-feminina-na-politica" TargetMode="External"/><Relationship Id="rId60" Type="http://schemas.openxmlformats.org/officeDocument/2006/relationships/hyperlink" Target="https://esquerdaonline.com.br/2019/03/08/tithi-bhattacharya-o-que-e-a-teoria-da-reproducao-social" TargetMode="External"/><Relationship Id="rId69" Type="http://schemas.openxmlformats.org/officeDocument/2006/relationships/hyperlink" Target="https://www.ilo.org/brasilia/convencoes/WCMS_242709/lang--pt/index.htm" TargetMode="External"/><Relationship Id="rId51" Type="http://schemas.openxmlformats.org/officeDocument/2006/relationships/hyperlink" Target="https://milhaspelavidadasmulheres.com.br/" TargetMode="External"/><Relationship Id="rId50" Type="http://schemas.openxmlformats.org/officeDocument/2006/relationships/hyperlink" Target="https://oglobo.globo.com/celina/coronavirus-pode-levar-milhoes-de-mulheres-em-todo-mundo-ao-aborto-inseguro-24356279" TargetMode="External"/><Relationship Id="rId53" Type="http://schemas.openxmlformats.org/officeDocument/2006/relationships/hyperlink" Target="https://brasil.elpais.com/brasil/2020-08-30/abortos-legais-em-hospitais-referencia-no-brasil-disparam-na-pandemia-e-expoem-drama-da-violencia-sexual.html" TargetMode="External"/><Relationship Id="rId52" Type="http://schemas.openxmlformats.org/officeDocument/2006/relationships/hyperlink" Target="https://naomekahlo.com/informativo-online-e-gratuito-sobre-os-direitos-reprodutivos-das-mulheres-durante-a-pandemia/#:~:text=Sobre%20Basuras,%2C%20direitos%20humanos%2C%20entre%20outros" TargetMode="External"/><Relationship Id="rId55" Type="http://schemas.openxmlformats.org/officeDocument/2006/relationships/hyperlink" Target="https://g1.globo.com/mundo/noticia/2020/11/23/com-restricoes-da-pandemia-aumento-da-violencia-contra-a-mulher-e-fenomeno-mundial.ghtml" TargetMode="External"/><Relationship Id="rId161" Type="http://schemas.openxmlformats.org/officeDocument/2006/relationships/footer" Target="footer1.xml"/><Relationship Id="rId54" Type="http://schemas.openxmlformats.org/officeDocument/2006/relationships/hyperlink" Target="https://catarinas.info/coletivo-lanca-informativo-on-line-sobre-os-direitos-reprodutivos-em-tempo-de-pandemia/?fbclid=IwAR0kA0jltzp2oQvjNJPVNndYhpUBxYF_Oqs4L69fuWakoSPklqSpbtnrBjQ" TargetMode="External"/><Relationship Id="rId160" Type="http://schemas.openxmlformats.org/officeDocument/2006/relationships/hyperlink" Target="http://www.anuariocdh.uchile.cl" TargetMode="External"/><Relationship Id="rId57" Type="http://schemas.openxmlformats.org/officeDocument/2006/relationships/hyperlink" Target="https://revistadpers.emnuvens.com.br/defensoria/article/view/198" TargetMode="External"/><Relationship Id="rId56" Type="http://schemas.openxmlformats.org/officeDocument/2006/relationships/hyperlink" Target="https://www.brasildefato.com.br/2020/08/18/dois-dias-depois-medico-que-fez-o-aborto-diz-que-menina-voltou-a-sorrir" TargetMode="External"/><Relationship Id="rId159" Type="http://schemas.openxmlformats.org/officeDocument/2006/relationships/hyperlink" Target="https://mulheresnegrasdecidem.org/mitos-eleitorais/" TargetMode="External"/><Relationship Id="rId59" Type="http://schemas.openxmlformats.org/officeDocument/2006/relationships/hyperlink" Target="http://repositorio.uportu.pt/jspui/handle/11328/4678" TargetMode="External"/><Relationship Id="rId154" Type="http://schemas.openxmlformats.org/officeDocument/2006/relationships/hyperlink" Target="https://atendadascandidatas.org/pesquisa-combatendo-a-sub-representacao-de-genero-e-raca-na-politica-2020-2022/" TargetMode="External"/><Relationship Id="rId58" Type="http://schemas.openxmlformats.org/officeDocument/2006/relationships/hyperlink" Target="https://atendadascandidatas.org/" TargetMode="External"/><Relationship Id="rId153" Type="http://schemas.openxmlformats.org/officeDocument/2006/relationships/hyperlink" Target="https://bibliotecadigital.fgv.br/dspace/handle/10438/27646" TargetMode="External"/><Relationship Id="rId152" Type="http://schemas.openxmlformats.org/officeDocument/2006/relationships/hyperlink" Target="https://mulheresnegrasdecidem.org/dados/" TargetMode="External"/><Relationship Id="rId151" Type="http://schemas.openxmlformats.org/officeDocument/2006/relationships/hyperlink" Target="https://www.nodo50.org/codoacodo/enero2010/segato.pdf" TargetMode="External"/><Relationship Id="rId158" Type="http://schemas.openxmlformats.org/officeDocument/2006/relationships/hyperlink" Target="https://www.generonumero.media/reportagens/eleicoes-2022-mulheres-negrass-recebem-apenas-20-do-recursos-para-homens-brancos/" TargetMode="External"/><Relationship Id="rId157" Type="http://schemas.openxmlformats.org/officeDocument/2006/relationships/hyperlink" Target="https://www.camara.leg.br/proposicoesWeb/prop_mostrarintegra?codteor=2247263" TargetMode="External"/><Relationship Id="rId156" Type="http://schemas.openxmlformats.org/officeDocument/2006/relationships/hyperlink" Target="https://atendadascandidatas.org/cartilha-leis-de-acoes-afirmativas-de-genero-e-raca-na-politica-x-anistia-aos-partidos/" TargetMode="External"/><Relationship Id="rId155" Type="http://schemas.openxmlformats.org/officeDocument/2006/relationships/hyperlink" Target="https://atendadascandidatas.org/campaign/a-conta-nao-fech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notes.xml.rels><?xml version="1.0" encoding="UTF-8" standalone="yes"?><Relationships xmlns="http://schemas.openxmlformats.org/package/2006/relationships"><Relationship Id="rId40" Type="http://schemas.openxmlformats.org/officeDocument/2006/relationships/hyperlink" Target="http://www.planalto.gov.br/ccivil_03/_ato2015-2018/2015/lei/L13239.htm" TargetMode="External"/><Relationship Id="rId42" Type="http://schemas.openxmlformats.org/officeDocument/2006/relationships/hyperlink" Target="https://oglobo.globo.com/rio/noticia/2022/08/rio-cria-auxilio-financeiro-para-orfaos-de-vitimas-do-feminicidio.ghtml" TargetMode="External"/><Relationship Id="rId41" Type="http://schemas.openxmlformats.org/officeDocument/2006/relationships/hyperlink" Target="https://www.camara.leg.br/proposicoesWeb/prop_mostrarintegra?codteor=2159662" TargetMode="External"/><Relationship Id="rId44" Type="http://schemas.openxmlformats.org/officeDocument/2006/relationships/hyperlink" Target="https://bibliotecadigital.fgv.br/dspace/handle/10438/27646" TargetMode="External"/><Relationship Id="rId43" Type="http://schemas.openxmlformats.org/officeDocument/2006/relationships/hyperlink" Target="https://mulheresnegrasdecidem.org/dados/" TargetMode="External"/><Relationship Id="rId46" Type="http://schemas.openxmlformats.org/officeDocument/2006/relationships/hyperlink" Target="https://atendadascandidatas.org/campaign/a-conta-nao-fecha/" TargetMode="External"/><Relationship Id="rId45" Type="http://schemas.openxmlformats.org/officeDocument/2006/relationships/hyperlink" Target="https://atendadascandidatas.org/pesquisa-combatendo-a-sub-representacao-de-genero-e-raca-na-politica-2020-2022/" TargetMode="External"/><Relationship Id="rId1" Type="http://schemas.openxmlformats.org/officeDocument/2006/relationships/hyperlink" Target="http://www.planalto.gov.br/ccivil_03/LEIS/L9099.htm" TargetMode="External"/><Relationship Id="rId2" Type="http://schemas.openxmlformats.org/officeDocument/2006/relationships/hyperlink" Target="http://www.planalto.gov.br/ccivil_03/LEIS/L9099.htm" TargetMode="External"/><Relationship Id="rId3" Type="http://schemas.openxmlformats.org/officeDocument/2006/relationships/hyperlink" Target="https://atos.cnj.jus.br/atos/detalhar/atos-normativos?documento=151" TargetMode="External"/><Relationship Id="rId4" Type="http://schemas.openxmlformats.org/officeDocument/2006/relationships/hyperlink" Target="https://www.cnj.jus.br/wp-content/uploads/conteudo/arquivo/2019/06/8e6cf55c06c5593974bfb8803a8697f3.pdf" TargetMode="External"/><Relationship Id="rId9" Type="http://schemas.openxmlformats.org/officeDocument/2006/relationships/hyperlink" Target="mailto:contato.nicolaumariana@gmail.com" TargetMode="External"/><Relationship Id="rId48" Type="http://schemas.openxmlformats.org/officeDocument/2006/relationships/hyperlink" Target="https://www.camara.leg.br/proposicoesWeb/prop_mostrarintegra?codteor=2247263" TargetMode="External"/><Relationship Id="rId47" Type="http://schemas.openxmlformats.org/officeDocument/2006/relationships/hyperlink" Target="https://atendadascandidatas.org/cartilha-leis-de-acoes-afirmativas-de-genero-e-raca-na-politica-x-anistia-aos-partidos/" TargetMode="External"/><Relationship Id="rId49" Type="http://schemas.openxmlformats.org/officeDocument/2006/relationships/hyperlink" Target="https://www.generonumero.media/reportagens/eleicoes-2022-mulheres-negrass-recebem-apenas-20-do-recursos-para-homens-brancos/" TargetMode="External"/><Relationship Id="rId5" Type="http://schemas.openxmlformats.org/officeDocument/2006/relationships/hyperlink" Target="https://site.cfp.org.br/wp-content/uploads/2017/05/manifesto-de-bauru.pdf" TargetMode="External"/><Relationship Id="rId6" Type="http://schemas.openxmlformats.org/officeDocument/2006/relationships/hyperlink" Target="https://www.gov.br/senappen/pt-br/servicos/sisdepen" TargetMode="External"/><Relationship Id="rId7" Type="http://schemas.openxmlformats.org/officeDocument/2006/relationships/hyperlink" Target="http://www.conjur.com.br/2023-jul-12/silva-rodrigues-isonomia-salarial-interseccionalidades" TargetMode="External"/><Relationship Id="rId8" Type="http://schemas.openxmlformats.org/officeDocument/2006/relationships/hyperlink" Target="https://www.conjur.com.br/2023-jul-12/silva-rodrigues-isonomia-salarial-interseccionalidades" TargetMode="External"/><Relationship Id="rId31" Type="http://schemas.openxmlformats.org/officeDocument/2006/relationships/hyperlink" Target="https://identidade.pucpr.br/webapp/assets/images/instituto_ciencia_e_fe/upload/file80534_cadernotravessias-idpucpr-dez20.pdf" TargetMode="External"/><Relationship Id="rId30" Type="http://schemas.openxmlformats.org/officeDocument/2006/relationships/hyperlink" Target="http://www.columbia.edu/itc/hs/pubhealth/modules/forcedMigration/definitions.html" TargetMode="External"/><Relationship Id="rId33" Type="http://schemas.openxmlformats.org/officeDocument/2006/relationships/hyperlink" Target="https://pt.wikipedia.org/wiki/Universo_Online" TargetMode="External"/><Relationship Id="rId32" Type="http://schemas.openxmlformats.org/officeDocument/2006/relationships/hyperlink" Target="https://www.gazetadopovo.com.br/educacao/os-desafios-para-inserir-refugiados-nas-escolas-brasileiras-822xhyanr24jnb569n7phgkn1/" TargetMode="External"/><Relationship Id="rId35" Type="http://schemas.openxmlformats.org/officeDocument/2006/relationships/hyperlink" Target="https://www.paho.org/pt/topics/violence-against-women" TargetMode="External"/><Relationship Id="rId34" Type="http://schemas.openxmlformats.org/officeDocument/2006/relationships/hyperlink" Target="https://www.megacurioso.com.br/estilo-de-vida/124496-o-que-e-redpill-incel-mgtow-entenda-termos-misoginos-da-internet.htm" TargetMode="External"/><Relationship Id="rId37" Type="http://schemas.openxmlformats.org/officeDocument/2006/relationships/hyperlink" Target="http://www.onumulheres.org.br/wp-content/uploads/2016/04/diretrizes_feminicidio.pdf" TargetMode="External"/><Relationship Id="rId36" Type="http://schemas.openxmlformats.org/officeDocument/2006/relationships/hyperlink" Target="https://jus.com.br/artigos/59672/tribunal-do-juri-organizacao" TargetMode="External"/><Relationship Id="rId39" Type="http://schemas.openxmlformats.org/officeDocument/2006/relationships/hyperlink" Target="http://www.planalto.gov.br/ccivil_03/decreto-lei/del3689compilado.htm%3e%20Acesso%20em%2005%20out%202023.%20" TargetMode="External"/><Relationship Id="rId38" Type="http://schemas.openxmlformats.org/officeDocument/2006/relationships/hyperlink" Target="https://www.cidh.oas.org/annualrep/2000port/12051.htm" TargetMode="External"/><Relationship Id="rId20" Type="http://schemas.openxmlformats.org/officeDocument/2006/relationships/hyperlink" Target="https://www.cnj.jus.br/wp-content/uploads/conteudo/arquivo/2019/08/7b7cb6d9ac9042c8d3e40700b80bf207.pdf" TargetMode="External"/><Relationship Id="rId22" Type="http://schemas.openxmlformats.org/officeDocument/2006/relationships/hyperlink" Target="https://www.cnj.jus.br/programas-e-acoes/violencia-contra-a-mulher/formas-de-violencia-contra-a-mulher/" TargetMode="External"/><Relationship Id="rId21" Type="http://schemas.openxmlformats.org/officeDocument/2006/relationships/hyperlink" Target="https://www.cnj.jus.br/programas-e-acoes/violencia-contra-a-mulher/formas-de-violencia-contra-a-mulher/" TargetMode="External"/><Relationship Id="rId24" Type="http://schemas.openxmlformats.org/officeDocument/2006/relationships/hyperlink" Target="https://www.unicef.org/brazil/comunicados-de-imprensa/duas-em-cada-tres-criancas-na-america-latina-e-no-caribe-sofrem-violencia" TargetMode="External"/><Relationship Id="rId23" Type="http://schemas.openxmlformats.org/officeDocument/2006/relationships/hyperlink" Target="https://www.unicef.org/brazil/comunicados-de-imprensa/duas-em-cada-tres-criancas-na-america-latina-e-no-caribe-sofrem-violencia" TargetMode="External"/><Relationship Id="rId26" Type="http://schemas.openxmlformats.org/officeDocument/2006/relationships/hyperlink" Target="https://www.gov.br/mdh/pt-br/assuntos/noticias/2023/maio/disque-100-registra-mais-de-17-5-mil-violacoes-sexuais-contra-criancas-e-adolescentes-nos-quatro-primeiros-meses-de-2023" TargetMode="External"/><Relationship Id="rId25" Type="http://schemas.openxmlformats.org/officeDocument/2006/relationships/hyperlink" Target="https://www.unicef.org/brazil/comunicados-de-imprensa/duas-em-cada-tres-criancas-na-america-latina-e-no-caribe-sofrem-violencia" TargetMode="External"/><Relationship Id="rId28" Type="http://schemas.openxmlformats.org/officeDocument/2006/relationships/hyperlink" Target="https://www.gov.br/mdh/pt-br/assuntos/noticias/2023/maio/disque-100-registra-mais-de-17-5-mil-violacoes-sexuais-contra-criancas-e-adolescentes-nos-quatro-primeiros-meses-de-2023" TargetMode="External"/><Relationship Id="rId27" Type="http://schemas.openxmlformats.org/officeDocument/2006/relationships/hyperlink" Target="https://www.gov.br/mdh/pt-br/assuntos/noticias/2023/maio/disque-100-registra-mais-de-17-5-mil-violacoes-sexuais-contra-criancas-e-adolescentes-nos-quatro-primeiros-meses-de-2023" TargetMode="External"/><Relationship Id="rId29" Type="http://schemas.openxmlformats.org/officeDocument/2006/relationships/hyperlink" Target="mailto:juliamoulinpereira@gmail.com" TargetMode="External"/><Relationship Id="rId50" Type="http://schemas.openxmlformats.org/officeDocument/2006/relationships/hyperlink" Target="https://mulheresnegrasdecidem.org/mitos-eleitorais/" TargetMode="External"/><Relationship Id="rId11" Type="http://schemas.openxmlformats.org/officeDocument/2006/relationships/hyperlink" Target="http://www.who.int/violence_injury_prevention/violence/status_report/2014/en/" TargetMode="External"/><Relationship Id="rId10" Type="http://schemas.openxmlformats.org/officeDocument/2006/relationships/hyperlink" Target="http://www.who.int/violence_injury_prevention/violence/status_report/2014/en/" TargetMode="External"/><Relationship Id="rId13" Type="http://schemas.openxmlformats.org/officeDocument/2006/relationships/hyperlink" Target="https://www.intercept.com.br/2023/07/27/juiza-diz-mulher-pode-apanhar-do-marido-mas-ele-ser-excelente-pai/" TargetMode="External"/><Relationship Id="rId12" Type="http://schemas.openxmlformats.org/officeDocument/2006/relationships/hyperlink" Target="https://www.unicef.org/lac/media/15826/file/Nota-tecnica-A-inter-relacao-entre-violencia-contra-a-mulher-e-violencia-contra-as-criancas.pdf" TargetMode="External"/><Relationship Id="rId15" Type="http://schemas.openxmlformats.org/officeDocument/2006/relationships/hyperlink" Target="https://www.gazetadopovo.com.br/republica/breves/juiz-guarda-de-mae-rio-de-janeiro-violento/" TargetMode="External"/><Relationship Id="rId14" Type="http://schemas.openxmlformats.org/officeDocument/2006/relationships/hyperlink" Target="https://www.intercept.com.br/2023/07/27/juiza-diz-mulher-pode-apanhar-do-marido-mas-ele-ser-excelente-pai/" TargetMode="External"/><Relationship Id="rId17" Type="http://schemas.openxmlformats.org/officeDocument/2006/relationships/hyperlink" Target="https://www.cnj.jus.br/wp-content/uploads/conteudo/arquivo/2019/08/7b7cb6d9ac9042c8d3e40700b80bf207.pdf" TargetMode="External"/><Relationship Id="rId16" Type="http://schemas.openxmlformats.org/officeDocument/2006/relationships/hyperlink" Target="https://www.cnj.jus.br/wp-content/uploads/conteudo/arquivo/2019/08/7b7cb6d9ac9042c8d3e40700b80bf207.pdf" TargetMode="External"/><Relationship Id="rId19" Type="http://schemas.openxmlformats.org/officeDocument/2006/relationships/hyperlink" Target="https://www.cnj.jus.br/wp-content/uploads/conteudo/arquivo/2019/08/7b7cb6d9ac9042c8d3e40700b80bf207.pdf" TargetMode="External"/><Relationship Id="rId18" Type="http://schemas.openxmlformats.org/officeDocument/2006/relationships/hyperlink" Target="https://www.cnj.jus.br/wp-content/uploads/conteudo/arquivo/2019/08/7b7cb6d9ac9042c8d3e40700b80bf207.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2023-10-18T16:35:00Z</dcterms:created>
  <dc:creator>Julia Moulin</dc:creator>
</cp:coreProperties>
</file>