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2354" w14:textId="77777777" w:rsidR="00A66D9B" w:rsidRDefault="00A66D9B" w:rsidP="0096461D">
      <w:pPr>
        <w:rPr>
          <w:b/>
          <w:bCs/>
          <w:sz w:val="32"/>
          <w:lang w:val="en-US"/>
        </w:rPr>
      </w:pPr>
    </w:p>
    <w:p w14:paraId="5ED60645" w14:textId="0C97C19B" w:rsidR="00A66D9B" w:rsidRDefault="00A66D9B" w:rsidP="0096461D">
      <w:pPr>
        <w:rPr>
          <w:b/>
          <w:bCs/>
          <w:sz w:val="32"/>
          <w:lang w:val="en-US"/>
        </w:rPr>
      </w:pPr>
    </w:p>
    <w:p w14:paraId="34EB1BDE" w14:textId="3A98F535" w:rsidR="00A66D9B" w:rsidRDefault="00A66D9B" w:rsidP="0096461D">
      <w:pPr>
        <w:rPr>
          <w:b/>
          <w:bCs/>
          <w:sz w:val="32"/>
          <w:lang w:val="en-US"/>
        </w:rPr>
      </w:pPr>
    </w:p>
    <w:p w14:paraId="1903B8C4" w14:textId="3ED3E7C2" w:rsidR="00A66D9B" w:rsidRDefault="00A66D9B" w:rsidP="0096461D">
      <w:pPr>
        <w:rPr>
          <w:b/>
          <w:bCs/>
          <w:sz w:val="32"/>
          <w:lang w:val="en-US"/>
        </w:rPr>
      </w:pPr>
    </w:p>
    <w:p w14:paraId="626ECBED" w14:textId="4F9223C1" w:rsidR="00A66D9B" w:rsidRDefault="00A66D9B" w:rsidP="0096461D">
      <w:pPr>
        <w:rPr>
          <w:b/>
          <w:bCs/>
          <w:sz w:val="32"/>
          <w:lang w:val="en-US"/>
        </w:rPr>
      </w:pPr>
    </w:p>
    <w:p w14:paraId="34728917" w14:textId="2902195D" w:rsidR="00A66D9B" w:rsidRDefault="00A66D9B" w:rsidP="0096461D">
      <w:pPr>
        <w:rPr>
          <w:b/>
          <w:bCs/>
          <w:sz w:val="32"/>
          <w:lang w:val="en-US"/>
        </w:rPr>
      </w:pPr>
    </w:p>
    <w:p w14:paraId="5093CEBD" w14:textId="516F0D37" w:rsidR="00A66D9B" w:rsidRDefault="00A66D9B" w:rsidP="0096461D">
      <w:pPr>
        <w:rPr>
          <w:b/>
          <w:bCs/>
          <w:sz w:val="32"/>
          <w:lang w:val="en-US"/>
        </w:rPr>
      </w:pPr>
    </w:p>
    <w:p w14:paraId="2C5AC7AE" w14:textId="31AB29BD" w:rsidR="00A66D9B" w:rsidRDefault="00A66D9B" w:rsidP="0096461D">
      <w:pPr>
        <w:rPr>
          <w:b/>
          <w:bCs/>
          <w:sz w:val="32"/>
          <w:lang w:val="en-US"/>
        </w:rPr>
      </w:pPr>
    </w:p>
    <w:p w14:paraId="0E6D1519" w14:textId="09CF26F8" w:rsidR="00A66D9B" w:rsidRDefault="00A66D9B" w:rsidP="0096461D">
      <w:pPr>
        <w:rPr>
          <w:b/>
          <w:bCs/>
          <w:sz w:val="32"/>
          <w:lang w:val="en-US"/>
        </w:rPr>
      </w:pPr>
    </w:p>
    <w:p w14:paraId="6B16A520" w14:textId="77777777" w:rsidR="00A66D9B" w:rsidRDefault="00A66D9B" w:rsidP="0096461D">
      <w:pPr>
        <w:rPr>
          <w:b/>
          <w:bCs/>
          <w:sz w:val="32"/>
          <w:lang w:val="en-US"/>
        </w:rPr>
      </w:pPr>
    </w:p>
    <w:p w14:paraId="5634BBF4" w14:textId="77777777" w:rsidR="00A66D9B" w:rsidRDefault="00A66D9B" w:rsidP="0096461D">
      <w:pPr>
        <w:rPr>
          <w:b/>
          <w:bCs/>
          <w:sz w:val="32"/>
          <w:lang w:val="en-US"/>
        </w:rPr>
      </w:pPr>
    </w:p>
    <w:p w14:paraId="74335621" w14:textId="46DFC545" w:rsidR="00A66D9B" w:rsidRPr="00A66D9B" w:rsidRDefault="00A66D9B" w:rsidP="00A66D9B">
      <w:pPr>
        <w:jc w:val="center"/>
        <w:rPr>
          <w:b/>
          <w:bCs/>
          <w:sz w:val="32"/>
          <w:lang w:val="pt-BR"/>
        </w:rPr>
      </w:pPr>
      <w:r w:rsidRPr="00A66D9B">
        <w:rPr>
          <w:b/>
          <w:bCs/>
          <w:sz w:val="32"/>
          <w:lang w:val="pt-BR"/>
        </w:rPr>
        <w:t>ETAPAS NO DESENVOLVIMENTO DE</w:t>
      </w:r>
      <w:r>
        <w:rPr>
          <w:b/>
          <w:bCs/>
          <w:sz w:val="32"/>
          <w:lang w:val="pt-BR"/>
        </w:rPr>
        <w:t xml:space="preserve"> NOVOS</w:t>
      </w:r>
      <w:r w:rsidR="007422E9">
        <w:rPr>
          <w:b/>
          <w:bCs/>
          <w:sz w:val="32"/>
          <w:lang w:val="pt-BR"/>
        </w:rPr>
        <w:t xml:space="preserve"> </w:t>
      </w:r>
      <w:r w:rsidR="007422E9">
        <w:rPr>
          <w:b/>
          <w:bCs/>
          <w:sz w:val="32"/>
          <w:lang w:val="pt-BR"/>
        </w:rPr>
        <w:t>MEDICAMENTOS</w:t>
      </w:r>
    </w:p>
    <w:p w14:paraId="653531DC" w14:textId="77777777" w:rsidR="00A66D9B" w:rsidRPr="00A66D9B" w:rsidRDefault="00A66D9B" w:rsidP="0096461D">
      <w:pPr>
        <w:rPr>
          <w:b/>
          <w:bCs/>
          <w:sz w:val="32"/>
          <w:lang w:val="pt-BR"/>
        </w:rPr>
      </w:pPr>
    </w:p>
    <w:p w14:paraId="14E1D834" w14:textId="5EC99CD5" w:rsidR="00A66D9B" w:rsidRDefault="00A66D9B" w:rsidP="0096461D">
      <w:pPr>
        <w:rPr>
          <w:b/>
          <w:bCs/>
          <w:sz w:val="32"/>
          <w:lang w:val="pt-BR"/>
        </w:rPr>
      </w:pPr>
    </w:p>
    <w:p w14:paraId="779279E8" w14:textId="495BB403" w:rsidR="00A66D9B" w:rsidRDefault="00A66D9B" w:rsidP="0096461D">
      <w:pPr>
        <w:rPr>
          <w:b/>
          <w:bCs/>
          <w:sz w:val="32"/>
          <w:lang w:val="pt-BR"/>
        </w:rPr>
      </w:pPr>
    </w:p>
    <w:p w14:paraId="5E15C54F" w14:textId="043F48F6" w:rsidR="00A66D9B" w:rsidRDefault="00A66D9B" w:rsidP="0096461D">
      <w:pPr>
        <w:rPr>
          <w:b/>
          <w:bCs/>
          <w:sz w:val="32"/>
          <w:lang w:val="pt-BR"/>
        </w:rPr>
      </w:pPr>
    </w:p>
    <w:p w14:paraId="0ADEB001" w14:textId="1C12D767" w:rsidR="00A66D9B" w:rsidRDefault="00A66D9B" w:rsidP="0096461D">
      <w:pPr>
        <w:rPr>
          <w:b/>
          <w:bCs/>
          <w:sz w:val="32"/>
          <w:lang w:val="pt-BR"/>
        </w:rPr>
      </w:pPr>
    </w:p>
    <w:p w14:paraId="19DE575F" w14:textId="01CA9FE6" w:rsidR="00A66D9B" w:rsidRDefault="00A66D9B" w:rsidP="0096461D">
      <w:pPr>
        <w:rPr>
          <w:b/>
          <w:bCs/>
          <w:sz w:val="32"/>
          <w:lang w:val="pt-BR"/>
        </w:rPr>
      </w:pPr>
    </w:p>
    <w:p w14:paraId="5564D980" w14:textId="18F8DE05" w:rsidR="00A66D9B" w:rsidRDefault="00A66D9B" w:rsidP="0096461D">
      <w:pPr>
        <w:rPr>
          <w:b/>
          <w:bCs/>
          <w:sz w:val="32"/>
          <w:lang w:val="pt-BR"/>
        </w:rPr>
      </w:pPr>
    </w:p>
    <w:p w14:paraId="1E6A1A1E" w14:textId="6778C27E" w:rsidR="00A66D9B" w:rsidRDefault="00A66D9B" w:rsidP="0096461D">
      <w:pPr>
        <w:rPr>
          <w:b/>
          <w:bCs/>
          <w:sz w:val="32"/>
          <w:lang w:val="pt-BR"/>
        </w:rPr>
      </w:pPr>
    </w:p>
    <w:p w14:paraId="1ECA548F" w14:textId="531AC44B" w:rsidR="00A66D9B" w:rsidRDefault="00A66D9B" w:rsidP="0096461D">
      <w:pPr>
        <w:rPr>
          <w:b/>
          <w:bCs/>
          <w:sz w:val="32"/>
          <w:lang w:val="pt-BR"/>
        </w:rPr>
      </w:pPr>
    </w:p>
    <w:p w14:paraId="44E962FD" w14:textId="48875369" w:rsidR="00A66D9B" w:rsidRDefault="00A66D9B" w:rsidP="0096461D">
      <w:pPr>
        <w:rPr>
          <w:b/>
          <w:bCs/>
          <w:sz w:val="32"/>
          <w:lang w:val="pt-BR"/>
        </w:rPr>
      </w:pPr>
    </w:p>
    <w:p w14:paraId="0A97B246" w14:textId="789ED3B6" w:rsidR="00A66D9B" w:rsidRDefault="00A66D9B" w:rsidP="0096461D">
      <w:pPr>
        <w:rPr>
          <w:b/>
          <w:bCs/>
          <w:sz w:val="32"/>
          <w:lang w:val="pt-BR"/>
        </w:rPr>
      </w:pPr>
    </w:p>
    <w:p w14:paraId="002CD45F" w14:textId="52DBFFAD" w:rsidR="00A66D9B" w:rsidRDefault="00A66D9B" w:rsidP="0096461D">
      <w:pPr>
        <w:rPr>
          <w:b/>
          <w:bCs/>
          <w:sz w:val="32"/>
          <w:lang w:val="pt-BR"/>
        </w:rPr>
      </w:pPr>
    </w:p>
    <w:p w14:paraId="5CEC6E68" w14:textId="75547CD8" w:rsidR="00A66D9B" w:rsidRDefault="00A66D9B" w:rsidP="0096461D">
      <w:pPr>
        <w:rPr>
          <w:b/>
          <w:bCs/>
          <w:sz w:val="32"/>
          <w:lang w:val="pt-BR"/>
        </w:rPr>
      </w:pPr>
    </w:p>
    <w:p w14:paraId="45466E58" w14:textId="3A03F3D2" w:rsidR="00A66D9B" w:rsidRDefault="00A66D9B" w:rsidP="0096461D">
      <w:pPr>
        <w:rPr>
          <w:b/>
          <w:bCs/>
          <w:sz w:val="32"/>
          <w:lang w:val="pt-BR"/>
        </w:rPr>
      </w:pPr>
    </w:p>
    <w:p w14:paraId="44AD8E90" w14:textId="51430AE5" w:rsidR="00A66D9B" w:rsidRDefault="00A66D9B" w:rsidP="0096461D">
      <w:pPr>
        <w:rPr>
          <w:b/>
          <w:bCs/>
          <w:sz w:val="32"/>
          <w:lang w:val="pt-BR"/>
        </w:rPr>
      </w:pPr>
    </w:p>
    <w:p w14:paraId="1405D234" w14:textId="3E5DD4A8" w:rsidR="00A66D9B" w:rsidRDefault="00A66D9B" w:rsidP="0096461D">
      <w:pPr>
        <w:rPr>
          <w:b/>
          <w:bCs/>
          <w:sz w:val="32"/>
          <w:lang w:val="pt-BR"/>
        </w:rPr>
      </w:pPr>
    </w:p>
    <w:p w14:paraId="30B3FA9D" w14:textId="03A21AC0" w:rsidR="00A66D9B" w:rsidRDefault="00A66D9B" w:rsidP="0096461D">
      <w:pPr>
        <w:rPr>
          <w:b/>
          <w:bCs/>
          <w:sz w:val="32"/>
          <w:lang w:val="pt-BR"/>
        </w:rPr>
      </w:pPr>
    </w:p>
    <w:p w14:paraId="7CE8F6B0" w14:textId="104CADF5" w:rsidR="00A66D9B" w:rsidRDefault="00A66D9B" w:rsidP="0096461D">
      <w:pPr>
        <w:rPr>
          <w:b/>
          <w:bCs/>
          <w:sz w:val="32"/>
          <w:lang w:val="pt-BR"/>
        </w:rPr>
      </w:pPr>
    </w:p>
    <w:p w14:paraId="68BA58C2" w14:textId="4FEBF2A0" w:rsidR="00A66D9B" w:rsidRDefault="00A66D9B" w:rsidP="0096461D">
      <w:pPr>
        <w:rPr>
          <w:b/>
          <w:bCs/>
          <w:sz w:val="32"/>
          <w:lang w:val="pt-BR"/>
        </w:rPr>
      </w:pPr>
    </w:p>
    <w:p w14:paraId="09AA3E80" w14:textId="59E47658" w:rsidR="00A66D9B" w:rsidRPr="00A66D9B" w:rsidRDefault="00A66D9B" w:rsidP="00A66D9B">
      <w:pPr>
        <w:jc w:val="right"/>
        <w:rPr>
          <w:sz w:val="28"/>
          <w:szCs w:val="28"/>
          <w:lang w:val="pt-BR"/>
        </w:rPr>
      </w:pPr>
      <w:r w:rsidRPr="00A66D9B">
        <w:rPr>
          <w:sz w:val="28"/>
          <w:szCs w:val="28"/>
          <w:lang w:val="pt-BR"/>
        </w:rPr>
        <w:t>JOELMIR LUCENA VEIGA DA SILVA</w:t>
      </w:r>
    </w:p>
    <w:p w14:paraId="29C7D066" w14:textId="1BEE50EF" w:rsidR="00A66D9B" w:rsidRPr="00A66D9B" w:rsidRDefault="00A66D9B" w:rsidP="00A66D9B">
      <w:pPr>
        <w:jc w:val="right"/>
        <w:rPr>
          <w:sz w:val="28"/>
          <w:szCs w:val="28"/>
          <w:lang w:val="pt-BR"/>
        </w:rPr>
      </w:pPr>
      <w:r w:rsidRPr="00A66D9B">
        <w:rPr>
          <w:sz w:val="28"/>
          <w:szCs w:val="28"/>
          <w:lang w:val="pt-BR"/>
        </w:rPr>
        <w:t>GUILHERME CARNEIRO MONTES</w:t>
      </w:r>
    </w:p>
    <w:p w14:paraId="20DACFEA" w14:textId="0566FB62" w:rsidR="00A66D9B" w:rsidRDefault="00A66D9B">
      <w:pPr>
        <w:spacing w:after="200" w:line="276" w:lineRule="auto"/>
        <w:rPr>
          <w:b/>
          <w:bCs/>
          <w:sz w:val="32"/>
          <w:lang w:val="pt-BR"/>
        </w:rPr>
      </w:pPr>
      <w:r>
        <w:rPr>
          <w:b/>
          <w:bCs/>
          <w:sz w:val="32"/>
          <w:lang w:val="pt-BR"/>
        </w:rPr>
        <w:br w:type="page"/>
      </w:r>
    </w:p>
    <w:p w14:paraId="5AC69AFE" w14:textId="1A2D00B1" w:rsidR="00A66D9B" w:rsidRDefault="00A66D9B" w:rsidP="0096461D">
      <w:pPr>
        <w:rPr>
          <w:b/>
          <w:bCs/>
          <w:sz w:val="32"/>
          <w:lang w:val="pt-BR"/>
        </w:rPr>
      </w:pPr>
    </w:p>
    <w:p w14:paraId="4B803A60" w14:textId="77777777" w:rsidR="00A66D9B" w:rsidRDefault="00A66D9B" w:rsidP="0096461D">
      <w:pPr>
        <w:rPr>
          <w:b/>
          <w:bCs/>
          <w:sz w:val="32"/>
          <w:lang w:val="pt-BR"/>
        </w:rPr>
      </w:pPr>
    </w:p>
    <w:p w14:paraId="76DEAC0B" w14:textId="77777777" w:rsidR="00A66D9B" w:rsidRPr="00A66D9B" w:rsidRDefault="00A66D9B" w:rsidP="00A66D9B">
      <w:pPr>
        <w:jc w:val="center"/>
        <w:rPr>
          <w:sz w:val="28"/>
          <w:szCs w:val="28"/>
          <w:lang w:val="pt-BR"/>
        </w:rPr>
      </w:pPr>
      <w:r w:rsidRPr="00A66D9B">
        <w:rPr>
          <w:sz w:val="28"/>
          <w:szCs w:val="28"/>
          <w:lang w:val="pt-BR"/>
        </w:rPr>
        <w:t>JOELMIR LUCENA VEIGA DA SILVA</w:t>
      </w:r>
    </w:p>
    <w:p w14:paraId="577B111D" w14:textId="77777777" w:rsidR="00A66D9B" w:rsidRPr="00A66D9B" w:rsidRDefault="00A66D9B" w:rsidP="00A66D9B">
      <w:pPr>
        <w:jc w:val="center"/>
        <w:rPr>
          <w:sz w:val="28"/>
          <w:szCs w:val="28"/>
          <w:lang w:val="pt-BR"/>
        </w:rPr>
      </w:pPr>
      <w:r w:rsidRPr="00A66D9B">
        <w:rPr>
          <w:sz w:val="28"/>
          <w:szCs w:val="28"/>
          <w:lang w:val="pt-BR"/>
        </w:rPr>
        <w:t>GUILHERME CARNEIRO MONTES</w:t>
      </w:r>
    </w:p>
    <w:p w14:paraId="593D3B91" w14:textId="1D22FE1F" w:rsidR="00A66D9B" w:rsidRDefault="00A66D9B" w:rsidP="0096461D">
      <w:pPr>
        <w:rPr>
          <w:b/>
          <w:bCs/>
          <w:sz w:val="32"/>
          <w:lang w:val="pt-BR"/>
        </w:rPr>
      </w:pPr>
    </w:p>
    <w:p w14:paraId="627BB9EF" w14:textId="3F98FB63" w:rsidR="00A66D9B" w:rsidRDefault="00A66D9B" w:rsidP="0096461D">
      <w:pPr>
        <w:rPr>
          <w:b/>
          <w:bCs/>
          <w:sz w:val="32"/>
          <w:lang w:val="pt-BR"/>
        </w:rPr>
      </w:pPr>
    </w:p>
    <w:p w14:paraId="6AF0DE94" w14:textId="3597B6E6" w:rsidR="00A66D9B" w:rsidRDefault="00A66D9B" w:rsidP="0096461D">
      <w:pPr>
        <w:rPr>
          <w:b/>
          <w:bCs/>
          <w:sz w:val="32"/>
          <w:lang w:val="pt-BR"/>
        </w:rPr>
      </w:pPr>
    </w:p>
    <w:p w14:paraId="18505506" w14:textId="3E018535" w:rsidR="00A66D9B" w:rsidRDefault="00A66D9B" w:rsidP="0096461D">
      <w:pPr>
        <w:rPr>
          <w:b/>
          <w:bCs/>
          <w:sz w:val="32"/>
          <w:lang w:val="pt-BR"/>
        </w:rPr>
      </w:pPr>
    </w:p>
    <w:p w14:paraId="5B600D08" w14:textId="274C6DC3" w:rsidR="00A66D9B" w:rsidRDefault="00A66D9B" w:rsidP="0096461D">
      <w:pPr>
        <w:rPr>
          <w:b/>
          <w:bCs/>
          <w:sz w:val="32"/>
          <w:lang w:val="pt-BR"/>
        </w:rPr>
      </w:pPr>
    </w:p>
    <w:p w14:paraId="3A1B9EB8" w14:textId="50A4BA41" w:rsidR="00A66D9B" w:rsidRDefault="00A66D9B" w:rsidP="0096461D">
      <w:pPr>
        <w:rPr>
          <w:b/>
          <w:bCs/>
          <w:sz w:val="32"/>
          <w:lang w:val="pt-BR"/>
        </w:rPr>
      </w:pPr>
    </w:p>
    <w:p w14:paraId="5A8A3F68" w14:textId="04AF52ED" w:rsidR="00A66D9B" w:rsidRDefault="00A66D9B" w:rsidP="0096461D">
      <w:pPr>
        <w:rPr>
          <w:b/>
          <w:bCs/>
          <w:sz w:val="32"/>
          <w:lang w:val="pt-BR"/>
        </w:rPr>
      </w:pPr>
    </w:p>
    <w:p w14:paraId="550CEEEA" w14:textId="114C57EF" w:rsidR="00A66D9B" w:rsidRDefault="00A66D9B" w:rsidP="0096461D">
      <w:pPr>
        <w:rPr>
          <w:b/>
          <w:bCs/>
          <w:sz w:val="32"/>
          <w:lang w:val="pt-BR"/>
        </w:rPr>
      </w:pPr>
    </w:p>
    <w:p w14:paraId="38D6243F" w14:textId="0A39561D" w:rsidR="00A66D9B" w:rsidRDefault="00A66D9B" w:rsidP="0096461D">
      <w:pPr>
        <w:rPr>
          <w:b/>
          <w:bCs/>
          <w:sz w:val="32"/>
          <w:lang w:val="pt-BR"/>
        </w:rPr>
      </w:pPr>
    </w:p>
    <w:p w14:paraId="54A9461D" w14:textId="77777777" w:rsidR="00A66D9B" w:rsidRDefault="00A66D9B" w:rsidP="0096461D">
      <w:pPr>
        <w:rPr>
          <w:b/>
          <w:bCs/>
          <w:sz w:val="32"/>
          <w:lang w:val="pt-BR"/>
        </w:rPr>
      </w:pPr>
    </w:p>
    <w:p w14:paraId="61A72FB1" w14:textId="65DD8F50" w:rsidR="00A66D9B" w:rsidRDefault="00A66D9B" w:rsidP="0096461D">
      <w:pPr>
        <w:rPr>
          <w:b/>
          <w:bCs/>
          <w:sz w:val="32"/>
          <w:lang w:val="pt-BR"/>
        </w:rPr>
      </w:pPr>
    </w:p>
    <w:p w14:paraId="00645185" w14:textId="5C9C0C8B" w:rsidR="00A66D9B" w:rsidRDefault="00A66D9B" w:rsidP="007422E9">
      <w:pPr>
        <w:jc w:val="center"/>
        <w:rPr>
          <w:b/>
          <w:bCs/>
          <w:sz w:val="32"/>
          <w:lang w:val="pt-BR"/>
        </w:rPr>
      </w:pPr>
      <w:r w:rsidRPr="00A66D9B">
        <w:rPr>
          <w:b/>
          <w:bCs/>
          <w:sz w:val="32"/>
          <w:lang w:val="pt-BR"/>
        </w:rPr>
        <w:t>ETAPAS NO DESENVOLVIMENTO DE</w:t>
      </w:r>
      <w:r>
        <w:rPr>
          <w:b/>
          <w:bCs/>
          <w:sz w:val="32"/>
          <w:lang w:val="pt-BR"/>
        </w:rPr>
        <w:t xml:space="preserve"> </w:t>
      </w:r>
      <w:r w:rsidR="007422E9">
        <w:rPr>
          <w:b/>
          <w:bCs/>
          <w:sz w:val="32"/>
          <w:lang w:val="pt-BR"/>
        </w:rPr>
        <w:t xml:space="preserve">NOVOS </w:t>
      </w:r>
      <w:r w:rsidR="007422E9">
        <w:rPr>
          <w:b/>
          <w:bCs/>
          <w:sz w:val="32"/>
          <w:lang w:val="pt-BR"/>
        </w:rPr>
        <w:t>MEDICAMENTOS</w:t>
      </w:r>
    </w:p>
    <w:p w14:paraId="1D0341D5" w14:textId="210158C7" w:rsidR="00A66D9B" w:rsidRDefault="00A66D9B" w:rsidP="0096461D">
      <w:pPr>
        <w:rPr>
          <w:b/>
          <w:bCs/>
          <w:sz w:val="32"/>
          <w:lang w:val="pt-BR"/>
        </w:rPr>
      </w:pPr>
    </w:p>
    <w:p w14:paraId="4BB7A04F" w14:textId="5E8DE49E" w:rsidR="00A66D9B" w:rsidRDefault="00A66D9B" w:rsidP="0096461D">
      <w:pPr>
        <w:rPr>
          <w:b/>
          <w:bCs/>
          <w:sz w:val="32"/>
          <w:lang w:val="pt-BR"/>
        </w:rPr>
      </w:pPr>
    </w:p>
    <w:p w14:paraId="04886D26" w14:textId="00D005ED" w:rsidR="00A66D9B" w:rsidRDefault="00A66D9B" w:rsidP="0096461D">
      <w:pPr>
        <w:rPr>
          <w:b/>
          <w:bCs/>
          <w:sz w:val="32"/>
          <w:lang w:val="pt-BR"/>
        </w:rPr>
      </w:pPr>
    </w:p>
    <w:p w14:paraId="478014A3" w14:textId="17A48C42" w:rsidR="00A66D9B" w:rsidRDefault="00A66D9B" w:rsidP="0096461D">
      <w:pPr>
        <w:rPr>
          <w:b/>
          <w:bCs/>
          <w:sz w:val="32"/>
          <w:lang w:val="pt-BR"/>
        </w:rPr>
      </w:pPr>
    </w:p>
    <w:p w14:paraId="1EA57328" w14:textId="4C3F7B54" w:rsidR="00A66D9B" w:rsidRDefault="00A66D9B" w:rsidP="0096461D">
      <w:pPr>
        <w:rPr>
          <w:b/>
          <w:bCs/>
          <w:sz w:val="32"/>
          <w:lang w:val="pt-BR"/>
        </w:rPr>
      </w:pPr>
    </w:p>
    <w:p w14:paraId="3A6B2F64" w14:textId="3D05DC0E" w:rsidR="00A66D9B" w:rsidRDefault="00A66D9B" w:rsidP="0096461D">
      <w:pPr>
        <w:rPr>
          <w:b/>
          <w:bCs/>
          <w:sz w:val="32"/>
          <w:lang w:val="pt-BR"/>
        </w:rPr>
      </w:pPr>
    </w:p>
    <w:p w14:paraId="24D7DEED" w14:textId="088FFBC6" w:rsidR="00A66D9B" w:rsidRDefault="00A66D9B" w:rsidP="0096461D">
      <w:pPr>
        <w:rPr>
          <w:b/>
          <w:bCs/>
          <w:sz w:val="32"/>
          <w:lang w:val="pt-BR"/>
        </w:rPr>
      </w:pPr>
    </w:p>
    <w:p w14:paraId="16BA8DF5" w14:textId="0DE4BE3C" w:rsidR="00A66D9B" w:rsidRDefault="00A66D9B" w:rsidP="0096461D">
      <w:pPr>
        <w:rPr>
          <w:b/>
          <w:bCs/>
          <w:sz w:val="32"/>
          <w:lang w:val="pt-BR"/>
        </w:rPr>
      </w:pPr>
    </w:p>
    <w:p w14:paraId="1B62A930" w14:textId="3301626A" w:rsidR="00A66D9B" w:rsidRDefault="00A66D9B" w:rsidP="0096461D">
      <w:pPr>
        <w:rPr>
          <w:b/>
          <w:bCs/>
          <w:sz w:val="32"/>
          <w:lang w:val="pt-BR"/>
        </w:rPr>
      </w:pPr>
    </w:p>
    <w:p w14:paraId="57295D64" w14:textId="68F099D8" w:rsidR="00A66D9B" w:rsidRDefault="00A66D9B" w:rsidP="0096461D">
      <w:pPr>
        <w:rPr>
          <w:b/>
          <w:bCs/>
          <w:sz w:val="32"/>
          <w:lang w:val="pt-BR"/>
        </w:rPr>
      </w:pPr>
    </w:p>
    <w:p w14:paraId="714AEF79" w14:textId="62D1E666" w:rsidR="00A66D9B" w:rsidRDefault="00A66D9B" w:rsidP="0096461D">
      <w:pPr>
        <w:rPr>
          <w:b/>
          <w:bCs/>
          <w:sz w:val="32"/>
          <w:lang w:val="pt-BR"/>
        </w:rPr>
      </w:pPr>
    </w:p>
    <w:p w14:paraId="2980B132" w14:textId="491A9259" w:rsidR="00A66D9B" w:rsidRDefault="00A66D9B" w:rsidP="0096461D">
      <w:pPr>
        <w:rPr>
          <w:b/>
          <w:bCs/>
          <w:sz w:val="32"/>
          <w:lang w:val="pt-BR"/>
        </w:rPr>
      </w:pPr>
    </w:p>
    <w:p w14:paraId="1B6D293D" w14:textId="45D3D8E2" w:rsidR="00A66D9B" w:rsidRDefault="00A66D9B" w:rsidP="0096461D">
      <w:pPr>
        <w:rPr>
          <w:b/>
          <w:bCs/>
          <w:sz w:val="32"/>
          <w:lang w:val="pt-BR"/>
        </w:rPr>
      </w:pPr>
    </w:p>
    <w:p w14:paraId="6B343A21" w14:textId="4DA6F0A2" w:rsidR="00A66D9B" w:rsidRDefault="00A66D9B" w:rsidP="0096461D">
      <w:pPr>
        <w:rPr>
          <w:b/>
          <w:bCs/>
          <w:sz w:val="32"/>
          <w:lang w:val="pt-BR"/>
        </w:rPr>
      </w:pPr>
    </w:p>
    <w:p w14:paraId="186A5F61" w14:textId="43D9CEA0" w:rsidR="00A66D9B" w:rsidRDefault="00A66D9B" w:rsidP="0096461D">
      <w:pPr>
        <w:rPr>
          <w:b/>
          <w:bCs/>
          <w:sz w:val="32"/>
          <w:lang w:val="pt-BR"/>
        </w:rPr>
      </w:pPr>
    </w:p>
    <w:p w14:paraId="15D8A76B" w14:textId="339B7ECD" w:rsidR="00A66D9B" w:rsidRDefault="00A66D9B" w:rsidP="0096461D">
      <w:pPr>
        <w:rPr>
          <w:b/>
          <w:bCs/>
          <w:sz w:val="32"/>
          <w:lang w:val="pt-BR"/>
        </w:rPr>
      </w:pPr>
    </w:p>
    <w:p w14:paraId="6F5C4A86" w14:textId="42A3DE88" w:rsidR="00A66D9B" w:rsidRDefault="00A66D9B" w:rsidP="0096461D">
      <w:pPr>
        <w:rPr>
          <w:b/>
          <w:bCs/>
          <w:sz w:val="32"/>
          <w:lang w:val="pt-BR"/>
        </w:rPr>
      </w:pPr>
    </w:p>
    <w:p w14:paraId="7D329FE5" w14:textId="360ECAEE" w:rsidR="00A66D9B" w:rsidRPr="00A66D9B" w:rsidRDefault="007422E9" w:rsidP="00A66D9B">
      <w:pPr>
        <w:jc w:val="center"/>
        <w:rPr>
          <w:sz w:val="28"/>
          <w:szCs w:val="28"/>
          <w:lang w:val="pt-BR"/>
        </w:rPr>
      </w:pPr>
      <w:r>
        <w:rPr>
          <w:sz w:val="28"/>
          <w:szCs w:val="28"/>
          <w:lang w:val="pt-BR"/>
        </w:rPr>
        <w:t>RIO DE JANEIRO</w:t>
      </w:r>
      <w:r w:rsidR="00A66D9B" w:rsidRPr="00A66D9B">
        <w:rPr>
          <w:sz w:val="28"/>
          <w:szCs w:val="28"/>
          <w:lang w:val="pt-BR"/>
        </w:rPr>
        <w:t>, 2023</w:t>
      </w:r>
    </w:p>
    <w:p w14:paraId="43C2FAA9" w14:textId="2A170933" w:rsidR="00A66D9B" w:rsidRDefault="00A66D9B">
      <w:pPr>
        <w:spacing w:after="200" w:line="276" w:lineRule="auto"/>
        <w:rPr>
          <w:b/>
          <w:bCs/>
          <w:sz w:val="32"/>
          <w:lang w:val="pt-BR"/>
        </w:rPr>
      </w:pPr>
      <w:r>
        <w:rPr>
          <w:b/>
          <w:bCs/>
          <w:sz w:val="32"/>
          <w:lang w:val="pt-BR"/>
        </w:rPr>
        <w:br w:type="page"/>
      </w:r>
    </w:p>
    <w:p w14:paraId="434BD220" w14:textId="44C6ACD9" w:rsidR="0096461D" w:rsidRPr="00A66D9B" w:rsidRDefault="00A66D9B" w:rsidP="0096461D">
      <w:pPr>
        <w:rPr>
          <w:b/>
          <w:bCs/>
          <w:sz w:val="32"/>
          <w:lang w:val="pt-BR"/>
        </w:rPr>
      </w:pPr>
      <w:r w:rsidRPr="00A66D9B">
        <w:rPr>
          <w:b/>
          <w:bCs/>
          <w:sz w:val="32"/>
          <w:lang w:val="pt-BR"/>
        </w:rPr>
        <w:t>Apresentação</w:t>
      </w:r>
    </w:p>
    <w:p w14:paraId="6B4D2F6A" w14:textId="77777777" w:rsidR="00A66D9B" w:rsidRPr="00A66D9B" w:rsidRDefault="00A66D9B" w:rsidP="0096461D">
      <w:pPr>
        <w:rPr>
          <w:b/>
          <w:bCs/>
          <w:sz w:val="32"/>
          <w:lang w:val="pt-BR"/>
        </w:rPr>
      </w:pPr>
    </w:p>
    <w:p w14:paraId="0C1C0AFA" w14:textId="15F68ED3" w:rsidR="0096461D" w:rsidRPr="000D390F" w:rsidRDefault="0096461D" w:rsidP="0096461D">
      <w:pPr>
        <w:spacing w:line="360" w:lineRule="auto"/>
        <w:jc w:val="both"/>
      </w:pPr>
      <w:r w:rsidRPr="000D390F">
        <w:t>Esta obra representa um marco importante na disseminação do conhecimento sobre o complexo processo da criação e elaboração de medicamentos, abordando desde a concepção da ideia até a chegada do produto ao mercado.</w:t>
      </w:r>
    </w:p>
    <w:p w14:paraId="2ADDD2BE" w14:textId="77777777" w:rsidR="0096461D" w:rsidRPr="000D390F" w:rsidRDefault="0096461D" w:rsidP="0096461D">
      <w:pPr>
        <w:spacing w:line="360" w:lineRule="auto"/>
        <w:jc w:val="both"/>
      </w:pPr>
    </w:p>
    <w:p w14:paraId="1AEA8629" w14:textId="11141970" w:rsidR="0096461D" w:rsidRPr="000D390F" w:rsidRDefault="00940B82" w:rsidP="0096461D">
      <w:pPr>
        <w:spacing w:line="360" w:lineRule="auto"/>
        <w:jc w:val="both"/>
      </w:pPr>
      <w:r w:rsidRPr="000D390F">
        <w:t>Na</w:t>
      </w:r>
      <w:r w:rsidR="0096461D" w:rsidRPr="000D390F">
        <w:t xml:space="preserve"> evolução da ciência e da medicina é fundamental compreendermos as etapas envolvidas no desenvolvimento de novos medicamentos. Essas etapas são cruciais para garantir que os medicamentos sejam seguros, eficazes e cumpram sua missão de melhorar a saúde e o bem-estar da população.</w:t>
      </w:r>
    </w:p>
    <w:p w14:paraId="3229A325" w14:textId="77777777" w:rsidR="0096461D" w:rsidRPr="000D390F" w:rsidRDefault="0096461D" w:rsidP="0096461D">
      <w:pPr>
        <w:spacing w:line="360" w:lineRule="auto"/>
        <w:jc w:val="both"/>
      </w:pPr>
    </w:p>
    <w:p w14:paraId="02648A87" w14:textId="75A62B8D" w:rsidR="0096461D" w:rsidRPr="000D390F" w:rsidRDefault="0096461D" w:rsidP="0096461D">
      <w:pPr>
        <w:spacing w:line="360" w:lineRule="auto"/>
        <w:jc w:val="both"/>
      </w:pPr>
      <w:r w:rsidRPr="000D390F">
        <w:t>Este livro, foi escrito renomados especialistas na área, oferece uma visão abrangente e atualizada sobre o processo de desenvolvimento de medicamentos. Os autores compartilham seus conhecimentos e experiências adquiridos ao longo de anos de trabalho no campo, proporcionando aos leitores uma compreensão aprofundada das etapas envolvidas nesse processo.</w:t>
      </w:r>
    </w:p>
    <w:p w14:paraId="6623067A" w14:textId="77777777" w:rsidR="0096461D" w:rsidRPr="000D390F" w:rsidRDefault="0096461D" w:rsidP="0096461D">
      <w:pPr>
        <w:spacing w:line="360" w:lineRule="auto"/>
        <w:jc w:val="both"/>
      </w:pPr>
    </w:p>
    <w:p w14:paraId="68BC6151" w14:textId="283E572E" w:rsidR="0096461D" w:rsidRPr="000D390F" w:rsidRDefault="0096461D" w:rsidP="0096461D">
      <w:pPr>
        <w:spacing w:line="360" w:lineRule="auto"/>
        <w:jc w:val="both"/>
      </w:pPr>
      <w:r w:rsidRPr="000D390F">
        <w:t>A obra apresenta as etapas desde a pesquisa e descoberta de novos alvos terapêuticos até os estudos pré-clínicos e clínicos, bem como os aspectos regulatórios envolvidos no registro e aprovação dos medicamentos.</w:t>
      </w:r>
    </w:p>
    <w:p w14:paraId="2FFA8F45" w14:textId="77777777" w:rsidR="0096461D" w:rsidRPr="000D390F" w:rsidRDefault="0096461D" w:rsidP="0096461D">
      <w:pPr>
        <w:spacing w:line="360" w:lineRule="auto"/>
        <w:jc w:val="both"/>
      </w:pPr>
    </w:p>
    <w:p w14:paraId="3A5714EC" w14:textId="5B5032D7" w:rsidR="0096461D" w:rsidRPr="000D390F" w:rsidRDefault="0096461D" w:rsidP="0096461D">
      <w:pPr>
        <w:spacing w:line="360" w:lineRule="auto"/>
        <w:jc w:val="both"/>
      </w:pPr>
      <w:r w:rsidRPr="000D390F">
        <w:t>Acredito que esta obra será uma leitura valiosa para profissionais da área da saúde, estudantes, pesquisadores e todos os interessados em compreender o processo de desenvolvimento de medicamentos. Ela pode preencher uma lacuna significativa na literatura disponível, oferecendo informações atualizadas, precisas e de fácil compreensão.</w:t>
      </w:r>
    </w:p>
    <w:p w14:paraId="39CA66D2" w14:textId="77777777" w:rsidR="0096461D" w:rsidRPr="000D390F" w:rsidRDefault="0096461D" w:rsidP="0096461D">
      <w:pPr>
        <w:spacing w:line="360" w:lineRule="auto"/>
        <w:jc w:val="both"/>
      </w:pPr>
    </w:p>
    <w:p w14:paraId="24D74BE6" w14:textId="47BF7B95" w:rsidR="0096461D" w:rsidRPr="000D390F" w:rsidRDefault="007422E9" w:rsidP="0096461D">
      <w:pPr>
        <w:spacing w:line="360" w:lineRule="auto"/>
        <w:jc w:val="both"/>
      </w:pPr>
      <w:r>
        <w:rPr>
          <w:lang w:val="pt-BR"/>
        </w:rPr>
        <w:t>O</w:t>
      </w:r>
      <w:r w:rsidR="0096461D" w:rsidRPr="000D390F">
        <w:t>s leitores terão a oportunidade de aprofundar seus conhecimentos sobre o desenvolvimento de medicamentos, entender os desafios enfrentados nesse processo e se inspirar com as inovações que estão moldando o futuro da saúde.</w:t>
      </w:r>
    </w:p>
    <w:p w14:paraId="72878693" w14:textId="77777777" w:rsidR="0096461D" w:rsidRPr="000D390F" w:rsidRDefault="0096461D" w:rsidP="0096461D">
      <w:pPr>
        <w:spacing w:line="360" w:lineRule="auto"/>
        <w:jc w:val="both"/>
      </w:pPr>
    </w:p>
    <w:p w14:paraId="336FF830" w14:textId="2B0BBAC5" w:rsidR="00F270DB" w:rsidRPr="00861B84" w:rsidRDefault="0096461D" w:rsidP="00861B84">
      <w:pPr>
        <w:spacing w:line="360" w:lineRule="auto"/>
        <w:jc w:val="both"/>
        <w:rPr>
          <w:b/>
          <w:bCs/>
          <w:sz w:val="32"/>
        </w:rPr>
      </w:pPr>
      <w:r w:rsidRPr="000D390F">
        <w:t>Parabenizo os autores pela dedicação e expertise na criação deste livro, e espero que os leitores aproveitem ao máximo essa valiosa fonte de conhecimento. Que esta obra contribua para o avanço da ciência, da saúde e do bem-estar da humanidad</w:t>
      </w:r>
      <w:r w:rsidR="007422E9">
        <w:rPr>
          <w:lang w:val="pt-BR"/>
        </w:rPr>
        <w:t>e.</w:t>
      </w:r>
      <w:r w:rsidR="00F270DB">
        <w:rPr>
          <w:rFonts w:cstheme="minorHAnsi"/>
          <w:b/>
          <w:bCs/>
          <w:sz w:val="32"/>
        </w:rPr>
        <w:br w:type="page"/>
      </w:r>
    </w:p>
    <w:p w14:paraId="238D4809" w14:textId="0B197A53" w:rsidR="00861B84" w:rsidRPr="00E879B4" w:rsidRDefault="00861B84" w:rsidP="00861B84">
      <w:pPr>
        <w:jc w:val="center"/>
        <w:rPr>
          <w:rFonts w:cstheme="minorHAnsi"/>
          <w:b/>
          <w:bCs/>
          <w:sz w:val="32"/>
          <w:lang w:val="pt-BR"/>
        </w:rPr>
      </w:pPr>
      <w:r w:rsidRPr="00E879B4">
        <w:rPr>
          <w:rFonts w:cstheme="minorHAnsi"/>
          <w:b/>
          <w:bCs/>
          <w:sz w:val="32"/>
          <w:lang w:val="pt-BR"/>
        </w:rPr>
        <w:t>S</w:t>
      </w:r>
      <w:r w:rsidR="00A66D9B" w:rsidRPr="00E879B4">
        <w:rPr>
          <w:rFonts w:cstheme="minorHAnsi"/>
          <w:b/>
          <w:bCs/>
          <w:sz w:val="32"/>
          <w:lang w:val="pt-BR"/>
        </w:rPr>
        <w:t>umário</w:t>
      </w:r>
    </w:p>
    <w:p w14:paraId="7A121C27" w14:textId="77777777" w:rsidR="00861B84" w:rsidRDefault="00861B84" w:rsidP="007E47CB">
      <w:pPr>
        <w:rPr>
          <w:rFonts w:cstheme="minorHAnsi"/>
          <w:b/>
          <w:bCs/>
          <w:sz w:val="32"/>
        </w:rPr>
      </w:pPr>
    </w:p>
    <w:p w14:paraId="5655145D" w14:textId="2F49F24E" w:rsidR="00861B84" w:rsidRDefault="00861B84" w:rsidP="007E47CB">
      <w:pPr>
        <w:rPr>
          <w:rFonts w:cstheme="minorHAnsi"/>
          <w:b/>
          <w:bCs/>
          <w:sz w:val="32"/>
        </w:rPr>
      </w:pPr>
    </w:p>
    <w:p w14:paraId="42E16DEB" w14:textId="36F217C2" w:rsidR="00861B84" w:rsidRPr="00E879B4" w:rsidRDefault="00E879B4" w:rsidP="00E879B4">
      <w:pPr>
        <w:rPr>
          <w:rFonts w:cstheme="minorHAnsi"/>
          <w:b/>
          <w:bCs/>
          <w:sz w:val="28"/>
          <w:szCs w:val="28"/>
          <w:lang w:val="pt-BR"/>
        </w:rPr>
      </w:pPr>
      <w:r w:rsidRPr="00E879B4">
        <w:rPr>
          <w:rFonts w:cstheme="minorHAnsi"/>
          <w:b/>
          <w:bCs/>
          <w:sz w:val="28"/>
          <w:szCs w:val="28"/>
          <w:lang w:val="pt-BR"/>
        </w:rPr>
        <w:t>Capítulo 1</w:t>
      </w:r>
    </w:p>
    <w:p w14:paraId="38BB937F" w14:textId="146E18D6" w:rsidR="00E879B4" w:rsidRPr="00E879B4" w:rsidRDefault="00E879B4" w:rsidP="00E879B4">
      <w:pPr>
        <w:rPr>
          <w:b/>
          <w:bCs/>
          <w:lang w:val="pt-BR"/>
        </w:rPr>
      </w:pPr>
      <w:r w:rsidRPr="003617C7">
        <w:rPr>
          <w:b/>
          <w:bCs/>
          <w:sz w:val="28"/>
          <w:szCs w:val="28"/>
        </w:rPr>
        <w:t>Ética na pesquisa de medicamentos</w:t>
      </w:r>
      <w:r w:rsidR="003617C7" w:rsidRPr="003617C7">
        <w:rPr>
          <w:b/>
          <w:bCs/>
          <w:sz w:val="28"/>
          <w:szCs w:val="28"/>
          <w:lang w:val="pt-BR"/>
        </w:rPr>
        <w:t xml:space="preserve"> novos</w:t>
      </w:r>
      <w:r w:rsidRPr="00E879B4">
        <w:rPr>
          <w:b/>
          <w:bCs/>
          <w:lang w:val="pt-BR"/>
        </w:rPr>
        <w:t xml:space="preserve"> ...................................</w:t>
      </w:r>
      <w:r>
        <w:rPr>
          <w:b/>
          <w:bCs/>
          <w:lang w:val="pt-BR"/>
        </w:rPr>
        <w:t>........</w:t>
      </w:r>
      <w:r w:rsidR="003617C7">
        <w:rPr>
          <w:b/>
          <w:bCs/>
          <w:lang w:val="pt-BR"/>
        </w:rPr>
        <w:t>.</w:t>
      </w:r>
      <w:r>
        <w:rPr>
          <w:b/>
          <w:bCs/>
          <w:lang w:val="pt-BR"/>
        </w:rPr>
        <w:t>..</w:t>
      </w:r>
      <w:r w:rsidRPr="00E879B4">
        <w:rPr>
          <w:b/>
          <w:bCs/>
          <w:lang w:val="pt-BR"/>
        </w:rPr>
        <w:t>........</w:t>
      </w:r>
      <w:r>
        <w:rPr>
          <w:b/>
          <w:bCs/>
          <w:lang w:val="pt-BR"/>
        </w:rPr>
        <w:t xml:space="preserve"> 5</w:t>
      </w:r>
    </w:p>
    <w:p w14:paraId="6239735F" w14:textId="29B1604D" w:rsidR="00861B84" w:rsidRDefault="00E879B4" w:rsidP="00E879B4">
      <w:pPr>
        <w:rPr>
          <w:b/>
          <w:bCs/>
          <w:lang w:val="pt-BR"/>
        </w:rPr>
      </w:pPr>
      <w:r w:rsidRPr="00E879B4">
        <w:rPr>
          <w:rFonts w:cstheme="minorHAnsi"/>
          <w:b/>
          <w:bCs/>
          <w:lang w:val="pt-BR"/>
        </w:rPr>
        <w:t>Introdução à etapa pré-clínica</w:t>
      </w:r>
      <w:r>
        <w:rPr>
          <w:rFonts w:cstheme="minorHAnsi"/>
          <w:b/>
          <w:bCs/>
          <w:lang w:val="pt-BR"/>
        </w:rPr>
        <w:t xml:space="preserve"> </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 xml:space="preserve"> 5</w:t>
      </w:r>
    </w:p>
    <w:p w14:paraId="21609BB3" w14:textId="6BA5DC06" w:rsidR="00E879B4" w:rsidRDefault="00E879B4" w:rsidP="00AD33A6">
      <w:pPr>
        <w:rPr>
          <w:b/>
          <w:bCs/>
          <w:lang w:val="pt-BR"/>
        </w:rPr>
      </w:pPr>
      <w:r w:rsidRPr="00DD2A75">
        <w:rPr>
          <w:b/>
          <w:bCs/>
        </w:rPr>
        <w:t>Comitê de Ética no Uso de Animais</w:t>
      </w:r>
      <w:r w:rsidRPr="00E879B4">
        <w:rPr>
          <w:b/>
          <w:bCs/>
          <w:lang w:val="pt-BR"/>
        </w:rPr>
        <w:t xml:space="preserve"> .................</w:t>
      </w:r>
      <w:r>
        <w:rPr>
          <w:b/>
          <w:bCs/>
          <w:lang w:val="pt-BR"/>
        </w:rPr>
        <w:t>....................</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 xml:space="preserve"> 6</w:t>
      </w:r>
    </w:p>
    <w:p w14:paraId="6465FD0D" w14:textId="28F24BB3" w:rsidR="00E879B4" w:rsidRPr="00AD33A6" w:rsidRDefault="00E879B4" w:rsidP="00AD33A6">
      <w:pPr>
        <w:jc w:val="both"/>
        <w:rPr>
          <w:b/>
          <w:lang w:val="pt-BR"/>
        </w:rPr>
      </w:pPr>
      <w:r w:rsidRPr="00545FB7">
        <w:rPr>
          <w:b/>
        </w:rPr>
        <w:t>Princípios dos 3 Rs</w:t>
      </w:r>
      <w:r w:rsidRPr="00AD33A6">
        <w:rPr>
          <w:b/>
          <w:lang w:val="pt-BR"/>
        </w:rPr>
        <w:t xml:space="preserve"> ..</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 xml:space="preserve"> 8</w:t>
      </w:r>
    </w:p>
    <w:p w14:paraId="79912D61" w14:textId="54B27157" w:rsidR="00AD33A6" w:rsidRDefault="00AD33A6" w:rsidP="00AD33A6">
      <w:pPr>
        <w:jc w:val="both"/>
        <w:rPr>
          <w:b/>
          <w:bCs/>
          <w:lang w:val="pt-BR"/>
        </w:rPr>
      </w:pPr>
      <w:r w:rsidRPr="00FD448D">
        <w:rPr>
          <w:b/>
          <w:bCs/>
        </w:rPr>
        <w:t xml:space="preserve">Bem-Estar </w:t>
      </w:r>
      <w:r>
        <w:rPr>
          <w:b/>
          <w:bCs/>
        </w:rPr>
        <w:t>a</w:t>
      </w:r>
      <w:r w:rsidRPr="00FD448D">
        <w:rPr>
          <w:b/>
          <w:bCs/>
        </w:rPr>
        <w:t>nimal</w:t>
      </w:r>
      <w:r>
        <w:rPr>
          <w:b/>
          <w:bCs/>
        </w:rPr>
        <w:t xml:space="preserve"> na pesquisa pré-clínica</w:t>
      </w:r>
      <w:r w:rsidRPr="00AD33A6">
        <w:rPr>
          <w:b/>
          <w:bCs/>
          <w:lang w:val="pt-BR"/>
        </w:rPr>
        <w:t xml:space="preserve"> </w:t>
      </w:r>
      <w:r>
        <w:rPr>
          <w:b/>
          <w:bCs/>
          <w:lang w:val="pt-BR"/>
        </w:rPr>
        <w:t>...........................</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 xml:space="preserve"> 9</w:t>
      </w:r>
    </w:p>
    <w:p w14:paraId="03DCA38E" w14:textId="044E57BC" w:rsidR="00AD33A6" w:rsidRDefault="00AD33A6" w:rsidP="00AD33A6">
      <w:pPr>
        <w:jc w:val="both"/>
        <w:rPr>
          <w:b/>
          <w:bCs/>
          <w:lang w:val="pt-BR"/>
        </w:rPr>
      </w:pPr>
      <w:r w:rsidRPr="0008622F">
        <w:rPr>
          <w:b/>
          <w:bCs/>
        </w:rPr>
        <w:t xml:space="preserve">Introdução </w:t>
      </w:r>
      <w:r>
        <w:rPr>
          <w:b/>
          <w:bCs/>
        </w:rPr>
        <w:t>à</w:t>
      </w:r>
      <w:r w:rsidRPr="0008622F">
        <w:rPr>
          <w:b/>
          <w:bCs/>
        </w:rPr>
        <w:t xml:space="preserve"> </w:t>
      </w:r>
      <w:r>
        <w:rPr>
          <w:b/>
          <w:bCs/>
        </w:rPr>
        <w:t>etapa</w:t>
      </w:r>
      <w:r w:rsidRPr="0008622F">
        <w:rPr>
          <w:b/>
          <w:bCs/>
        </w:rPr>
        <w:t xml:space="preserve"> clínica </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12</w:t>
      </w:r>
    </w:p>
    <w:p w14:paraId="531CD09A" w14:textId="723F44C1" w:rsidR="00AD33A6" w:rsidRDefault="00AD33A6" w:rsidP="00AD33A6">
      <w:pPr>
        <w:jc w:val="both"/>
        <w:rPr>
          <w:b/>
          <w:bCs/>
          <w:lang w:val="pt-BR"/>
        </w:rPr>
      </w:pPr>
      <w:r>
        <w:rPr>
          <w:b/>
          <w:bCs/>
        </w:rPr>
        <w:t xml:space="preserve">O </w:t>
      </w:r>
      <w:r w:rsidRPr="00C3280A">
        <w:rPr>
          <w:b/>
          <w:bCs/>
        </w:rPr>
        <w:t>Sistema CEP/C</w:t>
      </w:r>
      <w:r>
        <w:rPr>
          <w:b/>
          <w:bCs/>
        </w:rPr>
        <w:t>ONEP</w:t>
      </w:r>
      <w:r>
        <w:rPr>
          <w:b/>
          <w:bCs/>
          <w:lang w:val="en-US"/>
        </w:rPr>
        <w:t xml:space="preserve"> </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13</w:t>
      </w:r>
    </w:p>
    <w:p w14:paraId="68723F69" w14:textId="56444AA3" w:rsidR="00AD33A6" w:rsidRDefault="00AD33A6" w:rsidP="00AD33A6">
      <w:pPr>
        <w:jc w:val="both"/>
        <w:rPr>
          <w:b/>
          <w:bCs/>
          <w:lang w:val="pt-BR"/>
        </w:rPr>
      </w:pPr>
      <w:r w:rsidRPr="004D4FDA">
        <w:rPr>
          <w:b/>
          <w:bCs/>
        </w:rPr>
        <w:t xml:space="preserve">Aspectos éticos da </w:t>
      </w:r>
      <w:r>
        <w:rPr>
          <w:b/>
          <w:bCs/>
        </w:rPr>
        <w:t>etapa clínica</w:t>
      </w:r>
      <w:r w:rsidRPr="00AD33A6">
        <w:rPr>
          <w:b/>
          <w:bCs/>
          <w:lang w:val="pt-BR"/>
        </w:rPr>
        <w:t xml:space="preserve"> </w:t>
      </w:r>
      <w:r>
        <w:rPr>
          <w:b/>
          <w:bCs/>
          <w:lang w:val="pt-BR"/>
        </w:rPr>
        <w:t>...........................................</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15</w:t>
      </w:r>
    </w:p>
    <w:p w14:paraId="14F03725" w14:textId="06116652" w:rsidR="00AD33A6" w:rsidRPr="00AD33A6" w:rsidRDefault="00AD33A6" w:rsidP="00AD33A6">
      <w:pPr>
        <w:jc w:val="both"/>
        <w:rPr>
          <w:b/>
          <w:bCs/>
          <w:lang w:val="pt-BR"/>
        </w:rPr>
      </w:pPr>
      <w:r>
        <w:rPr>
          <w:b/>
          <w:bCs/>
          <w:lang w:val="pt-BR"/>
        </w:rPr>
        <w:t>Referências ...........................................................................</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17</w:t>
      </w:r>
    </w:p>
    <w:p w14:paraId="003D8964" w14:textId="77777777" w:rsidR="00AD33A6" w:rsidRPr="00AD33A6" w:rsidRDefault="00AD33A6" w:rsidP="00AD33A6">
      <w:pPr>
        <w:jc w:val="both"/>
        <w:rPr>
          <w:b/>
          <w:bCs/>
          <w:lang w:val="pt-BR"/>
        </w:rPr>
      </w:pPr>
    </w:p>
    <w:p w14:paraId="2FC01395" w14:textId="77777777" w:rsidR="00AD33A6" w:rsidRPr="00940B82" w:rsidRDefault="00AD33A6" w:rsidP="00AD33A6">
      <w:pPr>
        <w:rPr>
          <w:b/>
          <w:bCs/>
          <w:sz w:val="32"/>
        </w:rPr>
      </w:pPr>
      <w:r w:rsidRPr="00940B82">
        <w:rPr>
          <w:b/>
          <w:bCs/>
          <w:sz w:val="32"/>
        </w:rPr>
        <w:t>Capítulo 2</w:t>
      </w:r>
    </w:p>
    <w:p w14:paraId="76BC084D" w14:textId="3CC8A0EF" w:rsidR="00AD33A6" w:rsidRDefault="00AD33A6" w:rsidP="00AD33A6">
      <w:pPr>
        <w:jc w:val="both"/>
        <w:rPr>
          <w:b/>
          <w:bCs/>
          <w:lang w:val="pt-BR"/>
        </w:rPr>
      </w:pPr>
      <w:r w:rsidRPr="003617C7">
        <w:rPr>
          <w:b/>
          <w:bCs/>
          <w:sz w:val="28"/>
          <w:szCs w:val="28"/>
        </w:rPr>
        <w:t>A Química Medicinal e o desenvolvimento de novos fármacos</w:t>
      </w:r>
      <w:r w:rsidRPr="00AD33A6">
        <w:rPr>
          <w:b/>
          <w:bCs/>
          <w:lang w:val="pt-BR"/>
        </w:rPr>
        <w:t xml:space="preserve"> </w:t>
      </w:r>
      <w:r w:rsidRPr="00E879B4">
        <w:rPr>
          <w:b/>
          <w:bCs/>
          <w:lang w:val="pt-BR"/>
        </w:rPr>
        <w:t>....</w:t>
      </w:r>
      <w:r>
        <w:rPr>
          <w:b/>
          <w:bCs/>
          <w:lang w:val="pt-BR"/>
        </w:rPr>
        <w:t>...........</w:t>
      </w:r>
      <w:r w:rsidRPr="00E879B4">
        <w:rPr>
          <w:b/>
          <w:bCs/>
          <w:lang w:val="pt-BR"/>
        </w:rPr>
        <w:t>..</w:t>
      </w:r>
      <w:r w:rsidR="00DB0F2B">
        <w:rPr>
          <w:b/>
          <w:bCs/>
          <w:lang w:val="pt-BR"/>
        </w:rPr>
        <w:t>20</w:t>
      </w:r>
    </w:p>
    <w:p w14:paraId="0A667052" w14:textId="4E1E9ED1" w:rsidR="00AD33A6" w:rsidRPr="004974DB" w:rsidRDefault="00AD33A6" w:rsidP="004974DB">
      <w:pPr>
        <w:jc w:val="both"/>
        <w:rPr>
          <w:b/>
          <w:bCs/>
          <w:lang w:val="pt-BR"/>
        </w:rPr>
      </w:pPr>
      <w:r w:rsidRPr="00940B82">
        <w:rPr>
          <w:b/>
          <w:bCs/>
        </w:rPr>
        <w:t>Introdução</w:t>
      </w:r>
      <w:r w:rsidRPr="004974DB">
        <w:rPr>
          <w:b/>
          <w:bCs/>
          <w:lang w:val="pt-BR"/>
        </w:rPr>
        <w:t xml:space="preserve"> </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sidR="00DB0F2B">
        <w:rPr>
          <w:b/>
          <w:bCs/>
          <w:lang w:val="pt-BR"/>
        </w:rPr>
        <w:t>20</w:t>
      </w:r>
    </w:p>
    <w:p w14:paraId="415736CC" w14:textId="2C34F9BF" w:rsidR="004974DB" w:rsidRDefault="004974DB" w:rsidP="004974DB">
      <w:pPr>
        <w:jc w:val="both"/>
        <w:rPr>
          <w:b/>
          <w:bCs/>
          <w:lang w:val="pt-BR"/>
        </w:rPr>
      </w:pPr>
      <w:r w:rsidRPr="00940B82">
        <w:rPr>
          <w:b/>
          <w:bCs/>
        </w:rPr>
        <w:t xml:space="preserve">O que é Química </w:t>
      </w:r>
      <w:r w:rsidRPr="004974DB">
        <w:rPr>
          <w:b/>
          <w:bCs/>
          <w:lang w:val="pt-BR"/>
        </w:rPr>
        <w:t>M</w:t>
      </w:r>
      <w:r w:rsidRPr="00940B82">
        <w:rPr>
          <w:b/>
          <w:bCs/>
        </w:rPr>
        <w:t>edicinal e a sua importância no desenvolvimento de fármacos</w:t>
      </w:r>
      <w:r w:rsidRPr="004974DB">
        <w:rPr>
          <w:b/>
          <w:bCs/>
          <w:lang w:val="pt-BR"/>
        </w:rPr>
        <w:t xml:space="preserve"> </w:t>
      </w:r>
      <w:r>
        <w:rPr>
          <w:b/>
          <w:bCs/>
          <w:lang w:val="pt-BR"/>
        </w:rPr>
        <w:t>.21</w:t>
      </w:r>
    </w:p>
    <w:p w14:paraId="7A6AE7DF" w14:textId="7A5566C1" w:rsidR="004974DB" w:rsidRPr="004974DB" w:rsidRDefault="004974DB" w:rsidP="004974DB">
      <w:pPr>
        <w:jc w:val="both"/>
        <w:rPr>
          <w:b/>
          <w:bCs/>
          <w:lang w:val="pt-BR"/>
        </w:rPr>
      </w:pPr>
      <w:r>
        <w:rPr>
          <w:b/>
          <w:bCs/>
          <w:lang w:val="pt-BR"/>
        </w:rPr>
        <w:t xml:space="preserve">Referências </w:t>
      </w:r>
      <w:r w:rsidRPr="00E879B4">
        <w:rPr>
          <w:b/>
          <w:bCs/>
          <w:lang w:val="pt-BR"/>
        </w:rPr>
        <w:t>...</w:t>
      </w:r>
      <w:r>
        <w:rPr>
          <w:b/>
          <w:bCs/>
          <w:lang w:val="pt-BR"/>
        </w:rPr>
        <w:t>...................................................................................................</w:t>
      </w:r>
      <w:r w:rsidRPr="00E879B4">
        <w:rPr>
          <w:b/>
          <w:bCs/>
          <w:lang w:val="pt-BR"/>
        </w:rPr>
        <w:t>...</w:t>
      </w:r>
      <w:r>
        <w:rPr>
          <w:b/>
          <w:bCs/>
          <w:lang w:val="pt-BR"/>
        </w:rPr>
        <w:t>...</w:t>
      </w:r>
      <w:r w:rsidRPr="00E879B4">
        <w:rPr>
          <w:b/>
          <w:bCs/>
          <w:lang w:val="pt-BR"/>
        </w:rPr>
        <w:t>........</w:t>
      </w:r>
      <w:r>
        <w:rPr>
          <w:b/>
          <w:bCs/>
          <w:lang w:val="pt-BR"/>
        </w:rPr>
        <w:t>25</w:t>
      </w:r>
    </w:p>
    <w:p w14:paraId="075DD7C0" w14:textId="724E541D" w:rsidR="004974DB" w:rsidRDefault="004974DB" w:rsidP="004974DB">
      <w:pPr>
        <w:jc w:val="both"/>
        <w:rPr>
          <w:b/>
          <w:bCs/>
          <w:lang w:val="pt-BR"/>
        </w:rPr>
      </w:pPr>
    </w:p>
    <w:p w14:paraId="2719CFA1" w14:textId="77777777" w:rsidR="004974DB" w:rsidRDefault="004974DB" w:rsidP="004974DB">
      <w:pPr>
        <w:rPr>
          <w:rFonts w:cstheme="minorHAnsi"/>
          <w:b/>
          <w:bCs/>
          <w:sz w:val="32"/>
        </w:rPr>
      </w:pPr>
      <w:r>
        <w:rPr>
          <w:rFonts w:cstheme="minorHAnsi"/>
          <w:b/>
          <w:bCs/>
          <w:sz w:val="32"/>
        </w:rPr>
        <w:t>Capítulo 3</w:t>
      </w:r>
    </w:p>
    <w:p w14:paraId="243F2310" w14:textId="5ABCAE65" w:rsidR="004974DB" w:rsidRDefault="004974DB" w:rsidP="004974DB">
      <w:pPr>
        <w:pStyle w:val="Normal1"/>
        <w:spacing w:line="240" w:lineRule="auto"/>
        <w:jc w:val="both"/>
        <w:rPr>
          <w:rFonts w:ascii="Times New Roman" w:hAnsi="Times New Roman" w:cs="Times New Roman"/>
          <w:b/>
          <w:bCs/>
          <w:sz w:val="24"/>
          <w:szCs w:val="24"/>
        </w:rPr>
      </w:pPr>
      <w:r w:rsidRPr="003617C7">
        <w:rPr>
          <w:rFonts w:ascii="Times New Roman" w:eastAsia="Times New Roman" w:hAnsi="Times New Roman" w:cs="Times New Roman"/>
          <w:b/>
          <w:sz w:val="28"/>
          <w:szCs w:val="28"/>
        </w:rPr>
        <w:t>Biotecnologia e Descoberta de Novos Fármaco</w:t>
      </w:r>
      <w:r w:rsidRPr="003617C7">
        <w:rPr>
          <w:rFonts w:ascii="Times New Roman" w:eastAsia="Times New Roman" w:hAnsi="Times New Roman" w:cs="Times New Roman"/>
          <w:b/>
          <w:i/>
          <w:iCs/>
          <w:sz w:val="28"/>
          <w:szCs w:val="28"/>
        </w:rPr>
        <w:t>s</w:t>
      </w:r>
      <w:r>
        <w:rPr>
          <w:rFonts w:ascii="Times New Roman" w:eastAsia="Times New Roman" w:hAnsi="Times New Roman" w:cs="Times New Roman"/>
          <w:b/>
          <w:i/>
          <w:iCs/>
          <w:sz w:val="24"/>
          <w:szCs w:val="24"/>
        </w:rPr>
        <w:t xml:space="preserve"> </w:t>
      </w:r>
      <w:r w:rsidRPr="004974DB">
        <w:rPr>
          <w:rFonts w:ascii="Times New Roman" w:hAnsi="Times New Roman" w:cs="Times New Roman"/>
          <w:b/>
          <w:bCs/>
          <w:sz w:val="24"/>
          <w:szCs w:val="24"/>
        </w:rPr>
        <w:t>............................................2</w:t>
      </w:r>
      <w:r>
        <w:rPr>
          <w:rFonts w:ascii="Times New Roman" w:hAnsi="Times New Roman" w:cs="Times New Roman"/>
          <w:b/>
          <w:bCs/>
          <w:sz w:val="24"/>
          <w:szCs w:val="24"/>
        </w:rPr>
        <w:t>8</w:t>
      </w:r>
    </w:p>
    <w:p w14:paraId="2961A008" w14:textId="6035B8DC" w:rsidR="004974DB" w:rsidRDefault="004974DB" w:rsidP="004974DB">
      <w:pPr>
        <w:pStyle w:val="Normal1"/>
        <w:spacing w:line="240" w:lineRule="auto"/>
        <w:jc w:val="both"/>
        <w:rPr>
          <w:rFonts w:ascii="Times New Roman" w:eastAsia="Times New Roman" w:hAnsi="Times New Roman" w:cs="Times New Roman"/>
          <w:b/>
          <w:i/>
          <w:iCs/>
          <w:sz w:val="24"/>
          <w:szCs w:val="24"/>
        </w:rPr>
      </w:pPr>
      <w:r>
        <w:rPr>
          <w:rFonts w:ascii="Times New Roman" w:hAnsi="Times New Roman" w:cs="Times New Roman"/>
          <w:b/>
          <w:bCs/>
          <w:sz w:val="24"/>
          <w:szCs w:val="24"/>
        </w:rPr>
        <w:t xml:space="preserve">Introdução </w:t>
      </w:r>
      <w:r w:rsidRPr="004974DB">
        <w:rPr>
          <w:rFonts w:ascii="Times New Roman" w:hAnsi="Times New Roman" w:cs="Times New Roman"/>
          <w:b/>
          <w:bCs/>
        </w:rPr>
        <w:t>......................................................................</w:t>
      </w:r>
      <w:r>
        <w:rPr>
          <w:rFonts w:ascii="Times New Roman" w:hAnsi="Times New Roman" w:cs="Times New Roman"/>
          <w:b/>
          <w:bCs/>
        </w:rPr>
        <w:t>.............</w:t>
      </w:r>
      <w:r w:rsidRPr="004974DB">
        <w:rPr>
          <w:rFonts w:ascii="Times New Roman" w:hAnsi="Times New Roman" w:cs="Times New Roman"/>
          <w:b/>
          <w:bCs/>
        </w:rPr>
        <w:t>.............................................28</w:t>
      </w:r>
    </w:p>
    <w:p w14:paraId="44B67F90" w14:textId="0801BA40" w:rsidR="004974DB" w:rsidRDefault="004974DB" w:rsidP="004974DB">
      <w:pPr>
        <w:pStyle w:val="Normal1"/>
        <w:spacing w:line="240" w:lineRule="auto"/>
        <w:jc w:val="both"/>
        <w:rPr>
          <w:rFonts w:ascii="Times New Roman" w:hAnsi="Times New Roman" w:cs="Times New Roman"/>
          <w:b/>
          <w:bCs/>
        </w:rPr>
      </w:pPr>
      <w:r w:rsidRPr="00364EE1">
        <w:rPr>
          <w:rFonts w:ascii="Times New Roman" w:hAnsi="Times New Roman" w:cs="Times New Roman"/>
          <w:b/>
          <w:bCs/>
          <w:sz w:val="24"/>
          <w:szCs w:val="24"/>
          <w:shd w:val="clear" w:color="auto" w:fill="FFFFFF"/>
        </w:rPr>
        <w:t>Principais inovações da Biotecnologia na produção de novos fármacos</w:t>
      </w:r>
      <w:r>
        <w:rPr>
          <w:rFonts w:ascii="Times New Roman" w:hAnsi="Times New Roman" w:cs="Times New Roman"/>
          <w:b/>
          <w:bCs/>
          <w:sz w:val="24"/>
          <w:szCs w:val="24"/>
          <w:shd w:val="clear" w:color="auto" w:fill="FFFFFF"/>
        </w:rPr>
        <w:t xml:space="preserve"> </w:t>
      </w:r>
      <w:r w:rsidRPr="004974DB">
        <w:rPr>
          <w:rFonts w:ascii="Times New Roman" w:hAnsi="Times New Roman" w:cs="Times New Roman"/>
          <w:b/>
          <w:bCs/>
        </w:rPr>
        <w:t>.............</w:t>
      </w:r>
      <w:r>
        <w:rPr>
          <w:rFonts w:ascii="Times New Roman" w:hAnsi="Times New Roman" w:cs="Times New Roman"/>
          <w:b/>
          <w:bCs/>
        </w:rPr>
        <w:t>..</w:t>
      </w:r>
      <w:r w:rsidRPr="004974DB">
        <w:rPr>
          <w:rFonts w:ascii="Times New Roman" w:hAnsi="Times New Roman" w:cs="Times New Roman"/>
          <w:b/>
          <w:bCs/>
        </w:rPr>
        <w:t>.......</w:t>
      </w:r>
      <w:r>
        <w:rPr>
          <w:rFonts w:ascii="Times New Roman" w:hAnsi="Times New Roman" w:cs="Times New Roman"/>
          <w:b/>
          <w:bCs/>
        </w:rPr>
        <w:t>30</w:t>
      </w:r>
    </w:p>
    <w:p w14:paraId="4552D30F" w14:textId="1FD6F51C" w:rsidR="004974DB" w:rsidRDefault="004974DB" w:rsidP="004974DB">
      <w:pPr>
        <w:pStyle w:val="Normal1"/>
        <w:spacing w:line="360" w:lineRule="auto"/>
        <w:jc w:val="both"/>
        <w:rPr>
          <w:rFonts w:ascii="Times New Roman" w:hAnsi="Times New Roman" w:cs="Times New Roman"/>
          <w:b/>
          <w:bCs/>
        </w:rPr>
      </w:pPr>
      <w:r>
        <w:rPr>
          <w:rFonts w:ascii="Times New Roman" w:hAnsi="Times New Roman" w:cs="Times New Roman"/>
          <w:b/>
          <w:bCs/>
          <w:sz w:val="24"/>
          <w:szCs w:val="24"/>
          <w:shd w:val="clear" w:color="auto" w:fill="FFFFFF"/>
        </w:rPr>
        <w:t xml:space="preserve">Referências </w:t>
      </w:r>
      <w:r w:rsidRPr="004974DB">
        <w:rPr>
          <w:rFonts w:ascii="Times New Roman" w:hAnsi="Times New Roman" w:cs="Times New Roman"/>
          <w:b/>
          <w:bCs/>
        </w:rPr>
        <w:t>......................................................................</w:t>
      </w:r>
      <w:r>
        <w:rPr>
          <w:rFonts w:ascii="Times New Roman" w:hAnsi="Times New Roman" w:cs="Times New Roman"/>
          <w:b/>
          <w:bCs/>
        </w:rPr>
        <w:t>............</w:t>
      </w:r>
      <w:r w:rsidRPr="004974DB">
        <w:rPr>
          <w:rFonts w:ascii="Times New Roman" w:hAnsi="Times New Roman" w:cs="Times New Roman"/>
          <w:b/>
          <w:bCs/>
        </w:rPr>
        <w:t>.............................................</w:t>
      </w:r>
      <w:r>
        <w:rPr>
          <w:rFonts w:ascii="Times New Roman" w:hAnsi="Times New Roman" w:cs="Times New Roman"/>
          <w:b/>
          <w:bCs/>
        </w:rPr>
        <w:t>36</w:t>
      </w:r>
    </w:p>
    <w:p w14:paraId="14860093" w14:textId="73D0D33A" w:rsidR="004974DB" w:rsidRDefault="004974DB" w:rsidP="004974DB">
      <w:pPr>
        <w:pStyle w:val="Normal1"/>
        <w:spacing w:line="360" w:lineRule="auto"/>
        <w:jc w:val="both"/>
        <w:rPr>
          <w:rFonts w:ascii="Times New Roman" w:hAnsi="Times New Roman" w:cs="Times New Roman"/>
          <w:b/>
          <w:bCs/>
        </w:rPr>
      </w:pPr>
    </w:p>
    <w:p w14:paraId="6A61DC6D" w14:textId="77777777" w:rsidR="004974DB" w:rsidRPr="004974DB" w:rsidRDefault="004974DB" w:rsidP="004974DB">
      <w:r w:rsidRPr="004974DB">
        <w:rPr>
          <w:b/>
          <w:bCs/>
          <w:sz w:val="32"/>
        </w:rPr>
        <w:t>Capítulo 4</w:t>
      </w:r>
    </w:p>
    <w:p w14:paraId="19899924" w14:textId="7B6EE3C5" w:rsidR="004974DB" w:rsidRPr="004974DB" w:rsidRDefault="004974DB" w:rsidP="004974DB">
      <w:pPr>
        <w:pStyle w:val="Normal1"/>
        <w:spacing w:line="240" w:lineRule="auto"/>
        <w:jc w:val="both"/>
        <w:rPr>
          <w:rFonts w:ascii="Times New Roman" w:hAnsi="Times New Roman" w:cs="Times New Roman"/>
          <w:b/>
          <w:bCs/>
          <w:sz w:val="24"/>
          <w:szCs w:val="24"/>
        </w:rPr>
      </w:pPr>
      <w:r w:rsidRPr="003617C7">
        <w:rPr>
          <w:rFonts w:ascii="Times New Roman" w:hAnsi="Times New Roman" w:cs="Times New Roman"/>
          <w:b/>
          <w:sz w:val="28"/>
          <w:szCs w:val="28"/>
        </w:rPr>
        <w:t>Ensaios Pré-Clínicos</w:t>
      </w:r>
      <w:r w:rsidRPr="004974DB">
        <w:rPr>
          <w:rFonts w:ascii="Times New Roman" w:hAnsi="Times New Roman" w:cs="Times New Roman"/>
          <w:b/>
        </w:rPr>
        <w:t xml:space="preserve"> </w:t>
      </w:r>
      <w:r w:rsidRPr="004974DB">
        <w:rPr>
          <w:rFonts w:ascii="Times New Roman" w:hAnsi="Times New Roman" w:cs="Times New Roman"/>
          <w:b/>
          <w:bCs/>
          <w:sz w:val="24"/>
          <w:szCs w:val="24"/>
        </w:rPr>
        <w:t>.....................................................</w:t>
      </w:r>
      <w:r>
        <w:rPr>
          <w:rFonts w:ascii="Times New Roman" w:hAnsi="Times New Roman" w:cs="Times New Roman"/>
          <w:b/>
          <w:bCs/>
          <w:sz w:val="24"/>
          <w:szCs w:val="24"/>
        </w:rPr>
        <w:t>.</w:t>
      </w:r>
      <w:r w:rsidRPr="004974DB">
        <w:rPr>
          <w:rFonts w:ascii="Times New Roman" w:hAnsi="Times New Roman" w:cs="Times New Roman"/>
          <w:b/>
          <w:bCs/>
          <w:sz w:val="24"/>
          <w:szCs w:val="24"/>
        </w:rPr>
        <w:t>..........................................</w:t>
      </w:r>
      <w:r>
        <w:rPr>
          <w:rFonts w:ascii="Times New Roman" w:hAnsi="Times New Roman" w:cs="Times New Roman"/>
          <w:b/>
          <w:bCs/>
          <w:sz w:val="24"/>
          <w:szCs w:val="24"/>
        </w:rPr>
        <w:t>42</w:t>
      </w:r>
    </w:p>
    <w:p w14:paraId="47523A9B" w14:textId="1A9B7F3B" w:rsidR="004974DB" w:rsidRPr="004974DB" w:rsidRDefault="004974DB" w:rsidP="004974DB">
      <w:pPr>
        <w:rPr>
          <w:b/>
          <w:bCs/>
          <w:lang w:val="pt-BR"/>
        </w:rPr>
      </w:pPr>
      <w:r w:rsidRPr="004974DB">
        <w:rPr>
          <w:b/>
          <w:lang w:val="pt-BR"/>
        </w:rPr>
        <w:t xml:space="preserve">Introdução </w:t>
      </w:r>
      <w:r w:rsidRPr="004974DB">
        <w:rPr>
          <w:b/>
          <w:bCs/>
          <w:lang w:val="pt-BR"/>
        </w:rPr>
        <w:t>.......................................................</w:t>
      </w:r>
      <w:r w:rsidRPr="004974DB">
        <w:rPr>
          <w:b/>
          <w:bCs/>
        </w:rPr>
        <w:t>............</w:t>
      </w:r>
      <w:r w:rsidRPr="004974DB">
        <w:rPr>
          <w:b/>
          <w:bCs/>
          <w:lang w:val="pt-BR"/>
        </w:rPr>
        <w:t>..................................................42</w:t>
      </w:r>
    </w:p>
    <w:p w14:paraId="41494678" w14:textId="7783431B" w:rsidR="004974DB" w:rsidRPr="000D390F" w:rsidRDefault="004974DB" w:rsidP="004974DB">
      <w:pPr>
        <w:jc w:val="both"/>
        <w:rPr>
          <w:b/>
        </w:rPr>
      </w:pPr>
      <w:r w:rsidRPr="000D390F">
        <w:rPr>
          <w:b/>
        </w:rPr>
        <w:t xml:space="preserve">Estudos </w:t>
      </w:r>
      <w:r>
        <w:rPr>
          <w:b/>
        </w:rPr>
        <w:t>P</w:t>
      </w:r>
      <w:r w:rsidRPr="000D390F">
        <w:rPr>
          <w:b/>
        </w:rPr>
        <w:t xml:space="preserve">ré-clinicos ou </w:t>
      </w:r>
      <w:r>
        <w:rPr>
          <w:b/>
        </w:rPr>
        <w:t>F</w:t>
      </w:r>
      <w:r w:rsidRPr="000D390F">
        <w:rPr>
          <w:b/>
        </w:rPr>
        <w:t xml:space="preserve">ase 0 </w:t>
      </w:r>
      <w:r w:rsidRPr="004974DB">
        <w:rPr>
          <w:b/>
          <w:bCs/>
          <w:lang w:val="pt-BR"/>
        </w:rPr>
        <w:t>.......................</w:t>
      </w:r>
      <w:r w:rsidRPr="004974DB">
        <w:rPr>
          <w:b/>
          <w:bCs/>
        </w:rPr>
        <w:t>............</w:t>
      </w:r>
      <w:r w:rsidRPr="004974DB">
        <w:rPr>
          <w:b/>
          <w:bCs/>
          <w:lang w:val="pt-BR"/>
        </w:rPr>
        <w:t>..................................................4</w:t>
      </w:r>
      <w:r>
        <w:rPr>
          <w:b/>
          <w:bCs/>
          <w:lang w:val="pt-BR"/>
        </w:rPr>
        <w:t>4</w:t>
      </w:r>
    </w:p>
    <w:p w14:paraId="6185ACBE" w14:textId="3A0C1E9A" w:rsidR="004974DB" w:rsidRDefault="004974DB" w:rsidP="004974DB">
      <w:pPr>
        <w:jc w:val="both"/>
        <w:rPr>
          <w:b/>
          <w:bCs/>
          <w:lang w:val="pt-BR"/>
        </w:rPr>
      </w:pPr>
      <w:r>
        <w:rPr>
          <w:b/>
        </w:rPr>
        <w:t>Tipos de testes farmacológicos</w:t>
      </w:r>
      <w:r>
        <w:rPr>
          <w:b/>
          <w:lang w:val="en-US"/>
        </w:rPr>
        <w:t xml:space="preserve"> </w:t>
      </w:r>
      <w:r w:rsidRPr="004974DB">
        <w:rPr>
          <w:b/>
          <w:bCs/>
          <w:lang w:val="pt-BR"/>
        </w:rPr>
        <w:t>.......................</w:t>
      </w:r>
      <w:r w:rsidRPr="004974DB">
        <w:rPr>
          <w:b/>
          <w:bCs/>
        </w:rPr>
        <w:t>............</w:t>
      </w:r>
      <w:r w:rsidRPr="004974DB">
        <w:rPr>
          <w:b/>
          <w:bCs/>
          <w:lang w:val="pt-BR"/>
        </w:rPr>
        <w:t>..................................................4</w:t>
      </w:r>
      <w:r>
        <w:rPr>
          <w:b/>
          <w:bCs/>
          <w:lang w:val="pt-BR"/>
        </w:rPr>
        <w:t>5</w:t>
      </w:r>
    </w:p>
    <w:p w14:paraId="358826C0" w14:textId="187EE582" w:rsidR="004974DB" w:rsidRDefault="004974DB" w:rsidP="004974DB">
      <w:pPr>
        <w:jc w:val="both"/>
        <w:rPr>
          <w:b/>
        </w:rPr>
      </w:pPr>
      <w:r>
        <w:rPr>
          <w:b/>
        </w:rPr>
        <w:t xml:space="preserve">Tipos de testes Toxicológicos </w:t>
      </w:r>
      <w:r w:rsidRPr="004974DB">
        <w:rPr>
          <w:b/>
          <w:bCs/>
          <w:lang w:val="pt-BR"/>
        </w:rPr>
        <w:t>.......................</w:t>
      </w:r>
      <w:r w:rsidRPr="004974DB">
        <w:rPr>
          <w:b/>
          <w:bCs/>
        </w:rPr>
        <w:t>.........</w:t>
      </w:r>
      <w:r w:rsidRPr="003617C7">
        <w:rPr>
          <w:b/>
          <w:bCs/>
          <w:lang w:val="pt-BR"/>
        </w:rPr>
        <w:t>...</w:t>
      </w:r>
      <w:r w:rsidRPr="004974DB">
        <w:rPr>
          <w:b/>
          <w:bCs/>
        </w:rPr>
        <w:t>...</w:t>
      </w:r>
      <w:r w:rsidRPr="004974DB">
        <w:rPr>
          <w:b/>
          <w:bCs/>
          <w:lang w:val="pt-BR"/>
        </w:rPr>
        <w:t>..................................................4</w:t>
      </w:r>
      <w:r>
        <w:rPr>
          <w:b/>
          <w:bCs/>
          <w:lang w:val="pt-BR"/>
        </w:rPr>
        <w:t>6</w:t>
      </w:r>
    </w:p>
    <w:p w14:paraId="7DFEDD99" w14:textId="77777777" w:rsidR="004974DB" w:rsidRPr="003617C7" w:rsidRDefault="004974DB" w:rsidP="004974DB">
      <w:pPr>
        <w:spacing w:line="360" w:lineRule="auto"/>
        <w:jc w:val="both"/>
        <w:rPr>
          <w:b/>
          <w:lang w:val="pt-BR"/>
        </w:rPr>
      </w:pPr>
    </w:p>
    <w:p w14:paraId="222A7A5C" w14:textId="77777777" w:rsidR="003617C7" w:rsidRDefault="003617C7" w:rsidP="003617C7">
      <w:pPr>
        <w:rPr>
          <w:rFonts w:cstheme="minorHAnsi"/>
          <w:b/>
          <w:bCs/>
          <w:sz w:val="32"/>
        </w:rPr>
      </w:pPr>
      <w:r>
        <w:rPr>
          <w:rFonts w:cstheme="minorHAnsi"/>
          <w:b/>
          <w:bCs/>
          <w:sz w:val="32"/>
        </w:rPr>
        <w:t>Capítulo 5</w:t>
      </w:r>
    </w:p>
    <w:p w14:paraId="52A4E719" w14:textId="4AE1538C" w:rsidR="003617C7" w:rsidRPr="007D0992" w:rsidRDefault="003617C7" w:rsidP="003A4942">
      <w:pPr>
        <w:rPr>
          <w:b/>
          <w:bCs/>
          <w:color w:val="000000"/>
          <w:sz w:val="28"/>
          <w:szCs w:val="28"/>
          <w:lang w:val="pt-BR"/>
        </w:rPr>
      </w:pPr>
      <w:r>
        <w:rPr>
          <w:b/>
          <w:bCs/>
          <w:color w:val="000000"/>
          <w:sz w:val="28"/>
          <w:szCs w:val="28"/>
        </w:rPr>
        <w:t>Ensaios Clínicos</w:t>
      </w:r>
      <w:r w:rsidRPr="007D0992">
        <w:rPr>
          <w:b/>
          <w:bCs/>
          <w:color w:val="000000"/>
          <w:sz w:val="28"/>
          <w:szCs w:val="28"/>
          <w:lang w:val="pt-BR"/>
        </w:rPr>
        <w:t xml:space="preserve"> </w:t>
      </w:r>
      <w:r w:rsidRPr="004974DB">
        <w:rPr>
          <w:b/>
          <w:bCs/>
          <w:lang w:val="pt-BR"/>
        </w:rPr>
        <w:t>.....................................................</w:t>
      </w:r>
      <w:r>
        <w:rPr>
          <w:b/>
          <w:bCs/>
        </w:rPr>
        <w:t>.</w:t>
      </w:r>
      <w:r w:rsidRPr="007D0992">
        <w:rPr>
          <w:b/>
          <w:bCs/>
          <w:lang w:val="pt-BR"/>
        </w:rPr>
        <w:t>........</w:t>
      </w:r>
      <w:r w:rsidRPr="004974DB">
        <w:rPr>
          <w:b/>
          <w:bCs/>
        </w:rPr>
        <w:t>...</w:t>
      </w:r>
      <w:r w:rsidRPr="004974DB">
        <w:rPr>
          <w:b/>
          <w:bCs/>
          <w:lang w:val="pt-BR"/>
        </w:rPr>
        <w:t>.......................................</w:t>
      </w:r>
      <w:r w:rsidR="007D0992" w:rsidRPr="007D0992">
        <w:rPr>
          <w:b/>
          <w:bCs/>
          <w:lang w:val="pt-BR"/>
        </w:rPr>
        <w:t>5</w:t>
      </w:r>
      <w:r>
        <w:rPr>
          <w:b/>
          <w:bCs/>
        </w:rPr>
        <w:t>2</w:t>
      </w:r>
    </w:p>
    <w:p w14:paraId="4FB35D45" w14:textId="1CC01B8D" w:rsidR="007D0992" w:rsidRPr="007D0992" w:rsidRDefault="007D0992" w:rsidP="003A4942">
      <w:pPr>
        <w:rPr>
          <w:b/>
          <w:bCs/>
          <w:color w:val="000000"/>
          <w:lang w:val="pt-BR"/>
        </w:rPr>
      </w:pPr>
      <w:r w:rsidRPr="007D0992">
        <w:rPr>
          <w:b/>
          <w:bCs/>
          <w:color w:val="000000"/>
        </w:rPr>
        <w:t>Uma breve história</w:t>
      </w:r>
      <w:r w:rsidRPr="007D0992">
        <w:rPr>
          <w:b/>
          <w:bCs/>
          <w:color w:val="000000"/>
          <w:lang w:val="pt-BR"/>
        </w:rPr>
        <w:t xml:space="preserve"> </w:t>
      </w:r>
      <w:r w:rsidRPr="004974DB">
        <w:rPr>
          <w:b/>
          <w:bCs/>
          <w:lang w:val="pt-BR"/>
        </w:rPr>
        <w:t>.....................................................</w:t>
      </w:r>
      <w:r>
        <w:rPr>
          <w:b/>
          <w:bCs/>
        </w:rPr>
        <w:t>.</w:t>
      </w:r>
      <w:r w:rsidRPr="007D0992">
        <w:rPr>
          <w:b/>
          <w:bCs/>
          <w:lang w:val="pt-BR"/>
        </w:rPr>
        <w:t>.......</w:t>
      </w:r>
      <w:r w:rsidRPr="004974DB">
        <w:rPr>
          <w:b/>
          <w:bCs/>
        </w:rPr>
        <w:t>...</w:t>
      </w:r>
      <w:r w:rsidRPr="004974DB">
        <w:rPr>
          <w:b/>
          <w:bCs/>
          <w:lang w:val="pt-BR"/>
        </w:rPr>
        <w:t>.......................................</w:t>
      </w:r>
      <w:r w:rsidRPr="007D0992">
        <w:rPr>
          <w:b/>
          <w:bCs/>
          <w:lang w:val="pt-BR"/>
        </w:rPr>
        <w:t>5</w:t>
      </w:r>
      <w:r>
        <w:rPr>
          <w:b/>
          <w:bCs/>
        </w:rPr>
        <w:t>2</w:t>
      </w:r>
    </w:p>
    <w:p w14:paraId="6FA2863C" w14:textId="761AFB9B" w:rsidR="007D0992" w:rsidRDefault="007D0992" w:rsidP="003A4942">
      <w:pPr>
        <w:jc w:val="both"/>
        <w:rPr>
          <w:b/>
          <w:bCs/>
          <w:lang w:val="en-US"/>
        </w:rPr>
      </w:pPr>
      <w:r w:rsidRPr="007D0992">
        <w:rPr>
          <w:b/>
          <w:bCs/>
          <w:color w:val="172938"/>
        </w:rPr>
        <w:t xml:space="preserve">Boas Práticas Clínicas </w:t>
      </w:r>
      <w:r w:rsidRPr="004974DB">
        <w:rPr>
          <w:b/>
          <w:bCs/>
          <w:lang w:val="pt-BR"/>
        </w:rPr>
        <w:t>.....................................................</w:t>
      </w:r>
      <w:r w:rsidRPr="007D0992">
        <w:rPr>
          <w:b/>
          <w:bCs/>
          <w:lang w:val="pt-BR"/>
        </w:rPr>
        <w:t>....</w:t>
      </w:r>
      <w:r w:rsidRPr="004974DB">
        <w:rPr>
          <w:b/>
          <w:bCs/>
        </w:rPr>
        <w:t>...</w:t>
      </w:r>
      <w:r w:rsidRPr="004974DB">
        <w:rPr>
          <w:b/>
          <w:bCs/>
          <w:lang w:val="pt-BR"/>
        </w:rPr>
        <w:t>.......................................</w:t>
      </w:r>
      <w:r w:rsidRPr="007D0992">
        <w:rPr>
          <w:b/>
          <w:bCs/>
          <w:lang w:val="pt-BR"/>
        </w:rPr>
        <w:t>5</w:t>
      </w:r>
      <w:r>
        <w:rPr>
          <w:b/>
          <w:bCs/>
          <w:lang w:val="en-US"/>
        </w:rPr>
        <w:t>5</w:t>
      </w:r>
    </w:p>
    <w:p w14:paraId="0866138B" w14:textId="0BFDAA0B" w:rsidR="007D0992" w:rsidRPr="007D0992" w:rsidRDefault="007D0992" w:rsidP="003A4942">
      <w:pPr>
        <w:jc w:val="both"/>
        <w:rPr>
          <w:lang w:val="pt-BR"/>
        </w:rPr>
      </w:pPr>
      <w:r w:rsidRPr="007D0992">
        <w:rPr>
          <w:b/>
          <w:bCs/>
          <w:color w:val="000000"/>
        </w:rPr>
        <w:t>Considerações gerais</w:t>
      </w:r>
      <w:r w:rsidRPr="007D0992">
        <w:rPr>
          <w:b/>
          <w:bCs/>
          <w:color w:val="000000"/>
          <w:lang w:val="pt-BR"/>
        </w:rPr>
        <w:t xml:space="preserve"> </w:t>
      </w:r>
      <w:r w:rsidRPr="004974DB">
        <w:rPr>
          <w:b/>
          <w:bCs/>
          <w:lang w:val="pt-BR"/>
        </w:rPr>
        <w:t>..........</w:t>
      </w:r>
      <w:r>
        <w:rPr>
          <w:b/>
          <w:bCs/>
          <w:lang w:val="pt-BR"/>
        </w:rPr>
        <w:t>..</w:t>
      </w:r>
      <w:r w:rsidRPr="004974DB">
        <w:rPr>
          <w:b/>
          <w:bCs/>
          <w:lang w:val="pt-BR"/>
        </w:rPr>
        <w:t>...........................................</w:t>
      </w:r>
      <w:r w:rsidRPr="007D0992">
        <w:rPr>
          <w:b/>
          <w:bCs/>
          <w:lang w:val="pt-BR"/>
        </w:rPr>
        <w:t>....</w:t>
      </w:r>
      <w:r w:rsidRPr="004974DB">
        <w:rPr>
          <w:b/>
          <w:bCs/>
        </w:rPr>
        <w:t>...</w:t>
      </w:r>
      <w:r w:rsidRPr="004974DB">
        <w:rPr>
          <w:b/>
          <w:bCs/>
          <w:lang w:val="pt-BR"/>
        </w:rPr>
        <w:t>.......................................</w:t>
      </w:r>
      <w:r w:rsidRPr="007D0992">
        <w:rPr>
          <w:b/>
          <w:bCs/>
          <w:lang w:val="pt-BR"/>
        </w:rPr>
        <w:t>58</w:t>
      </w:r>
    </w:p>
    <w:p w14:paraId="18570688" w14:textId="5123EC82" w:rsidR="007D0992" w:rsidRPr="007D0992" w:rsidRDefault="007D0992" w:rsidP="003A4942">
      <w:pPr>
        <w:jc w:val="both"/>
        <w:rPr>
          <w:lang w:val="pt-BR"/>
        </w:rPr>
      </w:pPr>
      <w:r w:rsidRPr="007D0992">
        <w:rPr>
          <w:b/>
          <w:bCs/>
          <w:color w:val="000000"/>
        </w:rPr>
        <w:t>Fases Clínicas</w:t>
      </w:r>
      <w:r w:rsidRPr="007D0992">
        <w:rPr>
          <w:b/>
          <w:bCs/>
          <w:color w:val="000000"/>
          <w:lang w:val="pt-BR"/>
        </w:rPr>
        <w:t xml:space="preserve"> </w:t>
      </w:r>
      <w:r w:rsidRPr="004974DB">
        <w:rPr>
          <w:b/>
          <w:bCs/>
          <w:lang w:val="pt-BR"/>
        </w:rPr>
        <w:t>..........</w:t>
      </w:r>
      <w:r>
        <w:rPr>
          <w:b/>
          <w:bCs/>
          <w:lang w:val="pt-BR"/>
        </w:rPr>
        <w:t>..</w:t>
      </w:r>
      <w:r w:rsidRPr="004974DB">
        <w:rPr>
          <w:b/>
          <w:bCs/>
          <w:lang w:val="pt-BR"/>
        </w:rPr>
        <w:t>..</w:t>
      </w:r>
      <w:r>
        <w:rPr>
          <w:b/>
          <w:bCs/>
          <w:lang w:val="pt-BR"/>
        </w:rPr>
        <w:t>............</w:t>
      </w:r>
      <w:r w:rsidRPr="004974DB">
        <w:rPr>
          <w:b/>
          <w:bCs/>
          <w:lang w:val="pt-BR"/>
        </w:rPr>
        <w:t>.........................................</w:t>
      </w:r>
      <w:r w:rsidRPr="007D0992">
        <w:rPr>
          <w:b/>
          <w:bCs/>
          <w:lang w:val="pt-BR"/>
        </w:rPr>
        <w:t>....</w:t>
      </w:r>
      <w:r w:rsidRPr="004974DB">
        <w:rPr>
          <w:b/>
          <w:bCs/>
        </w:rPr>
        <w:t>...</w:t>
      </w:r>
      <w:r w:rsidRPr="004974DB">
        <w:rPr>
          <w:b/>
          <w:bCs/>
          <w:lang w:val="pt-BR"/>
        </w:rPr>
        <w:t>.......................................</w:t>
      </w:r>
      <w:r w:rsidRPr="007D0992">
        <w:rPr>
          <w:b/>
          <w:bCs/>
          <w:lang w:val="pt-BR"/>
        </w:rPr>
        <w:t>59</w:t>
      </w:r>
    </w:p>
    <w:p w14:paraId="3EB5F054" w14:textId="4686AF20" w:rsidR="007D0992" w:rsidRPr="00671118" w:rsidRDefault="007D0992" w:rsidP="003A4942">
      <w:pPr>
        <w:spacing w:after="160"/>
        <w:jc w:val="both"/>
        <w:rPr>
          <w:b/>
          <w:bCs/>
          <w:color w:val="172938"/>
        </w:rPr>
      </w:pPr>
      <w:r w:rsidRPr="00671118">
        <w:rPr>
          <w:b/>
          <w:bCs/>
          <w:color w:val="172938"/>
        </w:rPr>
        <w:t>Regulamentação –</w:t>
      </w:r>
      <w:r w:rsidRPr="007D0992">
        <w:rPr>
          <w:b/>
          <w:bCs/>
          <w:color w:val="172938"/>
          <w:lang w:val="pt-BR"/>
        </w:rPr>
        <w:t xml:space="preserve"> </w:t>
      </w:r>
      <w:r w:rsidRPr="00671118">
        <w:rPr>
          <w:b/>
          <w:bCs/>
          <w:color w:val="172938"/>
        </w:rPr>
        <w:t xml:space="preserve">RDC 09/2015 </w:t>
      </w:r>
      <w:r w:rsidRPr="004974DB">
        <w:rPr>
          <w:b/>
          <w:bCs/>
          <w:lang w:val="pt-BR"/>
        </w:rPr>
        <w:t>....................................</w:t>
      </w:r>
      <w:r w:rsidRPr="007D0992">
        <w:rPr>
          <w:b/>
          <w:bCs/>
          <w:lang w:val="pt-BR"/>
        </w:rPr>
        <w:t>....</w:t>
      </w:r>
      <w:r w:rsidRPr="004974DB">
        <w:rPr>
          <w:b/>
          <w:bCs/>
        </w:rPr>
        <w:t>...</w:t>
      </w:r>
      <w:r w:rsidRPr="004974DB">
        <w:rPr>
          <w:b/>
          <w:bCs/>
          <w:lang w:val="pt-BR"/>
        </w:rPr>
        <w:t>.......................................</w:t>
      </w:r>
      <w:r>
        <w:rPr>
          <w:b/>
          <w:bCs/>
          <w:lang w:val="pt-BR"/>
        </w:rPr>
        <w:t>61</w:t>
      </w:r>
    </w:p>
    <w:p w14:paraId="6E344BAC" w14:textId="002D5573" w:rsidR="004974DB" w:rsidRDefault="004974DB" w:rsidP="004974DB">
      <w:pPr>
        <w:spacing w:line="360" w:lineRule="auto"/>
        <w:rPr>
          <w:b/>
          <w:lang w:val="pt-BR"/>
        </w:rPr>
      </w:pPr>
    </w:p>
    <w:p w14:paraId="6633BF9E" w14:textId="6A4AFBFF" w:rsidR="003A4942" w:rsidRDefault="003A4942" w:rsidP="004974DB">
      <w:pPr>
        <w:spacing w:line="360" w:lineRule="auto"/>
        <w:rPr>
          <w:b/>
          <w:lang w:val="pt-BR"/>
        </w:rPr>
      </w:pPr>
    </w:p>
    <w:p w14:paraId="59B24791" w14:textId="77777777" w:rsidR="003A4942" w:rsidRPr="007D0992" w:rsidRDefault="003A4942" w:rsidP="004974DB">
      <w:pPr>
        <w:spacing w:line="360" w:lineRule="auto"/>
        <w:rPr>
          <w:b/>
          <w:lang w:val="pt-BR"/>
        </w:rPr>
      </w:pPr>
    </w:p>
    <w:p w14:paraId="6FEA4E6D" w14:textId="77777777" w:rsidR="003A4942" w:rsidRPr="009403FF" w:rsidRDefault="003A4942" w:rsidP="003A4942">
      <w:pPr>
        <w:rPr>
          <w:b/>
          <w:bCs/>
          <w:sz w:val="32"/>
        </w:rPr>
      </w:pPr>
      <w:r w:rsidRPr="009403FF">
        <w:rPr>
          <w:b/>
          <w:bCs/>
          <w:sz w:val="32"/>
        </w:rPr>
        <w:t>Capítulo 6</w:t>
      </w:r>
    </w:p>
    <w:p w14:paraId="0ACFA7C2" w14:textId="66973A7E" w:rsidR="003A4942" w:rsidRPr="003A4942" w:rsidRDefault="003A4942" w:rsidP="00F2053B">
      <w:pPr>
        <w:jc w:val="both"/>
        <w:rPr>
          <w:rFonts w:eastAsia="Calibri"/>
          <w:b/>
          <w:bCs/>
          <w:lang w:val="pt-BR"/>
        </w:rPr>
      </w:pPr>
      <w:r w:rsidRPr="003A4942">
        <w:rPr>
          <w:rFonts w:eastAsia="Calibri"/>
          <w:b/>
          <w:bCs/>
          <w:sz w:val="28"/>
          <w:szCs w:val="28"/>
        </w:rPr>
        <w:t>Princípios da Economia da Saúde e Estudos de Vida Real complementares aos Ensaios Clínicos</w:t>
      </w:r>
      <w:r w:rsidRPr="003A4942">
        <w:rPr>
          <w:rFonts w:eastAsia="Calibri"/>
          <w:b/>
          <w:bCs/>
          <w:lang w:val="pt-BR"/>
        </w:rPr>
        <w:t xml:space="preserve"> </w:t>
      </w:r>
      <w:r w:rsidRPr="004974DB">
        <w:rPr>
          <w:b/>
          <w:bCs/>
          <w:lang w:val="pt-BR"/>
        </w:rPr>
        <w:t>...............................</w:t>
      </w:r>
      <w:r>
        <w:rPr>
          <w:b/>
          <w:bCs/>
          <w:lang w:val="pt-BR"/>
        </w:rPr>
        <w:t>....................</w:t>
      </w:r>
      <w:r w:rsidRPr="004974DB">
        <w:rPr>
          <w:b/>
          <w:bCs/>
          <w:lang w:val="pt-BR"/>
        </w:rPr>
        <w:t>.....</w:t>
      </w:r>
      <w:r w:rsidRPr="007D0992">
        <w:rPr>
          <w:b/>
          <w:bCs/>
          <w:lang w:val="pt-BR"/>
        </w:rPr>
        <w:t>.</w:t>
      </w:r>
      <w:r>
        <w:rPr>
          <w:b/>
          <w:bCs/>
          <w:lang w:val="pt-BR"/>
        </w:rPr>
        <w:t>....</w:t>
      </w:r>
      <w:r w:rsidRPr="004974DB">
        <w:rPr>
          <w:b/>
          <w:bCs/>
          <w:lang w:val="pt-BR"/>
        </w:rPr>
        <w:t>..</w:t>
      </w:r>
      <w:r>
        <w:rPr>
          <w:b/>
          <w:bCs/>
          <w:lang w:val="pt-BR"/>
        </w:rPr>
        <w:t>65</w:t>
      </w:r>
    </w:p>
    <w:p w14:paraId="3E47E67A" w14:textId="364DC736" w:rsidR="003A4942" w:rsidRPr="003A4942" w:rsidRDefault="003A4942" w:rsidP="00F2053B">
      <w:pPr>
        <w:tabs>
          <w:tab w:val="center" w:pos="4252"/>
        </w:tabs>
        <w:contextualSpacing/>
        <w:jc w:val="both"/>
        <w:rPr>
          <w:rFonts w:eastAsia="Calibri"/>
          <w:b/>
          <w:bCs/>
          <w:lang w:val="pt-BR"/>
        </w:rPr>
      </w:pPr>
      <w:r w:rsidRPr="00FB6DC9">
        <w:rPr>
          <w:rFonts w:eastAsia="Calibri"/>
          <w:b/>
          <w:bCs/>
        </w:rPr>
        <w:t>Pesquisa clínica, Economia da saúde e Estudos de vida real: no processo de decisão em saúde</w:t>
      </w:r>
      <w:r w:rsidRPr="003A4942">
        <w:rPr>
          <w:rFonts w:eastAsia="Calibri"/>
          <w:b/>
          <w:bCs/>
          <w:lang w:val="pt-BR"/>
        </w:rPr>
        <w:t xml:space="preserve"> </w:t>
      </w:r>
      <w:r w:rsidRPr="004974DB">
        <w:rPr>
          <w:b/>
          <w:bCs/>
          <w:lang w:val="pt-BR"/>
        </w:rPr>
        <w:t>...............</w:t>
      </w:r>
      <w:r>
        <w:rPr>
          <w:b/>
          <w:bCs/>
          <w:lang w:val="pt-BR"/>
        </w:rPr>
        <w:t>..............................................................................</w:t>
      </w:r>
      <w:r w:rsidRPr="004974DB">
        <w:rPr>
          <w:b/>
          <w:bCs/>
          <w:lang w:val="pt-BR"/>
        </w:rPr>
        <w:t>.....................</w:t>
      </w:r>
      <w:r w:rsidRPr="007D0992">
        <w:rPr>
          <w:b/>
          <w:bCs/>
          <w:lang w:val="pt-BR"/>
        </w:rPr>
        <w:t>.</w:t>
      </w:r>
      <w:r>
        <w:rPr>
          <w:b/>
          <w:bCs/>
          <w:lang w:val="pt-BR"/>
        </w:rPr>
        <w:t>....</w:t>
      </w:r>
      <w:r w:rsidRPr="004974DB">
        <w:rPr>
          <w:b/>
          <w:bCs/>
          <w:lang w:val="pt-BR"/>
        </w:rPr>
        <w:t>..</w:t>
      </w:r>
      <w:r>
        <w:rPr>
          <w:b/>
          <w:bCs/>
          <w:lang w:val="pt-BR"/>
        </w:rPr>
        <w:t>65</w:t>
      </w:r>
    </w:p>
    <w:p w14:paraId="72E73BE9" w14:textId="3A678068" w:rsidR="003A4942" w:rsidRDefault="003A4942" w:rsidP="00F2053B">
      <w:pPr>
        <w:contextualSpacing/>
        <w:jc w:val="both"/>
        <w:rPr>
          <w:b/>
          <w:bCs/>
          <w:lang w:val="pt-BR"/>
        </w:rPr>
      </w:pPr>
      <w:r w:rsidRPr="00FB6DC9">
        <w:rPr>
          <w:rFonts w:eastAsia="Calibri"/>
          <w:b/>
          <w:bCs/>
        </w:rPr>
        <w:t>Estudos clínicos com desenho adaptativo e análise de custo-efetividade</w:t>
      </w:r>
      <w:r w:rsidRPr="003A4942">
        <w:rPr>
          <w:rFonts w:eastAsia="Calibri"/>
          <w:b/>
          <w:bCs/>
          <w:lang w:val="pt-BR"/>
        </w:rPr>
        <w:t xml:space="preserve"> </w:t>
      </w:r>
      <w:r w:rsidRPr="004974DB">
        <w:rPr>
          <w:b/>
          <w:bCs/>
          <w:lang w:val="pt-BR"/>
        </w:rPr>
        <w:t>...........</w:t>
      </w:r>
      <w:r w:rsidRPr="007D0992">
        <w:rPr>
          <w:b/>
          <w:bCs/>
          <w:lang w:val="pt-BR"/>
        </w:rPr>
        <w:t>.</w:t>
      </w:r>
      <w:r>
        <w:rPr>
          <w:b/>
          <w:bCs/>
          <w:lang w:val="pt-BR"/>
        </w:rPr>
        <w:t>....</w:t>
      </w:r>
      <w:r w:rsidRPr="004974DB">
        <w:rPr>
          <w:b/>
          <w:bCs/>
          <w:lang w:val="pt-BR"/>
        </w:rPr>
        <w:t>..</w:t>
      </w:r>
      <w:r>
        <w:rPr>
          <w:b/>
          <w:bCs/>
          <w:lang w:val="pt-BR"/>
        </w:rPr>
        <w:t>69</w:t>
      </w:r>
    </w:p>
    <w:p w14:paraId="2FB5FAF0" w14:textId="0877DC5B" w:rsidR="003A4942" w:rsidRDefault="003A4942" w:rsidP="00F2053B">
      <w:pPr>
        <w:spacing w:after="160"/>
        <w:contextualSpacing/>
        <w:jc w:val="both"/>
        <w:rPr>
          <w:b/>
          <w:bCs/>
          <w:lang w:val="pt-BR"/>
        </w:rPr>
      </w:pPr>
      <w:r w:rsidRPr="00FB6DC9">
        <w:rPr>
          <w:rFonts w:eastAsia="Calibri"/>
          <w:b/>
          <w:bCs/>
          <w:color w:val="000000"/>
        </w:rPr>
        <w:t>Tendências na geração de evidências ou os estudos de vida real</w:t>
      </w:r>
      <w:r w:rsidRPr="003A4942">
        <w:rPr>
          <w:rFonts w:eastAsia="Calibri"/>
          <w:b/>
          <w:bCs/>
          <w:color w:val="000000"/>
          <w:lang w:val="pt-BR"/>
        </w:rPr>
        <w:t xml:space="preserve"> </w:t>
      </w:r>
      <w:r>
        <w:rPr>
          <w:b/>
          <w:bCs/>
          <w:lang w:val="pt-BR"/>
        </w:rPr>
        <w:t>....</w:t>
      </w:r>
      <w:r w:rsidRPr="004974DB">
        <w:rPr>
          <w:b/>
          <w:bCs/>
          <w:lang w:val="pt-BR"/>
        </w:rPr>
        <w:t>.....................</w:t>
      </w:r>
      <w:r w:rsidRPr="007D0992">
        <w:rPr>
          <w:b/>
          <w:bCs/>
          <w:lang w:val="pt-BR"/>
        </w:rPr>
        <w:t>.</w:t>
      </w:r>
      <w:r>
        <w:rPr>
          <w:b/>
          <w:bCs/>
          <w:lang w:val="pt-BR"/>
        </w:rPr>
        <w:t>....</w:t>
      </w:r>
      <w:r w:rsidRPr="004974DB">
        <w:rPr>
          <w:b/>
          <w:bCs/>
          <w:lang w:val="pt-BR"/>
        </w:rPr>
        <w:t>..</w:t>
      </w:r>
      <w:r>
        <w:rPr>
          <w:b/>
          <w:bCs/>
          <w:lang w:val="pt-BR"/>
        </w:rPr>
        <w:t>70</w:t>
      </w:r>
    </w:p>
    <w:p w14:paraId="77DFE260" w14:textId="2B73FDD8" w:rsidR="003A4942" w:rsidRPr="00F2053B" w:rsidRDefault="003A4942" w:rsidP="00F2053B">
      <w:pPr>
        <w:spacing w:after="160"/>
        <w:jc w:val="both"/>
        <w:rPr>
          <w:rFonts w:eastAsia="Calibri"/>
          <w:b/>
          <w:bCs/>
          <w:noProof/>
          <w:lang w:val="pt-BR"/>
        </w:rPr>
      </w:pPr>
      <w:r w:rsidRPr="00F2053B">
        <w:rPr>
          <w:rFonts w:eastAsia="Calibri"/>
          <w:b/>
          <w:bCs/>
          <w:noProof/>
          <w:lang w:val="pt-BR"/>
        </w:rPr>
        <w:t xml:space="preserve">Referências </w:t>
      </w:r>
      <w:r w:rsidRPr="004974DB">
        <w:rPr>
          <w:b/>
          <w:bCs/>
          <w:lang w:val="pt-BR"/>
        </w:rPr>
        <w:t>...............</w:t>
      </w:r>
      <w:r>
        <w:rPr>
          <w:b/>
          <w:bCs/>
          <w:lang w:val="pt-BR"/>
        </w:rPr>
        <w:t>.........................................................................</w:t>
      </w:r>
      <w:r w:rsidRPr="004974DB">
        <w:rPr>
          <w:b/>
          <w:bCs/>
          <w:lang w:val="pt-BR"/>
        </w:rPr>
        <w:t>.....................</w:t>
      </w:r>
      <w:r w:rsidRPr="007D0992">
        <w:rPr>
          <w:b/>
          <w:bCs/>
          <w:lang w:val="pt-BR"/>
        </w:rPr>
        <w:t>.</w:t>
      </w:r>
      <w:r>
        <w:rPr>
          <w:b/>
          <w:bCs/>
          <w:lang w:val="pt-BR"/>
        </w:rPr>
        <w:t>....</w:t>
      </w:r>
      <w:r w:rsidRPr="004974DB">
        <w:rPr>
          <w:b/>
          <w:bCs/>
          <w:lang w:val="pt-BR"/>
        </w:rPr>
        <w:t>..</w:t>
      </w:r>
      <w:r>
        <w:rPr>
          <w:b/>
          <w:bCs/>
          <w:lang w:val="pt-BR"/>
        </w:rPr>
        <w:t>77</w:t>
      </w:r>
    </w:p>
    <w:p w14:paraId="794D435B" w14:textId="77777777" w:rsidR="003A4942" w:rsidRPr="003A4942" w:rsidRDefault="003A4942" w:rsidP="003A4942">
      <w:pPr>
        <w:spacing w:after="160" w:line="360" w:lineRule="auto"/>
        <w:contextualSpacing/>
        <w:jc w:val="both"/>
        <w:rPr>
          <w:rFonts w:eastAsia="Calibri"/>
          <w:b/>
          <w:bCs/>
          <w:lang w:val="pt-BR"/>
        </w:rPr>
      </w:pPr>
    </w:p>
    <w:p w14:paraId="5C4DA321" w14:textId="77777777" w:rsidR="00F2053B" w:rsidRDefault="00F2053B" w:rsidP="00F2053B">
      <w:pPr>
        <w:jc w:val="both"/>
        <w:rPr>
          <w:b/>
          <w:bCs/>
          <w:sz w:val="32"/>
        </w:rPr>
      </w:pPr>
      <w:r>
        <w:rPr>
          <w:b/>
          <w:bCs/>
          <w:sz w:val="32"/>
        </w:rPr>
        <w:t>Capítulo 7</w:t>
      </w:r>
    </w:p>
    <w:p w14:paraId="29781B1B" w14:textId="0680AE7E" w:rsidR="00F2053B" w:rsidRDefault="00F2053B" w:rsidP="00F2053B">
      <w:pPr>
        <w:jc w:val="both"/>
        <w:rPr>
          <w:b/>
          <w:bCs/>
          <w:lang w:val="pt-BR"/>
        </w:rPr>
      </w:pPr>
      <w:r w:rsidRPr="00B02C5E">
        <w:rPr>
          <w:b/>
          <w:bCs/>
          <w:sz w:val="28"/>
          <w:szCs w:val="28"/>
        </w:rPr>
        <w:t xml:space="preserve">Regulamentação sanitária para </w:t>
      </w:r>
      <w:r>
        <w:rPr>
          <w:b/>
          <w:bCs/>
          <w:sz w:val="28"/>
          <w:szCs w:val="28"/>
        </w:rPr>
        <w:t xml:space="preserve">o registro de </w:t>
      </w:r>
      <w:r w:rsidRPr="00B02C5E">
        <w:rPr>
          <w:b/>
          <w:bCs/>
          <w:sz w:val="28"/>
          <w:szCs w:val="28"/>
        </w:rPr>
        <w:t>Medicamentos Novos no Brasil</w:t>
      </w:r>
      <w:r>
        <w:rPr>
          <w:b/>
          <w:bCs/>
          <w:sz w:val="28"/>
          <w:szCs w:val="28"/>
          <w:lang w:val="pt-BR"/>
        </w:rPr>
        <w:t xml:space="preserve"> </w:t>
      </w:r>
      <w:r w:rsidRPr="004974DB">
        <w:rPr>
          <w:b/>
          <w:bCs/>
          <w:lang w:val="pt-BR"/>
        </w:rPr>
        <w:t>...............</w:t>
      </w:r>
      <w:r>
        <w:rPr>
          <w:b/>
          <w:bCs/>
          <w:lang w:val="pt-BR"/>
        </w:rPr>
        <w:t>.................................................................................</w:t>
      </w:r>
      <w:r w:rsidRPr="004974DB">
        <w:rPr>
          <w:b/>
          <w:bCs/>
          <w:lang w:val="pt-BR"/>
        </w:rPr>
        <w:t>.....................</w:t>
      </w:r>
      <w:r w:rsidRPr="007D0992">
        <w:rPr>
          <w:b/>
          <w:bCs/>
          <w:lang w:val="pt-BR"/>
        </w:rPr>
        <w:t>.</w:t>
      </w:r>
      <w:r>
        <w:rPr>
          <w:b/>
          <w:bCs/>
          <w:lang w:val="pt-BR"/>
        </w:rPr>
        <w:t>....</w:t>
      </w:r>
      <w:r w:rsidRPr="004974DB">
        <w:rPr>
          <w:b/>
          <w:bCs/>
          <w:lang w:val="pt-BR"/>
        </w:rPr>
        <w:t>..</w:t>
      </w:r>
      <w:r>
        <w:rPr>
          <w:b/>
          <w:bCs/>
          <w:lang w:val="pt-BR"/>
        </w:rPr>
        <w:t>81</w:t>
      </w:r>
    </w:p>
    <w:p w14:paraId="2A1F61A8" w14:textId="6D98016A" w:rsidR="00F2053B" w:rsidRPr="00F2053B" w:rsidRDefault="00F2053B" w:rsidP="00F2053B">
      <w:pPr>
        <w:rPr>
          <w:b/>
          <w:bCs/>
          <w:lang w:val="pt-BR"/>
        </w:rPr>
      </w:pPr>
      <w:r w:rsidRPr="009403FF">
        <w:rPr>
          <w:b/>
          <w:bCs/>
        </w:rPr>
        <w:t>Introdução</w:t>
      </w:r>
      <w:r w:rsidRPr="00F2053B">
        <w:rPr>
          <w:b/>
          <w:bCs/>
          <w:lang w:val="pt-BR"/>
        </w:rPr>
        <w:t xml:space="preserve"> </w:t>
      </w:r>
      <w:r w:rsidRPr="004974DB">
        <w:rPr>
          <w:b/>
          <w:bCs/>
          <w:lang w:val="pt-BR"/>
        </w:rPr>
        <w:t>.........</w:t>
      </w:r>
      <w:r>
        <w:rPr>
          <w:b/>
          <w:bCs/>
          <w:lang w:val="pt-BR"/>
        </w:rPr>
        <w:t>................................................................................</w:t>
      </w:r>
      <w:r w:rsidRPr="004974DB">
        <w:rPr>
          <w:b/>
          <w:bCs/>
          <w:lang w:val="pt-BR"/>
        </w:rPr>
        <w:t>.....................</w:t>
      </w:r>
      <w:r w:rsidRPr="007D0992">
        <w:rPr>
          <w:b/>
          <w:bCs/>
          <w:lang w:val="pt-BR"/>
        </w:rPr>
        <w:t>.</w:t>
      </w:r>
      <w:r>
        <w:rPr>
          <w:b/>
          <w:bCs/>
          <w:lang w:val="pt-BR"/>
        </w:rPr>
        <w:t>....</w:t>
      </w:r>
      <w:r w:rsidRPr="004974DB">
        <w:rPr>
          <w:b/>
          <w:bCs/>
          <w:lang w:val="pt-BR"/>
        </w:rPr>
        <w:t>..</w:t>
      </w:r>
      <w:r>
        <w:rPr>
          <w:b/>
          <w:bCs/>
          <w:lang w:val="pt-BR"/>
        </w:rPr>
        <w:t>81</w:t>
      </w:r>
    </w:p>
    <w:p w14:paraId="3902F51B" w14:textId="7853C6C0" w:rsidR="00F2053B" w:rsidRPr="00F2053B" w:rsidRDefault="00F2053B" w:rsidP="00F2053B">
      <w:pPr>
        <w:jc w:val="both"/>
        <w:rPr>
          <w:b/>
          <w:bCs/>
          <w:lang w:val="pt-BR"/>
        </w:rPr>
      </w:pPr>
      <w:r w:rsidRPr="00AD55CD">
        <w:rPr>
          <w:b/>
          <w:bCs/>
        </w:rPr>
        <w:t>O mercado farmacêutico mundial e brasileiro</w:t>
      </w:r>
      <w:r w:rsidRPr="00F2053B">
        <w:rPr>
          <w:b/>
          <w:bCs/>
          <w:lang w:val="pt-BR"/>
        </w:rPr>
        <w:t xml:space="preserve"> </w:t>
      </w:r>
      <w:r w:rsidRPr="004974DB">
        <w:rPr>
          <w:b/>
          <w:bCs/>
          <w:lang w:val="pt-BR"/>
        </w:rPr>
        <w:t>.........</w:t>
      </w:r>
      <w:r>
        <w:rPr>
          <w:b/>
          <w:bCs/>
          <w:lang w:val="pt-BR"/>
        </w:rPr>
        <w:t>......................</w:t>
      </w:r>
      <w:r w:rsidRPr="004974DB">
        <w:rPr>
          <w:b/>
          <w:bCs/>
          <w:lang w:val="pt-BR"/>
        </w:rPr>
        <w:t>.....................</w:t>
      </w:r>
      <w:r w:rsidRPr="007D0992">
        <w:rPr>
          <w:b/>
          <w:bCs/>
          <w:lang w:val="pt-BR"/>
        </w:rPr>
        <w:t>.</w:t>
      </w:r>
      <w:r>
        <w:rPr>
          <w:b/>
          <w:bCs/>
          <w:lang w:val="pt-BR"/>
        </w:rPr>
        <w:t>....</w:t>
      </w:r>
      <w:r w:rsidRPr="004974DB">
        <w:rPr>
          <w:b/>
          <w:bCs/>
          <w:lang w:val="pt-BR"/>
        </w:rPr>
        <w:t>..</w:t>
      </w:r>
      <w:r>
        <w:rPr>
          <w:b/>
          <w:bCs/>
          <w:lang w:val="pt-BR"/>
        </w:rPr>
        <w:t>81</w:t>
      </w:r>
    </w:p>
    <w:p w14:paraId="0E15467D" w14:textId="0E0C90CE" w:rsidR="00F2053B" w:rsidRDefault="00F2053B" w:rsidP="00F2053B">
      <w:pPr>
        <w:jc w:val="both"/>
        <w:rPr>
          <w:b/>
          <w:bCs/>
          <w:lang w:val="pt-BR"/>
        </w:rPr>
      </w:pPr>
      <w:r w:rsidRPr="00DE084C">
        <w:rPr>
          <w:b/>
          <w:bCs/>
        </w:rPr>
        <w:t>Pesquisa Desenvolvimento e Inovação (P&amp;D&amp;I)</w:t>
      </w:r>
      <w:r w:rsidRPr="00F2053B">
        <w:rPr>
          <w:b/>
          <w:bCs/>
          <w:lang w:val="pt-BR"/>
        </w:rPr>
        <w:t xml:space="preserve"> </w:t>
      </w:r>
      <w:r w:rsidRPr="004974DB">
        <w:rPr>
          <w:b/>
          <w:bCs/>
          <w:lang w:val="pt-BR"/>
        </w:rPr>
        <w:t>.....</w:t>
      </w:r>
      <w:r>
        <w:rPr>
          <w:b/>
          <w:bCs/>
          <w:lang w:val="pt-BR"/>
        </w:rPr>
        <w:t>......................</w:t>
      </w:r>
      <w:r w:rsidRPr="004974DB">
        <w:rPr>
          <w:b/>
          <w:bCs/>
          <w:lang w:val="pt-BR"/>
        </w:rPr>
        <w:t>.....................</w:t>
      </w:r>
      <w:r w:rsidRPr="007D0992">
        <w:rPr>
          <w:b/>
          <w:bCs/>
          <w:lang w:val="pt-BR"/>
        </w:rPr>
        <w:t>.</w:t>
      </w:r>
      <w:r>
        <w:rPr>
          <w:b/>
          <w:bCs/>
          <w:lang w:val="pt-BR"/>
        </w:rPr>
        <w:t>....</w:t>
      </w:r>
      <w:r w:rsidRPr="004974DB">
        <w:rPr>
          <w:b/>
          <w:bCs/>
          <w:lang w:val="pt-BR"/>
        </w:rPr>
        <w:t>..</w:t>
      </w:r>
      <w:r>
        <w:rPr>
          <w:b/>
          <w:bCs/>
          <w:lang w:val="pt-BR"/>
        </w:rPr>
        <w:t>86</w:t>
      </w:r>
    </w:p>
    <w:p w14:paraId="131BDA86" w14:textId="12DE0FF2" w:rsidR="00F2053B" w:rsidRPr="00F2053B" w:rsidRDefault="00F2053B" w:rsidP="00F2053B">
      <w:pPr>
        <w:jc w:val="both"/>
        <w:rPr>
          <w:b/>
          <w:bCs/>
          <w:lang w:val="pt-BR"/>
        </w:rPr>
      </w:pPr>
      <w:r w:rsidRPr="009403FF">
        <w:rPr>
          <w:b/>
        </w:rPr>
        <w:t>Medicamento industrializado e medicamento magistral</w:t>
      </w:r>
      <w:r w:rsidRPr="00F50D68">
        <w:rPr>
          <w:b/>
          <w:lang w:val="pt-BR"/>
        </w:rPr>
        <w:t>: registro</w:t>
      </w:r>
      <w:r>
        <w:rPr>
          <w:b/>
          <w:lang w:val="pt-BR"/>
        </w:rPr>
        <w:t xml:space="preserve"> </w:t>
      </w:r>
      <w:r w:rsidRPr="004974DB">
        <w:rPr>
          <w:b/>
          <w:bCs/>
          <w:lang w:val="pt-BR"/>
        </w:rPr>
        <w:t>....................</w:t>
      </w:r>
      <w:r w:rsidRPr="007D0992">
        <w:rPr>
          <w:b/>
          <w:bCs/>
          <w:lang w:val="pt-BR"/>
        </w:rPr>
        <w:t>.</w:t>
      </w:r>
      <w:r>
        <w:rPr>
          <w:b/>
          <w:bCs/>
          <w:lang w:val="pt-BR"/>
        </w:rPr>
        <w:t>....</w:t>
      </w:r>
      <w:r w:rsidRPr="004974DB">
        <w:rPr>
          <w:b/>
          <w:bCs/>
          <w:lang w:val="pt-BR"/>
        </w:rPr>
        <w:t>..</w:t>
      </w:r>
      <w:r>
        <w:rPr>
          <w:b/>
          <w:lang w:val="pt-BR"/>
        </w:rPr>
        <w:t>90</w:t>
      </w:r>
    </w:p>
    <w:p w14:paraId="1457AF2E" w14:textId="48626F43" w:rsidR="00F2053B" w:rsidRDefault="00F2053B" w:rsidP="00F2053B">
      <w:pPr>
        <w:jc w:val="both"/>
        <w:rPr>
          <w:b/>
          <w:lang w:val="pt-BR"/>
        </w:rPr>
      </w:pPr>
      <w:r w:rsidRPr="00C83D05">
        <w:rPr>
          <w:b/>
          <w:bCs/>
        </w:rPr>
        <w:t>Situação atual do registro de medicamentos novos</w:t>
      </w:r>
      <w:r w:rsidRPr="00F2053B">
        <w:rPr>
          <w:b/>
          <w:bCs/>
          <w:lang w:val="pt-BR"/>
        </w:rPr>
        <w:t xml:space="preserve"> </w:t>
      </w:r>
      <w:r w:rsidRPr="004974DB">
        <w:rPr>
          <w:b/>
          <w:bCs/>
          <w:lang w:val="pt-BR"/>
        </w:rPr>
        <w:t>................</w:t>
      </w:r>
      <w:r>
        <w:rPr>
          <w:b/>
          <w:bCs/>
          <w:lang w:val="pt-BR"/>
        </w:rPr>
        <w:t>.........................</w:t>
      </w:r>
      <w:r w:rsidRPr="004974DB">
        <w:rPr>
          <w:b/>
          <w:bCs/>
          <w:lang w:val="pt-BR"/>
        </w:rPr>
        <w:t>....</w:t>
      </w:r>
      <w:r w:rsidRPr="007D0992">
        <w:rPr>
          <w:b/>
          <w:bCs/>
          <w:lang w:val="pt-BR"/>
        </w:rPr>
        <w:t>.</w:t>
      </w:r>
      <w:r>
        <w:rPr>
          <w:b/>
          <w:bCs/>
          <w:lang w:val="pt-BR"/>
        </w:rPr>
        <w:t>....</w:t>
      </w:r>
      <w:r w:rsidRPr="004974DB">
        <w:rPr>
          <w:b/>
          <w:bCs/>
          <w:lang w:val="pt-BR"/>
        </w:rPr>
        <w:t>..</w:t>
      </w:r>
      <w:r>
        <w:rPr>
          <w:b/>
          <w:lang w:val="pt-BR"/>
        </w:rPr>
        <w:t>91</w:t>
      </w:r>
    </w:p>
    <w:p w14:paraId="035338D5" w14:textId="5B432BE4" w:rsidR="00F2053B" w:rsidRPr="00F2053B" w:rsidRDefault="00F2053B" w:rsidP="00F2053B">
      <w:pPr>
        <w:jc w:val="both"/>
        <w:rPr>
          <w:b/>
          <w:bCs/>
          <w:lang w:val="pt-BR"/>
        </w:rPr>
      </w:pPr>
      <w:r>
        <w:rPr>
          <w:b/>
          <w:bCs/>
          <w:lang w:val="pt-BR"/>
        </w:rPr>
        <w:t xml:space="preserve">Referências </w:t>
      </w:r>
      <w:r w:rsidRPr="004974DB">
        <w:rPr>
          <w:b/>
          <w:bCs/>
          <w:lang w:val="pt-BR"/>
        </w:rPr>
        <w:t>................</w:t>
      </w:r>
      <w:r>
        <w:rPr>
          <w:b/>
          <w:bCs/>
          <w:lang w:val="pt-BR"/>
        </w:rPr>
        <w:t>.........................</w:t>
      </w:r>
      <w:r w:rsidRPr="004974DB">
        <w:rPr>
          <w:b/>
          <w:bCs/>
          <w:lang w:val="pt-BR"/>
        </w:rPr>
        <w:t>....</w:t>
      </w:r>
      <w:r w:rsidRPr="007D0992">
        <w:rPr>
          <w:b/>
          <w:bCs/>
          <w:lang w:val="pt-BR"/>
        </w:rPr>
        <w:t>.</w:t>
      </w:r>
      <w:r>
        <w:rPr>
          <w:b/>
          <w:bCs/>
          <w:lang w:val="pt-BR"/>
        </w:rPr>
        <w:t>....</w:t>
      </w:r>
      <w:r w:rsidRPr="004974DB">
        <w:rPr>
          <w:b/>
          <w:bCs/>
          <w:lang w:val="pt-BR"/>
        </w:rPr>
        <w:t>..</w:t>
      </w:r>
      <w:r>
        <w:rPr>
          <w:b/>
          <w:bCs/>
          <w:lang w:val="pt-BR"/>
        </w:rPr>
        <w:t>.........................</w:t>
      </w:r>
      <w:r w:rsidRPr="004974DB">
        <w:rPr>
          <w:b/>
          <w:bCs/>
          <w:lang w:val="pt-BR"/>
        </w:rPr>
        <w:t>.........</w:t>
      </w:r>
      <w:r>
        <w:rPr>
          <w:b/>
          <w:bCs/>
          <w:lang w:val="pt-BR"/>
        </w:rPr>
        <w:t>.........................</w:t>
      </w:r>
      <w:r w:rsidRPr="004974DB">
        <w:rPr>
          <w:b/>
          <w:bCs/>
          <w:lang w:val="pt-BR"/>
        </w:rPr>
        <w:t>....</w:t>
      </w:r>
      <w:r w:rsidRPr="007D0992">
        <w:rPr>
          <w:b/>
          <w:bCs/>
          <w:lang w:val="pt-BR"/>
        </w:rPr>
        <w:t>.</w:t>
      </w:r>
      <w:r>
        <w:rPr>
          <w:b/>
          <w:lang w:val="pt-BR"/>
        </w:rPr>
        <w:t>97</w:t>
      </w:r>
    </w:p>
    <w:p w14:paraId="11B2CC3A" w14:textId="77777777" w:rsidR="00F2053B" w:rsidRPr="00F2053B" w:rsidRDefault="00F2053B" w:rsidP="00F2053B">
      <w:pPr>
        <w:jc w:val="both"/>
        <w:rPr>
          <w:b/>
          <w:bCs/>
          <w:sz w:val="28"/>
          <w:szCs w:val="28"/>
        </w:rPr>
      </w:pPr>
    </w:p>
    <w:p w14:paraId="2D445161" w14:textId="77777777" w:rsidR="004974DB" w:rsidRPr="003A4942" w:rsidRDefault="004974DB" w:rsidP="004974DB">
      <w:pPr>
        <w:pStyle w:val="Normal1"/>
        <w:spacing w:line="360" w:lineRule="auto"/>
        <w:jc w:val="both"/>
        <w:rPr>
          <w:rFonts w:ascii="Times New Roman" w:hAnsi="Times New Roman" w:cs="Times New Roman"/>
          <w:b/>
          <w:bCs/>
          <w:sz w:val="24"/>
          <w:szCs w:val="24"/>
          <w:shd w:val="clear" w:color="auto" w:fill="FFFFFF"/>
          <w:lang/>
        </w:rPr>
      </w:pPr>
    </w:p>
    <w:p w14:paraId="72651DCB" w14:textId="1577CDEE" w:rsidR="004974DB" w:rsidRPr="004974DB" w:rsidRDefault="004974DB" w:rsidP="004974DB">
      <w:pPr>
        <w:spacing w:line="360" w:lineRule="auto"/>
        <w:jc w:val="both"/>
        <w:rPr>
          <w:b/>
          <w:bCs/>
          <w:lang w:val="pt-BR"/>
        </w:rPr>
      </w:pPr>
    </w:p>
    <w:p w14:paraId="10E388A8" w14:textId="77777777" w:rsidR="00AD33A6" w:rsidRPr="004974DB" w:rsidRDefault="00AD33A6" w:rsidP="00AD33A6">
      <w:pPr>
        <w:spacing w:line="360" w:lineRule="auto"/>
        <w:jc w:val="both"/>
        <w:rPr>
          <w:b/>
          <w:bCs/>
        </w:rPr>
      </w:pPr>
    </w:p>
    <w:p w14:paraId="4C8868B7" w14:textId="77777777" w:rsidR="00AD33A6" w:rsidRPr="003407E0" w:rsidRDefault="00AD33A6" w:rsidP="00AD33A6">
      <w:pPr>
        <w:jc w:val="both"/>
        <w:rPr>
          <w:b/>
          <w:bCs/>
        </w:rPr>
      </w:pPr>
    </w:p>
    <w:p w14:paraId="5CB2F2D7" w14:textId="77777777" w:rsidR="00AD33A6" w:rsidRPr="00AD33A6" w:rsidRDefault="00AD33A6" w:rsidP="00AD33A6">
      <w:pPr>
        <w:jc w:val="both"/>
        <w:rPr>
          <w:b/>
          <w:bCs/>
          <w:lang w:val="pt-BR"/>
        </w:rPr>
      </w:pPr>
    </w:p>
    <w:p w14:paraId="54F6B336" w14:textId="77777777" w:rsidR="00E879B4" w:rsidRPr="00E879B4" w:rsidRDefault="00E879B4" w:rsidP="00E879B4">
      <w:pPr>
        <w:rPr>
          <w:rFonts w:cstheme="minorHAnsi"/>
          <w:b/>
          <w:bCs/>
          <w:lang w:val="pt-BR"/>
        </w:rPr>
      </w:pPr>
    </w:p>
    <w:p w14:paraId="51EF3812" w14:textId="6146E414" w:rsidR="00861B84" w:rsidRDefault="00861B84" w:rsidP="007E47CB">
      <w:pPr>
        <w:rPr>
          <w:rFonts w:cstheme="minorHAnsi"/>
          <w:b/>
          <w:bCs/>
          <w:sz w:val="32"/>
        </w:rPr>
      </w:pPr>
    </w:p>
    <w:p w14:paraId="77A8AF6D" w14:textId="1D5ED279" w:rsidR="00861B84" w:rsidRDefault="00861B84" w:rsidP="007E47CB">
      <w:pPr>
        <w:rPr>
          <w:rFonts w:cstheme="minorHAnsi"/>
          <w:b/>
          <w:bCs/>
          <w:sz w:val="32"/>
        </w:rPr>
      </w:pPr>
    </w:p>
    <w:p w14:paraId="59BD38C2" w14:textId="4B374B49" w:rsidR="00861B84" w:rsidRDefault="00861B84" w:rsidP="007E47CB">
      <w:pPr>
        <w:rPr>
          <w:rFonts w:cstheme="minorHAnsi"/>
          <w:b/>
          <w:bCs/>
          <w:sz w:val="32"/>
        </w:rPr>
      </w:pPr>
    </w:p>
    <w:p w14:paraId="234FFD13" w14:textId="4EAC754D" w:rsidR="00861B84" w:rsidRDefault="00861B84" w:rsidP="007E47CB">
      <w:pPr>
        <w:rPr>
          <w:rFonts w:cstheme="minorHAnsi"/>
          <w:b/>
          <w:bCs/>
          <w:sz w:val="32"/>
        </w:rPr>
      </w:pPr>
    </w:p>
    <w:p w14:paraId="491CFC0A" w14:textId="77FDE924" w:rsidR="00861B84" w:rsidRDefault="00861B84" w:rsidP="007E47CB">
      <w:pPr>
        <w:rPr>
          <w:rFonts w:cstheme="minorHAnsi"/>
          <w:b/>
          <w:bCs/>
          <w:sz w:val="32"/>
        </w:rPr>
      </w:pPr>
    </w:p>
    <w:p w14:paraId="62E5FE4A" w14:textId="2C595299" w:rsidR="00861B84" w:rsidRDefault="00861B84" w:rsidP="007E47CB">
      <w:pPr>
        <w:rPr>
          <w:rFonts w:cstheme="minorHAnsi"/>
          <w:b/>
          <w:bCs/>
          <w:sz w:val="32"/>
        </w:rPr>
      </w:pPr>
    </w:p>
    <w:p w14:paraId="79C278C4" w14:textId="349FF875" w:rsidR="00861B84" w:rsidRDefault="00861B84" w:rsidP="007E47CB">
      <w:pPr>
        <w:rPr>
          <w:rFonts w:cstheme="minorHAnsi"/>
          <w:b/>
          <w:bCs/>
          <w:sz w:val="32"/>
        </w:rPr>
      </w:pPr>
    </w:p>
    <w:p w14:paraId="7F44F1CC" w14:textId="77777777" w:rsidR="00E879B4" w:rsidRDefault="00E879B4" w:rsidP="007E47CB">
      <w:pPr>
        <w:rPr>
          <w:rFonts w:cstheme="minorHAnsi"/>
          <w:b/>
          <w:bCs/>
          <w:sz w:val="32"/>
        </w:rPr>
        <w:sectPr w:rsidR="00E879B4" w:rsidSect="000F5415">
          <w:headerReference w:type="default" r:id="rId8"/>
          <w:footerReference w:type="even" r:id="rId9"/>
          <w:footerReference w:type="default" r:id="rId10"/>
          <w:pgSz w:w="11906" w:h="16838" w:code="9"/>
          <w:pgMar w:top="1417" w:right="1701" w:bottom="1417" w:left="1701" w:header="708" w:footer="708" w:gutter="0"/>
          <w:cols w:space="708"/>
          <w:docGrid w:linePitch="360"/>
        </w:sectPr>
      </w:pPr>
    </w:p>
    <w:p w14:paraId="7A58C603" w14:textId="3AF7AB4F" w:rsidR="00861B84" w:rsidRDefault="007E47CB" w:rsidP="007E47CB">
      <w:pPr>
        <w:rPr>
          <w:rFonts w:cstheme="minorHAnsi"/>
          <w:b/>
          <w:bCs/>
          <w:sz w:val="32"/>
        </w:rPr>
      </w:pPr>
      <w:r>
        <w:rPr>
          <w:rFonts w:cstheme="minorHAnsi"/>
          <w:b/>
          <w:bCs/>
          <w:sz w:val="32"/>
        </w:rPr>
        <w:t xml:space="preserve">Capítulo </w:t>
      </w:r>
      <w:r w:rsidR="0096461D">
        <w:rPr>
          <w:rFonts w:cstheme="minorHAnsi"/>
          <w:b/>
          <w:bCs/>
          <w:sz w:val="32"/>
        </w:rPr>
        <w:t>1</w:t>
      </w:r>
    </w:p>
    <w:p w14:paraId="7E7307E0" w14:textId="7E1F4F38" w:rsidR="00FA5F5F" w:rsidRPr="00F270DB" w:rsidRDefault="00B354E3" w:rsidP="00D266FC">
      <w:pPr>
        <w:spacing w:line="360" w:lineRule="auto"/>
        <w:rPr>
          <w:b/>
          <w:bCs/>
          <w:sz w:val="28"/>
          <w:szCs w:val="28"/>
        </w:rPr>
      </w:pPr>
      <w:r w:rsidRPr="00F270DB">
        <w:rPr>
          <w:b/>
          <w:bCs/>
          <w:sz w:val="28"/>
          <w:szCs w:val="28"/>
        </w:rPr>
        <w:t xml:space="preserve">Ética na pesquisa </w:t>
      </w:r>
      <w:r w:rsidR="004F4665" w:rsidRPr="00F270DB">
        <w:rPr>
          <w:b/>
          <w:bCs/>
          <w:sz w:val="28"/>
          <w:szCs w:val="28"/>
        </w:rPr>
        <w:t>de novos medicamentos</w:t>
      </w:r>
    </w:p>
    <w:p w14:paraId="1E021337" w14:textId="4DBA4109" w:rsidR="00FA5F5F" w:rsidRDefault="00FA5F5F" w:rsidP="000F5415">
      <w:pPr>
        <w:spacing w:line="360" w:lineRule="auto"/>
        <w:jc w:val="right"/>
        <w:rPr>
          <w:i/>
        </w:rPr>
      </w:pPr>
      <w:r w:rsidRPr="00545FB7">
        <w:rPr>
          <w:i/>
        </w:rPr>
        <w:t>Tharcia Kiara Beserra de Oliveira</w:t>
      </w:r>
    </w:p>
    <w:p w14:paraId="7D5DCD1C" w14:textId="03A50578" w:rsidR="008A1549" w:rsidRDefault="008A1549" w:rsidP="000F5415">
      <w:pPr>
        <w:spacing w:line="360" w:lineRule="auto"/>
        <w:jc w:val="right"/>
        <w:rPr>
          <w:i/>
        </w:rPr>
      </w:pPr>
      <w:r>
        <w:rPr>
          <w:i/>
        </w:rPr>
        <w:t>Taciana Katucia Beserra de Oliveira</w:t>
      </w:r>
    </w:p>
    <w:p w14:paraId="6CCF84CA" w14:textId="15201865" w:rsidR="00DE1B70" w:rsidRPr="00545FB7" w:rsidRDefault="00DE1B70" w:rsidP="000F5415">
      <w:pPr>
        <w:spacing w:line="360" w:lineRule="auto"/>
        <w:jc w:val="right"/>
        <w:rPr>
          <w:i/>
        </w:rPr>
      </w:pPr>
      <w:r>
        <w:rPr>
          <w:i/>
        </w:rPr>
        <w:t>Joelmir Lucena Veiga da Silva</w:t>
      </w:r>
    </w:p>
    <w:p w14:paraId="50A7DBC1" w14:textId="77777777" w:rsidR="00FA5F5F" w:rsidRPr="00545FB7" w:rsidRDefault="00FA5F5F" w:rsidP="000F5415">
      <w:pPr>
        <w:spacing w:line="360" w:lineRule="auto"/>
        <w:jc w:val="both"/>
      </w:pPr>
    </w:p>
    <w:p w14:paraId="52A64C7C" w14:textId="77777777" w:rsidR="00FA5F5F" w:rsidRPr="00545FB7" w:rsidRDefault="00FA5F5F" w:rsidP="000F5415">
      <w:pPr>
        <w:spacing w:line="360" w:lineRule="auto"/>
        <w:jc w:val="both"/>
      </w:pPr>
    </w:p>
    <w:p w14:paraId="001CA6D0" w14:textId="408F16BD" w:rsidR="00FA5F5F" w:rsidRPr="00FD448D" w:rsidRDefault="00FA5F5F" w:rsidP="000F5415">
      <w:pPr>
        <w:spacing w:line="360" w:lineRule="auto"/>
        <w:jc w:val="both"/>
        <w:rPr>
          <w:b/>
          <w:bCs/>
        </w:rPr>
      </w:pPr>
      <w:r w:rsidRPr="00FD448D">
        <w:rPr>
          <w:b/>
          <w:bCs/>
        </w:rPr>
        <w:t>I</w:t>
      </w:r>
      <w:r w:rsidR="00FD448D" w:rsidRPr="00FD448D">
        <w:rPr>
          <w:b/>
          <w:bCs/>
        </w:rPr>
        <w:t>ntrodução à etapa pré-clínica</w:t>
      </w:r>
    </w:p>
    <w:p w14:paraId="66381D73" w14:textId="77777777" w:rsidR="00E77AB9" w:rsidRPr="00545FB7" w:rsidRDefault="00FA5F5F" w:rsidP="000F5415">
      <w:pPr>
        <w:spacing w:line="360" w:lineRule="auto"/>
        <w:ind w:firstLine="708"/>
        <w:jc w:val="both"/>
      </w:pPr>
      <w:r w:rsidRPr="00545FB7">
        <w:t xml:space="preserve">A utilização com animais de laboratório com </w:t>
      </w:r>
      <w:r w:rsidR="001E017C" w:rsidRPr="00545FB7">
        <w:t>fins de investigação terapêuticos</w:t>
      </w:r>
      <w:r w:rsidRPr="00545FB7">
        <w:t>, ainda que de mane</w:t>
      </w:r>
      <w:r w:rsidR="001E017C" w:rsidRPr="00545FB7">
        <w:t>ira incipiente e empírica, faz</w:t>
      </w:r>
      <w:r w:rsidRPr="00545FB7">
        <w:t xml:space="preserve"> parte da humanidade desde as eras prímevas da História.</w:t>
      </w:r>
      <w:r w:rsidR="001E017C" w:rsidRPr="00545FB7">
        <w:t xml:space="preserve"> Essa utilização é comum até os dias de hoje, no entanto, a preocupação com os procedimentos utilizados vem sendo questionados</w:t>
      </w:r>
      <w:r w:rsidR="00E77AB9" w:rsidRPr="00545FB7">
        <w:t>. A comunidade cientifica defende</w:t>
      </w:r>
      <w:r w:rsidR="001E017C" w:rsidRPr="00545FB7">
        <w:t xml:space="preserve"> que a experimentação animal é o fio condutor para o desenvolvimento e aperfeiçoamento de novas tecnologias, </w:t>
      </w:r>
      <w:r w:rsidR="004D2E6A" w:rsidRPr="00545FB7">
        <w:t>discorda de uma</w:t>
      </w:r>
      <w:r w:rsidR="001E017C" w:rsidRPr="00545FB7">
        <w:t xml:space="preserve"> parte da população que tem a experimentação animal como um </w:t>
      </w:r>
      <w:r w:rsidR="00E77AB9" w:rsidRPr="00545FB7">
        <w:t xml:space="preserve">ato desnecessário quanto a sua utilização. </w:t>
      </w:r>
    </w:p>
    <w:p w14:paraId="11CEC536" w14:textId="25843CE6" w:rsidR="008C1BF3" w:rsidRPr="00545FB7" w:rsidRDefault="00E77AB9" w:rsidP="000F5415">
      <w:pPr>
        <w:spacing w:line="360" w:lineRule="auto"/>
        <w:ind w:firstLine="708"/>
        <w:jc w:val="both"/>
      </w:pPr>
      <w:r w:rsidRPr="00545FB7">
        <w:t xml:space="preserve">Para um maio entendimento </w:t>
      </w:r>
      <w:r w:rsidR="008C1BF3" w:rsidRPr="00545FB7">
        <w:t>científico,</w:t>
      </w:r>
      <w:r w:rsidRPr="00545FB7">
        <w:t xml:space="preserve"> a sanção da </w:t>
      </w:r>
      <w:r w:rsidR="00972C18" w:rsidRPr="00545FB7">
        <w:t>Lei 11.794 (</w:t>
      </w:r>
      <w:r w:rsidR="00D145F4" w:rsidRPr="00545FB7">
        <w:t xml:space="preserve">conhecida como “Lei Arouca” em referência a seu relator, Sérgio Arouca) </w:t>
      </w:r>
      <w:r w:rsidR="00753F50" w:rsidRPr="00545FB7">
        <w:t>de 8 de outubro de 2008, que dispõe sobre procedimentos para o uso científico de animais, e dá outras providências,</w:t>
      </w:r>
      <w:r w:rsidR="009E0A07" w:rsidRPr="00545FB7">
        <w:t xml:space="preserve"> regulamenta o inciso VII do § 1o do art. 225 da Constituição Federal, estabelece procedimentos para o uso científico de animais e revoga a Lei no 6.638, de 8 de maio de 1979 (BRASIL 2008). Para</w:t>
      </w:r>
      <w:r w:rsidRPr="00545FB7">
        <w:t xml:space="preserve"> os Brasileiros que lidam diretamente com experimento animal</w:t>
      </w:r>
      <w:r w:rsidR="008C1BF3" w:rsidRPr="00545FB7">
        <w:t xml:space="preserve"> preenche uma grande lacuna, pois, estabelece diretrizes em defesa da racionalização e otimização do empre</w:t>
      </w:r>
      <w:r w:rsidR="005D499A" w:rsidRPr="00545FB7">
        <w:t>go de animais em experimentação</w:t>
      </w:r>
      <w:r w:rsidR="009E0A07" w:rsidRPr="00545FB7">
        <w:t>.</w:t>
      </w:r>
    </w:p>
    <w:p w14:paraId="447050DB" w14:textId="76DB691B" w:rsidR="00890010" w:rsidRPr="00545FB7" w:rsidRDefault="00DF6B65" w:rsidP="000F5415">
      <w:pPr>
        <w:spacing w:line="360" w:lineRule="auto"/>
        <w:ind w:firstLine="708"/>
        <w:jc w:val="both"/>
      </w:pPr>
      <w:r w:rsidRPr="00545FB7">
        <w:t>Nesse processo de proteção dos animais na experimentação, os movimentos antiviviseccionistas tiveram importante papel. O que as pessoas pretendiam era que a experimentação fosse utilizada em extrema necessidade e com o mínimo de dor possível, sempre utilizado anestésico para qualquer ato cirúrgico. O que era possível, já que havia uma disponibilidade de anestésicos</w:t>
      </w:r>
      <w:r w:rsidR="00890010" w:rsidRPr="00545FB7">
        <w:t xml:space="preserve"> (ANDRADE et al., 2002). Já que, assim como </w:t>
      </w:r>
      <w:r w:rsidR="008320E6" w:rsidRPr="00545FB7">
        <w:t>os homens</w:t>
      </w:r>
      <w:r w:rsidR="00890010" w:rsidRPr="00545FB7">
        <w:t xml:space="preserve">, </w:t>
      </w:r>
      <w:r w:rsidR="008320E6" w:rsidRPr="00545FB7">
        <w:t>muitas classes de amimais são capazes de sentir qualquer ti</w:t>
      </w:r>
      <w:r w:rsidR="00072ADA" w:rsidRPr="00545FB7">
        <w:t>po de injuria dor ou sofrimento’</w:t>
      </w:r>
      <w:r w:rsidR="005D499A" w:rsidRPr="00545FB7">
        <w:t xml:space="preserve"> (CARDOSO, 2009).</w:t>
      </w:r>
    </w:p>
    <w:p w14:paraId="23DAA9CB" w14:textId="79AA950E" w:rsidR="00896D42" w:rsidRPr="00545FB7" w:rsidRDefault="00234D3E" w:rsidP="00D145F4">
      <w:pPr>
        <w:spacing w:line="360" w:lineRule="auto"/>
        <w:ind w:firstLine="708"/>
        <w:jc w:val="both"/>
      </w:pPr>
      <w:r w:rsidRPr="00545FB7">
        <w:t xml:space="preserve">Observa-se um clamor em cada ser humano que detém a posse de um animal por </w:t>
      </w:r>
      <w:r w:rsidR="00D145F4" w:rsidRPr="00545FB7">
        <w:t xml:space="preserve">posturas éticas, levando em consideração que é um ser vivo, </w:t>
      </w:r>
      <w:r w:rsidRPr="00545FB7">
        <w:t>assim</w:t>
      </w:r>
      <w:r w:rsidR="00D145F4" w:rsidRPr="00545FB7">
        <w:t>, sujeito de uma vida e parte da natureza. A mudança na conduta da sociedade consumindo apenas produtos gerados com o menor impacto possível nos animais</w:t>
      </w:r>
      <w:r w:rsidRPr="00545FB7">
        <w:t xml:space="preserve"> </w:t>
      </w:r>
      <w:r w:rsidR="00D145F4" w:rsidRPr="00545FB7">
        <w:t>e no ambiente direcionará a economia na busca de alternativas para manter o padrão de vida alcançado pelo homem, sem prejuízo para as demais espécies (FISCHER</w:t>
      </w:r>
      <w:r w:rsidR="00DD2A75">
        <w:t xml:space="preserve">; </w:t>
      </w:r>
      <w:r w:rsidR="00D145F4" w:rsidRPr="00545FB7">
        <w:t xml:space="preserve">OLIVEIRA, 2012). </w:t>
      </w:r>
      <w:r w:rsidR="00890010" w:rsidRPr="00545FB7">
        <w:t>Atualmente, grande parte dos pesquisadores que utilizam animais de laboratórios em seus experimentos possui respeito pela vida e se preocupa em conduzir suas pesquisas sem causar sofrimento e dor aos animais, obedecendo aos princípios éticos da experimentação animal. É visto que não é fácil fiscalizar as pesquisas, pois as mesmas são realizadas em laboratórios fechados e pode-se dizer que a utilização de forma ética de animais depende muito da ‘integridade e consciência de cada pesquisador’.</w:t>
      </w:r>
    </w:p>
    <w:p w14:paraId="08832130" w14:textId="77777777" w:rsidR="00753F50" w:rsidRPr="00545FB7" w:rsidRDefault="00753F50" w:rsidP="00D145F4">
      <w:pPr>
        <w:spacing w:line="360" w:lineRule="auto"/>
        <w:ind w:firstLine="708"/>
        <w:jc w:val="both"/>
      </w:pPr>
    </w:p>
    <w:p w14:paraId="08AFC0FE" w14:textId="045FDE29" w:rsidR="00753F50" w:rsidRPr="00DD2A75" w:rsidRDefault="00753F50" w:rsidP="00DD2A75">
      <w:pPr>
        <w:spacing w:line="360" w:lineRule="auto"/>
        <w:jc w:val="both"/>
        <w:rPr>
          <w:b/>
          <w:bCs/>
        </w:rPr>
      </w:pPr>
      <w:r w:rsidRPr="00DD2A75">
        <w:rPr>
          <w:b/>
          <w:bCs/>
        </w:rPr>
        <w:t xml:space="preserve">Comitê de Ética no Uso de Animais </w:t>
      </w:r>
      <w:r w:rsidR="00DD2A75" w:rsidRPr="00DD2A75">
        <w:rPr>
          <w:b/>
          <w:bCs/>
        </w:rPr>
        <w:t>(</w:t>
      </w:r>
      <w:r w:rsidRPr="00DD2A75">
        <w:rPr>
          <w:b/>
          <w:bCs/>
        </w:rPr>
        <w:t>CEUA</w:t>
      </w:r>
      <w:r w:rsidR="00DD2A75" w:rsidRPr="00DD2A75">
        <w:rPr>
          <w:b/>
          <w:bCs/>
        </w:rPr>
        <w:t>)</w:t>
      </w:r>
    </w:p>
    <w:p w14:paraId="2F03C220" w14:textId="41612AAF" w:rsidR="00DC7FCE" w:rsidRPr="00DC7FCE" w:rsidRDefault="00DC7FCE" w:rsidP="00DC7FCE">
      <w:pPr>
        <w:spacing w:line="360" w:lineRule="auto"/>
        <w:ind w:firstLine="708"/>
        <w:jc w:val="both"/>
      </w:pPr>
      <w:r w:rsidRPr="00DC7FCE">
        <w:t>A partir de 2008 o uso de animais de laboratório para fins didáticos e cient</w:t>
      </w:r>
      <w:r w:rsidR="00DD2A75">
        <w:t>í</w:t>
      </w:r>
      <w:r w:rsidRPr="00DC7FCE">
        <w:t>fico teve um grande passo com a da Lei 11.794</w:t>
      </w:r>
      <w:r w:rsidR="005D3909">
        <w:t>, que</w:t>
      </w:r>
      <w:r w:rsidRPr="00DC7FCE">
        <w:t xml:space="preserve"> tem vários pontos fundamentais que beneficia a todos. Fica criado o Conselho Nacional de Controle de Experimentação Animal (CONCEA), ligado ao Ministério da Ciência e Tecnologia</w:t>
      </w:r>
      <w:r w:rsidR="005D3909">
        <w:t>, por sua vez, determina que todas as Instituições de Ensino Superior que utilizam animais para ensino e pesquisa cadastrem no CIUCA (</w:t>
      </w:r>
      <w:r w:rsidR="005D3909" w:rsidRPr="005D3909">
        <w:t>Cadastro de Instituições de Uso Científico de Animais</w:t>
      </w:r>
      <w:r w:rsidR="005D3909">
        <w:t xml:space="preserve">) (Figura 1).  </w:t>
      </w:r>
      <w:r w:rsidRPr="00DC7FCE">
        <w:t>Pontos de suma importância:</w:t>
      </w:r>
    </w:p>
    <w:p w14:paraId="3E3B23A9" w14:textId="77777777" w:rsidR="00DC7FCE" w:rsidRPr="00DC7FCE" w:rsidRDefault="00DC7FCE" w:rsidP="00DC7FCE">
      <w:pPr>
        <w:spacing w:line="360" w:lineRule="auto"/>
        <w:ind w:firstLine="708"/>
        <w:jc w:val="both"/>
      </w:pPr>
      <w:r w:rsidRPr="00DC7FCE">
        <w:t>Art. 12.  A criação ou a utilização de animais para pesquisa ficam restritas, exclusivamente, às instituições credenciadas no CONCEA.</w:t>
      </w:r>
    </w:p>
    <w:p w14:paraId="23C78FFA" w14:textId="54497157" w:rsidR="00DC7FCE" w:rsidRDefault="00DC7FCE" w:rsidP="005D3909">
      <w:pPr>
        <w:spacing w:line="360" w:lineRule="auto"/>
        <w:ind w:firstLine="708"/>
        <w:jc w:val="both"/>
      </w:pPr>
      <w:r w:rsidRPr="00DC7FCE">
        <w:t>Art. 13.  Qualquer instituição legalmente estabelecida em território nacional que crie ou utilize animais para ensino e pesquisa deverá requerer credenciamento no CONCEA, para uso de animais, desde que, previamente, crie a CEUA.</w:t>
      </w:r>
    </w:p>
    <w:p w14:paraId="510D1351" w14:textId="7EBC95B0" w:rsidR="00234D3E" w:rsidRPr="00545FB7" w:rsidRDefault="00234D3E" w:rsidP="00984552">
      <w:pPr>
        <w:spacing w:line="360" w:lineRule="auto"/>
        <w:ind w:firstLine="708"/>
        <w:jc w:val="both"/>
      </w:pPr>
      <w:r w:rsidRPr="00545FB7">
        <w:t>Com intuito de intensificar as fiscalizações as Ceua (Comité de Ética no Uso de Animais)  devem ser estabelecidas nas instituições antes do início das atividades de pesquisa ou ensino com animais, por meio do cadastramento no Ciuca, que passou a ser exigido com o Decreto 6.899/2009</w:t>
      </w:r>
      <w:r w:rsidR="00753F50" w:rsidRPr="00545FB7">
        <w:t xml:space="preserve"> que “dispõe sobre a composição do Conselho Nacional de Controle de Experimentação Animal - CONCEA, estabelece as normas para o seu funcionamento e de sua Secretaria- Executiva, cria o Cadastro das Instituições de Uso Científico de Animais – CIUCA” (BRASIL, 2009).</w:t>
      </w:r>
      <w:r w:rsidRPr="00545FB7">
        <w:t xml:space="preserve"> As comissões de ética devem ser compostas por biólogos, médicos-veterinários, docentes e pesquisadores da área e um representante de sociedades protetoras de animais. Dentre outros, é dever da Ceua fazer cumprir, no âmbito de suas atribuições, o disposto n</w:t>
      </w:r>
      <w:r w:rsidR="00753F50" w:rsidRPr="00545FB7">
        <w:t xml:space="preserve">a Lei Auroca, </w:t>
      </w:r>
      <w:r w:rsidRPr="00545FB7">
        <w:t>e nas demais normas aplicáveis à utilização de animais para ensino e pesquisa</w:t>
      </w:r>
      <w:r w:rsidR="00984552" w:rsidRPr="00545FB7">
        <w:t>.</w:t>
      </w:r>
    </w:p>
    <w:p w14:paraId="21DEF4F2" w14:textId="4389A2C1" w:rsidR="00896D42" w:rsidRPr="00545FB7" w:rsidRDefault="00984552" w:rsidP="00984552">
      <w:pPr>
        <w:spacing w:line="360" w:lineRule="auto"/>
        <w:ind w:firstLine="708"/>
        <w:jc w:val="both"/>
      </w:pPr>
      <w:r w:rsidRPr="00545FB7">
        <w:t xml:space="preserve">Em muitas vezes as </w:t>
      </w:r>
      <w:r w:rsidR="00234D3E" w:rsidRPr="00545FB7">
        <w:t>Ceua e</w:t>
      </w:r>
      <w:r w:rsidRPr="00545FB7">
        <w:t>ncontram-se em</w:t>
      </w:r>
      <w:r w:rsidR="00234D3E" w:rsidRPr="00545FB7">
        <w:t xml:space="preserve"> </w:t>
      </w:r>
      <w:r w:rsidRPr="00545FB7">
        <w:t>situações</w:t>
      </w:r>
      <w:r w:rsidR="00234D3E" w:rsidRPr="00545FB7">
        <w:t xml:space="preserve"> de conflito</w:t>
      </w:r>
      <w:r w:rsidRPr="00545FB7">
        <w:t>s</w:t>
      </w:r>
      <w:r w:rsidR="00234D3E" w:rsidRPr="00545FB7">
        <w:t xml:space="preserve">, por se encontrarem sem instrumentos para intervir com base na perspectiva bioética, especialmente em questões que não foram claramente atendidas pela legislação. </w:t>
      </w:r>
      <w:r w:rsidRPr="00545FB7">
        <w:t xml:space="preserve">Estudo demonstra que </w:t>
      </w:r>
      <w:r w:rsidR="00234D3E" w:rsidRPr="00545FB7">
        <w:t xml:space="preserve">a bioética </w:t>
      </w:r>
      <w:r w:rsidRPr="00545FB7">
        <w:t>é considerada a</w:t>
      </w:r>
      <w:r w:rsidR="00234D3E" w:rsidRPr="00545FB7">
        <w:t xml:space="preserve"> norteadora d</w:t>
      </w:r>
      <w:r w:rsidRPr="00545FB7">
        <w:t>as</w:t>
      </w:r>
      <w:r w:rsidR="00234D3E" w:rsidRPr="00545FB7">
        <w:t xml:space="preserve"> deliberações</w:t>
      </w:r>
      <w:r w:rsidRPr="00545FB7">
        <w:t xml:space="preserve">. </w:t>
      </w:r>
      <w:r w:rsidR="00234D3E" w:rsidRPr="00545FB7">
        <w:t>Porém, a formação dos membros dos comitês ainda é incipiente nessa área, o que demanda, além de membros com formação em bioética, capacitação frequente de todos os envolvidos na experimentação animal</w:t>
      </w:r>
      <w:r w:rsidRPr="00545FB7">
        <w:t xml:space="preserve"> (JANKOSKI e FISCHER, 2019).</w:t>
      </w:r>
    </w:p>
    <w:p w14:paraId="0167A343" w14:textId="710767F2" w:rsidR="00896D42" w:rsidRPr="00545FB7" w:rsidRDefault="00896D42" w:rsidP="00896D42">
      <w:pPr>
        <w:spacing w:line="360" w:lineRule="auto"/>
        <w:ind w:firstLine="708"/>
        <w:jc w:val="both"/>
        <w:rPr>
          <w:color w:val="000000"/>
          <w:shd w:val="clear" w:color="auto" w:fill="FFFFFF"/>
        </w:rPr>
      </w:pPr>
      <w:r w:rsidRPr="00545FB7">
        <w:t xml:space="preserve">A formação de Comitês de Ética Animal vem sendo implantado no Brasil desde 1990, avaliando os procedimentos e estudos realizados com os animais (RODRIGUES, 2009). </w:t>
      </w:r>
      <w:r w:rsidRPr="00545FB7">
        <w:rPr>
          <w:color w:val="000000"/>
          <w:shd w:val="clear" w:color="auto" w:fill="FFFFFF"/>
        </w:rPr>
        <w:t xml:space="preserve">No entanto, nem todas as instituições de pesquisa que criaram comitê para uso de forma ética. </w:t>
      </w:r>
    </w:p>
    <w:p w14:paraId="4AA96512" w14:textId="77777777" w:rsidR="00896D42" w:rsidRPr="00545FB7" w:rsidRDefault="0006112A" w:rsidP="00896D42">
      <w:pPr>
        <w:spacing w:line="360" w:lineRule="auto"/>
        <w:ind w:firstLine="708"/>
        <w:jc w:val="both"/>
        <w:rPr>
          <w:b/>
        </w:rPr>
      </w:pPr>
      <w:r w:rsidRPr="00545FB7">
        <w:rPr>
          <w:b/>
          <w:noProof/>
        </w:rPr>
        <w:drawing>
          <wp:anchor distT="0" distB="0" distL="114300" distR="114300" simplePos="0" relativeHeight="251659264" behindDoc="0" locked="0" layoutInCell="1" allowOverlap="1" wp14:anchorId="1B480460" wp14:editId="34DC9152">
            <wp:simplePos x="0" y="0"/>
            <wp:positionH relativeFrom="column">
              <wp:posOffset>898525</wp:posOffset>
            </wp:positionH>
            <wp:positionV relativeFrom="paragraph">
              <wp:posOffset>-1905</wp:posOffset>
            </wp:positionV>
            <wp:extent cx="3656330" cy="2265045"/>
            <wp:effectExtent l="0" t="0" r="1270" b="190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6330"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74432" w14:textId="77777777" w:rsidR="00896D42" w:rsidRPr="00545FB7" w:rsidRDefault="00896D42" w:rsidP="00896D42">
      <w:pPr>
        <w:pStyle w:val="artigo"/>
        <w:spacing w:before="0" w:beforeAutospacing="0" w:after="0" w:afterAutospacing="0" w:line="360" w:lineRule="auto"/>
        <w:jc w:val="center"/>
        <w:rPr>
          <w:b/>
          <w:color w:val="000000"/>
        </w:rPr>
      </w:pPr>
    </w:p>
    <w:p w14:paraId="49201824" w14:textId="77777777" w:rsidR="0006112A" w:rsidRPr="00545FB7" w:rsidRDefault="0006112A" w:rsidP="00896D42">
      <w:pPr>
        <w:pStyle w:val="artigo"/>
        <w:spacing w:before="0" w:beforeAutospacing="0" w:after="0" w:afterAutospacing="0" w:line="360" w:lineRule="auto"/>
        <w:jc w:val="both"/>
        <w:rPr>
          <w:color w:val="000000"/>
        </w:rPr>
      </w:pPr>
    </w:p>
    <w:p w14:paraId="6F4AFF15" w14:textId="77777777" w:rsidR="0006112A" w:rsidRPr="00545FB7" w:rsidRDefault="0006112A" w:rsidP="00896D42">
      <w:pPr>
        <w:pStyle w:val="artigo"/>
        <w:spacing w:before="0" w:beforeAutospacing="0" w:after="0" w:afterAutospacing="0" w:line="360" w:lineRule="auto"/>
        <w:jc w:val="both"/>
        <w:rPr>
          <w:color w:val="000000"/>
        </w:rPr>
      </w:pPr>
    </w:p>
    <w:p w14:paraId="2B28B8F3" w14:textId="77777777" w:rsidR="0006112A" w:rsidRPr="00545FB7" w:rsidRDefault="0006112A" w:rsidP="00896D42">
      <w:pPr>
        <w:pStyle w:val="artigo"/>
        <w:spacing w:before="0" w:beforeAutospacing="0" w:after="0" w:afterAutospacing="0" w:line="360" w:lineRule="auto"/>
        <w:jc w:val="both"/>
        <w:rPr>
          <w:color w:val="000000"/>
        </w:rPr>
      </w:pPr>
    </w:p>
    <w:p w14:paraId="544C008B" w14:textId="77777777" w:rsidR="0006112A" w:rsidRPr="00545FB7" w:rsidRDefault="0006112A" w:rsidP="00896D42">
      <w:pPr>
        <w:pStyle w:val="artigo"/>
        <w:spacing w:before="0" w:beforeAutospacing="0" w:after="0" w:afterAutospacing="0" w:line="360" w:lineRule="auto"/>
        <w:jc w:val="both"/>
        <w:rPr>
          <w:color w:val="000000"/>
        </w:rPr>
      </w:pPr>
    </w:p>
    <w:p w14:paraId="02BDAC2B" w14:textId="77777777" w:rsidR="0006112A" w:rsidRPr="00545FB7" w:rsidRDefault="0006112A" w:rsidP="00896D42">
      <w:pPr>
        <w:pStyle w:val="artigo"/>
        <w:spacing w:before="0" w:beforeAutospacing="0" w:after="0" w:afterAutospacing="0" w:line="360" w:lineRule="auto"/>
        <w:jc w:val="both"/>
        <w:rPr>
          <w:color w:val="000000"/>
        </w:rPr>
      </w:pPr>
    </w:p>
    <w:p w14:paraId="41828EAA" w14:textId="77777777" w:rsidR="0006112A" w:rsidRPr="00545FB7" w:rsidRDefault="0006112A" w:rsidP="00896D42">
      <w:pPr>
        <w:pStyle w:val="artigo"/>
        <w:spacing w:before="0" w:beforeAutospacing="0" w:after="0" w:afterAutospacing="0" w:line="360" w:lineRule="auto"/>
        <w:jc w:val="both"/>
        <w:rPr>
          <w:color w:val="000000"/>
        </w:rPr>
      </w:pPr>
    </w:p>
    <w:p w14:paraId="48A7ED92" w14:textId="77777777" w:rsidR="0006112A" w:rsidRPr="00545FB7" w:rsidRDefault="0006112A" w:rsidP="00896D42">
      <w:pPr>
        <w:pStyle w:val="artigo"/>
        <w:spacing w:before="0" w:beforeAutospacing="0" w:after="0" w:afterAutospacing="0" w:line="360" w:lineRule="auto"/>
        <w:jc w:val="both"/>
        <w:rPr>
          <w:color w:val="000000"/>
        </w:rPr>
      </w:pPr>
    </w:p>
    <w:p w14:paraId="6D51D466" w14:textId="5FE6F239" w:rsidR="0006112A" w:rsidRPr="00940B82" w:rsidRDefault="00DC7FCE" w:rsidP="00896D42">
      <w:pPr>
        <w:pStyle w:val="artigo"/>
        <w:spacing w:before="0" w:beforeAutospacing="0" w:after="0" w:afterAutospacing="0" w:line="360" w:lineRule="auto"/>
        <w:jc w:val="both"/>
        <w:rPr>
          <w:color w:val="000000"/>
        </w:rPr>
      </w:pPr>
      <w:r>
        <w:rPr>
          <w:b/>
          <w:bCs/>
          <w:color w:val="000000"/>
          <w:sz w:val="22"/>
          <w:szCs w:val="22"/>
        </w:rPr>
        <w:t xml:space="preserve">                           </w:t>
      </w:r>
      <w:r w:rsidRPr="00940B82">
        <w:rPr>
          <w:b/>
          <w:bCs/>
          <w:color w:val="000000"/>
        </w:rPr>
        <w:t>Figura</w:t>
      </w:r>
      <w:r w:rsidR="00F3053D" w:rsidRPr="00940B82">
        <w:rPr>
          <w:b/>
          <w:bCs/>
          <w:color w:val="000000"/>
        </w:rPr>
        <w:t xml:space="preserve"> </w:t>
      </w:r>
      <w:r w:rsidRPr="00940B82">
        <w:rPr>
          <w:b/>
          <w:bCs/>
          <w:color w:val="000000"/>
        </w:rPr>
        <w:t>1</w:t>
      </w:r>
      <w:r w:rsidR="00F3053D" w:rsidRPr="00940B82">
        <w:rPr>
          <w:color w:val="000000"/>
        </w:rPr>
        <w:t xml:space="preserve"> -</w:t>
      </w:r>
      <w:r w:rsidRPr="00940B82">
        <w:rPr>
          <w:color w:val="000000"/>
        </w:rPr>
        <w:t xml:space="preserve"> Hierarquia para fiscalização na pesquisa com animais.</w:t>
      </w:r>
    </w:p>
    <w:p w14:paraId="774E4F80" w14:textId="77777777" w:rsidR="00BB0E43" w:rsidRPr="00545FB7" w:rsidRDefault="00BB0E43" w:rsidP="00896D42">
      <w:pPr>
        <w:pStyle w:val="artigo"/>
        <w:spacing w:before="0" w:beforeAutospacing="0" w:after="0" w:afterAutospacing="0" w:line="360" w:lineRule="auto"/>
        <w:jc w:val="both"/>
        <w:rPr>
          <w:color w:val="000000"/>
        </w:rPr>
      </w:pPr>
    </w:p>
    <w:p w14:paraId="124CEAD9" w14:textId="3D210CEA" w:rsidR="00896D42" w:rsidRPr="00545FB7" w:rsidRDefault="00896D42" w:rsidP="00896D42">
      <w:pPr>
        <w:pStyle w:val="artigo"/>
        <w:spacing w:before="0" w:beforeAutospacing="0" w:after="0" w:afterAutospacing="0" w:line="360" w:lineRule="auto"/>
        <w:jc w:val="both"/>
      </w:pPr>
      <w:r w:rsidRPr="00545FB7">
        <w:rPr>
          <w:color w:val="000000"/>
        </w:rPr>
        <w:tab/>
        <w:t xml:space="preserve">Outro </w:t>
      </w:r>
      <w:r w:rsidR="00647C4E" w:rsidRPr="00545FB7">
        <w:rPr>
          <w:color w:val="000000"/>
        </w:rPr>
        <w:t>capítulo</w:t>
      </w:r>
      <w:r w:rsidRPr="00545FB7">
        <w:rPr>
          <w:color w:val="000000"/>
        </w:rPr>
        <w:t xml:space="preserve"> fundamental na Lei de Auroca está relacionado à competência das CEUAs, até então, as Instituições de Ensinos Superiores formavam seus próprios comitês de acordo com suas necessidades. Com a implantação da Lei fica estabelecido que algumas regras necessárias. </w:t>
      </w:r>
      <w:r w:rsidRPr="00545FB7">
        <w:t xml:space="preserve">O compromisso principal das CEUAs é garantir o </w:t>
      </w:r>
      <w:r w:rsidR="00647C4E" w:rsidRPr="00545FB7">
        <w:t>bem-estar</w:t>
      </w:r>
      <w:r w:rsidRPr="00545FB7">
        <w:t xml:space="preserve"> e a ética dos animais utilizados nos experimentos e incentivar a adoção de métodos alternativos, sempre que possível.</w:t>
      </w:r>
    </w:p>
    <w:p w14:paraId="2BDA385C" w14:textId="77777777" w:rsidR="00DC3F7D" w:rsidRPr="00545FB7" w:rsidRDefault="00DC3F7D" w:rsidP="00DC3F7D">
      <w:pPr>
        <w:pStyle w:val="artigo"/>
        <w:spacing w:before="0" w:beforeAutospacing="0" w:after="0" w:afterAutospacing="0" w:line="360" w:lineRule="auto"/>
        <w:ind w:firstLine="708"/>
        <w:jc w:val="both"/>
      </w:pPr>
      <w:r w:rsidRPr="00545FB7">
        <w:t xml:space="preserve">Corrêa Neto e colaboradores (2017) relatam que CEUAs possuem uma relação estreita entre a sensibilização da comunidade. Apresentando melhora e maior frequência de descrições adequadas da previsão de dor e estresse nos protocolos e uso mais frequente de anestésicos e sedativos em procedimentos não cirúrgicos, ou seja, houve melhor refinamento dos procedimentos. </w:t>
      </w:r>
    </w:p>
    <w:p w14:paraId="6DB0FDBB" w14:textId="77777777" w:rsidR="00896D42" w:rsidRPr="00545FB7" w:rsidRDefault="00896D42" w:rsidP="00896D42">
      <w:pPr>
        <w:pStyle w:val="artigo"/>
        <w:spacing w:before="0" w:beforeAutospacing="0" w:after="0" w:afterAutospacing="0" w:line="360" w:lineRule="auto"/>
        <w:jc w:val="center"/>
        <w:rPr>
          <w:b/>
          <w:color w:val="000000"/>
        </w:rPr>
      </w:pPr>
    </w:p>
    <w:p w14:paraId="5D030F75" w14:textId="77777777" w:rsidR="00896D42" w:rsidRPr="00545FB7" w:rsidRDefault="00896D42" w:rsidP="00896D42">
      <w:pPr>
        <w:spacing w:line="360" w:lineRule="auto"/>
        <w:ind w:firstLine="708"/>
        <w:jc w:val="both"/>
        <w:rPr>
          <w:b/>
        </w:rPr>
      </w:pPr>
    </w:p>
    <w:p w14:paraId="5974DC76" w14:textId="77777777" w:rsidR="00896D42" w:rsidRPr="00545FB7" w:rsidRDefault="00896D42" w:rsidP="00896D42">
      <w:pPr>
        <w:spacing w:line="360" w:lineRule="auto"/>
        <w:ind w:firstLine="708"/>
        <w:jc w:val="both"/>
      </w:pPr>
      <w:r w:rsidRPr="00545FB7">
        <w:t>Todos os projetos que utilizem animais em uma instituição devem passar pela CEUA antes de ser iniciado, as CEUAs devem estabelecer critérios para a utilização dos animais, sempre priorizando pelos princípios dos 3 Rs, já mencionado neste capítulo. Os princípios éticos são fundamentais para o progresso contínuo de pesquisa que utilizam animais.</w:t>
      </w:r>
    </w:p>
    <w:p w14:paraId="733A765A" w14:textId="714DC26F" w:rsidR="00896D42" w:rsidRPr="00545FB7" w:rsidRDefault="00896D42" w:rsidP="00896D42">
      <w:pPr>
        <w:spacing w:line="360" w:lineRule="auto"/>
        <w:ind w:firstLine="708"/>
        <w:jc w:val="both"/>
      </w:pPr>
      <w:r w:rsidRPr="00545FB7">
        <w:t xml:space="preserve">Fica clara a importância do papel da CEUA em uma IES. Por ter um papel muito amplo, todos os membros que compõe a CEUA devem assumir respeito, </w:t>
      </w:r>
      <w:r w:rsidR="00647C4E" w:rsidRPr="00545FB7">
        <w:t>sobretudo</w:t>
      </w:r>
      <w:r w:rsidRPr="00545FB7">
        <w:t xml:space="preserve"> com os animais. As regras deverão ser entendidas por toda comunidade cientifica.</w:t>
      </w:r>
    </w:p>
    <w:p w14:paraId="5B39E440" w14:textId="77777777" w:rsidR="002179A9" w:rsidRPr="00545FB7" w:rsidRDefault="002179A9" w:rsidP="00FD448D">
      <w:pPr>
        <w:spacing w:line="360" w:lineRule="auto"/>
        <w:jc w:val="both"/>
        <w:rPr>
          <w:b/>
        </w:rPr>
      </w:pPr>
    </w:p>
    <w:p w14:paraId="44E7256F" w14:textId="39AD274F" w:rsidR="008320E6" w:rsidRPr="00DD2A75" w:rsidRDefault="008320E6" w:rsidP="00DD2A75">
      <w:pPr>
        <w:spacing w:line="360" w:lineRule="auto"/>
        <w:jc w:val="both"/>
        <w:rPr>
          <w:b/>
        </w:rPr>
      </w:pPr>
      <w:r w:rsidRPr="00545FB7">
        <w:rPr>
          <w:b/>
        </w:rPr>
        <w:t>Princípios dos 3 Rs</w:t>
      </w:r>
    </w:p>
    <w:p w14:paraId="7293FEB2" w14:textId="77777777" w:rsidR="008320E6" w:rsidRPr="00545FB7" w:rsidRDefault="008320E6" w:rsidP="000F5415">
      <w:pPr>
        <w:spacing w:line="360" w:lineRule="auto"/>
        <w:ind w:firstLine="708"/>
        <w:jc w:val="both"/>
      </w:pPr>
      <w:r w:rsidRPr="00545FB7">
        <w:t>A ideia dos "3</w:t>
      </w:r>
      <w:r w:rsidR="00E06DEB" w:rsidRPr="00545FB7">
        <w:t xml:space="preserve"> </w:t>
      </w:r>
      <w:r w:rsidRPr="00545FB7">
        <w:t>Rs", representa o impulso inicial na comunidade científi</w:t>
      </w:r>
      <w:r w:rsidR="00E06DEB" w:rsidRPr="00545FB7">
        <w:t>ca do conceito de alternativas na utilização de animais.</w:t>
      </w:r>
    </w:p>
    <w:p w14:paraId="329ED7AB" w14:textId="69400803" w:rsidR="00E06DEB" w:rsidRPr="00545FB7" w:rsidRDefault="00E06DEB" w:rsidP="000F5415">
      <w:pPr>
        <w:spacing w:line="360" w:lineRule="auto"/>
        <w:ind w:firstLine="708"/>
        <w:jc w:val="both"/>
      </w:pPr>
      <w:r w:rsidRPr="00545FB7">
        <w:t xml:space="preserve">Russell &amp; Burch dois cientistas ingleses, baseado nos seus estudos </w:t>
      </w:r>
      <w:r w:rsidR="00647C4E" w:rsidRPr="00545FB7">
        <w:t>nos conceitos filosóficos</w:t>
      </w:r>
      <w:r w:rsidRPr="00545FB7">
        <w:t>, sintetizam com três palavras o Princípio Humanitário da Experimentação Animal. Como a grafia das palavras possuem a letra R – Replacement, Reduction e Refinement, assim, ficou estabelecido os</w:t>
      </w:r>
      <w:r w:rsidR="00980AE9" w:rsidRPr="00545FB7">
        <w:t xml:space="preserve"> Princípio dos 3 Rs (BRAGA, 2009; ANDRADE, et al., 2002).</w:t>
      </w:r>
    </w:p>
    <w:p w14:paraId="12C48F45" w14:textId="09245435" w:rsidR="008320E6" w:rsidRPr="00545FB7" w:rsidRDefault="008320E6" w:rsidP="000F5415">
      <w:pPr>
        <w:spacing w:line="360" w:lineRule="auto"/>
        <w:ind w:firstLine="708"/>
        <w:jc w:val="both"/>
      </w:pPr>
      <w:r w:rsidRPr="00647C4E">
        <w:rPr>
          <w:b/>
          <w:i/>
          <w:iCs/>
        </w:rPr>
        <w:t xml:space="preserve">Replacement </w:t>
      </w:r>
      <w:r w:rsidRPr="00545FB7">
        <w:t>–</w:t>
      </w:r>
      <w:r w:rsidR="00E06DEB" w:rsidRPr="00545FB7">
        <w:t xml:space="preserve"> (reposição ou substituir)</w:t>
      </w:r>
      <w:r w:rsidRPr="00545FB7">
        <w:t xml:space="preserve"> baseia-se na menor utilização possível de animais, </w:t>
      </w:r>
      <w:r w:rsidR="00647C4E" w:rsidRPr="00545FB7">
        <w:t>substituindo-os</w:t>
      </w:r>
      <w:r w:rsidRPr="00545FB7">
        <w:t xml:space="preserve"> por o</w:t>
      </w:r>
      <w:r w:rsidR="0003636C" w:rsidRPr="00545FB7">
        <w:t>utras espécies com grau filogenético inferiores sempre que</w:t>
      </w:r>
      <w:r w:rsidRPr="00545FB7">
        <w:t xml:space="preserve"> possível. Incentiva a procura de métodos que substituam modelos animais</w:t>
      </w:r>
      <w:r w:rsidR="0003636C" w:rsidRPr="00545FB7">
        <w:t xml:space="preserve">, a exemplo disso, a procura de material sintético </w:t>
      </w:r>
      <w:r w:rsidR="00647C4E" w:rsidRPr="00545FB7">
        <w:t>para práticas cirúrgicas</w:t>
      </w:r>
      <w:r w:rsidRPr="00545FB7">
        <w:t>. O grande desafio da ciência é realizar o máximo de experimentos em modelos inanimados.</w:t>
      </w:r>
    </w:p>
    <w:p w14:paraId="19B8FCDF" w14:textId="77777777" w:rsidR="008320E6" w:rsidRPr="00545FB7" w:rsidRDefault="008320E6" w:rsidP="000F5415">
      <w:pPr>
        <w:spacing w:line="360" w:lineRule="auto"/>
        <w:ind w:firstLine="708"/>
        <w:jc w:val="both"/>
      </w:pPr>
      <w:r w:rsidRPr="00545FB7">
        <w:t>Dentre os métodos alternativos, pode-se exemplificar</w:t>
      </w:r>
      <w:r w:rsidR="0003636C" w:rsidRPr="00545FB7">
        <w:t xml:space="preserve"> também</w:t>
      </w:r>
      <w:r w:rsidRPr="00545FB7">
        <w:t xml:space="preserve"> o uso de pesquisas bibliográficas e metanálises a partir de dados existentes, análises físico-químicas, modelos matemáticos e desenvolvidos em computador, pesquisas in vitro a partir de culturas celulares ou teciduais.</w:t>
      </w:r>
    </w:p>
    <w:p w14:paraId="68C9B054" w14:textId="54737824" w:rsidR="008320E6" w:rsidRPr="00545FB7" w:rsidRDefault="008320E6" w:rsidP="000F5415">
      <w:pPr>
        <w:spacing w:line="360" w:lineRule="auto"/>
        <w:ind w:firstLine="708"/>
        <w:jc w:val="both"/>
      </w:pPr>
      <w:r w:rsidRPr="00545FB7">
        <w:t xml:space="preserve">A substituição pode ser classificada em direta (quando os testes in vitro substituem o uso de animais) ou em indireta (quando há utilização de animais filogeneticamente inferiores ou invertebrados). A classificação do tipo de substituição ainda se enquadra em total (quando os modelos animais deixam de ser utilizados) ou parcial (quando os modelos animais são indispensáveis à pesquisa para que os resultados sejam fidedignos e haja aplicação segura nos seres humanos). </w:t>
      </w:r>
    </w:p>
    <w:p w14:paraId="1C7E84FF" w14:textId="77777777" w:rsidR="008320E6" w:rsidRPr="00545FB7" w:rsidRDefault="008320E6" w:rsidP="000F5415">
      <w:pPr>
        <w:spacing w:line="360" w:lineRule="auto"/>
        <w:ind w:firstLine="708"/>
        <w:jc w:val="both"/>
      </w:pPr>
      <w:r w:rsidRPr="00545FB7">
        <w:tab/>
      </w:r>
      <w:r w:rsidRPr="00647C4E">
        <w:rPr>
          <w:b/>
          <w:i/>
          <w:iCs/>
        </w:rPr>
        <w:t>Reduction</w:t>
      </w:r>
      <w:r w:rsidRPr="00545FB7">
        <w:t xml:space="preserve"> – </w:t>
      </w:r>
      <w:r w:rsidR="00E06DEB" w:rsidRPr="00545FB7">
        <w:t xml:space="preserve">(redução) </w:t>
      </w:r>
      <w:r w:rsidRPr="00545FB7">
        <w:t>refere que a quantidade absoluta de animais deve ser pequena. É necessário que haja um planejamento da pesquisa para determinar a quantidade de animais utilizada juntamente a estudo prévio no banco de dados e de estatísticas para certificar-se de que a quantidade utilizada no estudo é suficiente para produzir resultados significativos e aplicáveis.</w:t>
      </w:r>
    </w:p>
    <w:p w14:paraId="3CC0F57E" w14:textId="4955CD55" w:rsidR="008320E6" w:rsidRPr="00545FB7" w:rsidRDefault="008320E6" w:rsidP="000F5415">
      <w:pPr>
        <w:spacing w:line="360" w:lineRule="auto"/>
        <w:ind w:firstLine="708"/>
        <w:jc w:val="both"/>
      </w:pPr>
      <w:r w:rsidRPr="00545FB7">
        <w:t>A redução pode ser estabelecida a partir de um projeto-piloto (a fim de avaliar a viabilidade do estudo), da reutilização de modelos animais (quando há integridade tecidual e grau de intervenção do primeiro estudo não comprometa os resultados do segundo estudo), da comparação estatística (para d</w:t>
      </w:r>
      <w:r w:rsidR="00980AE9" w:rsidRPr="00545FB7">
        <w:t xml:space="preserve">efinição </w:t>
      </w:r>
      <w:r w:rsidR="00647C4E" w:rsidRPr="00545FB7">
        <w:t>dos métodos</w:t>
      </w:r>
      <w:r w:rsidR="00980AE9" w:rsidRPr="00545FB7">
        <w:t>).</w:t>
      </w:r>
    </w:p>
    <w:p w14:paraId="5196A7DB" w14:textId="77777777" w:rsidR="008320E6" w:rsidRPr="00545FB7" w:rsidRDefault="008320E6" w:rsidP="000F5415">
      <w:pPr>
        <w:spacing w:line="360" w:lineRule="auto"/>
        <w:ind w:firstLine="708"/>
        <w:jc w:val="both"/>
      </w:pPr>
      <w:r w:rsidRPr="00545FB7">
        <w:tab/>
      </w:r>
      <w:r w:rsidRPr="00647C4E">
        <w:rPr>
          <w:b/>
          <w:i/>
          <w:iCs/>
        </w:rPr>
        <w:t>Refinement</w:t>
      </w:r>
      <w:r w:rsidRPr="00647C4E">
        <w:rPr>
          <w:i/>
          <w:iCs/>
        </w:rPr>
        <w:t xml:space="preserve"> </w:t>
      </w:r>
      <w:r w:rsidRPr="00545FB7">
        <w:t>–</w:t>
      </w:r>
      <w:r w:rsidR="00E06DEB" w:rsidRPr="00545FB7">
        <w:t xml:space="preserve"> (refinamento) </w:t>
      </w:r>
      <w:r w:rsidRPr="00545FB7">
        <w:t>entende-se por refinamento o conjunto de alterações necessárias para que a pesquisa seja desenvolvida de modo a cursar com menos estresse, dor, ansiedade ao animal. A presença de um médico veterinário permite a avaliação constante dos parâmetros fisiológicos bem como a atenuação da dor a partir de anestésicos, quando necessário. É importante que haja treinamento dos profissionais envolvidos para o manejo adequado do anim</w:t>
      </w:r>
      <w:r w:rsidR="00980AE9" w:rsidRPr="00545FB7">
        <w:t>al e da higienização dos ninhos (BRAGA, 2009).</w:t>
      </w:r>
      <w:r w:rsidRPr="00545FB7">
        <w:t xml:space="preserve"> </w:t>
      </w:r>
    </w:p>
    <w:p w14:paraId="1BB26888" w14:textId="20886A9B" w:rsidR="008320E6" w:rsidRPr="00545FB7" w:rsidRDefault="00980AE9" w:rsidP="000F5415">
      <w:pPr>
        <w:spacing w:line="360" w:lineRule="auto"/>
        <w:ind w:firstLine="708"/>
        <w:jc w:val="both"/>
      </w:pPr>
      <w:r w:rsidRPr="00545FB7">
        <w:t>A utilização dos 3 Rs se torna um</w:t>
      </w:r>
      <w:r w:rsidR="00382A7F" w:rsidRPr="00545FB7">
        <w:t xml:space="preserve"> grande desafio. P</w:t>
      </w:r>
      <w:r w:rsidRPr="00545FB7">
        <w:t xml:space="preserve">ara ter ética com os animais é </w:t>
      </w:r>
      <w:r w:rsidR="00382A7F" w:rsidRPr="00545FB7">
        <w:t>preciso</w:t>
      </w:r>
      <w:r w:rsidRPr="00545FB7">
        <w:t xml:space="preserve"> t</w:t>
      </w:r>
      <w:r w:rsidR="00382A7F" w:rsidRPr="00545FB7">
        <w:t xml:space="preserve">er profundo conhecimento sobre o que se estar estudando e quais </w:t>
      </w:r>
      <w:r w:rsidR="00647C4E" w:rsidRPr="00545FB7">
        <w:t>objetivos pretendem</w:t>
      </w:r>
      <w:r w:rsidR="00382A7F" w:rsidRPr="00545FB7">
        <w:t xml:space="preserve"> ser alcançado, de nada adianta reduzir o </w:t>
      </w:r>
      <w:r w:rsidR="00647C4E" w:rsidRPr="00545FB7">
        <w:t>número</w:t>
      </w:r>
      <w:r w:rsidR="00382A7F" w:rsidRPr="00545FB7">
        <w:t xml:space="preserve"> de animais se a significância da pesquisa não for atendida. Sabemos que utilização de animais em aulas e pesquisas está longe de chegar a um consenso, </w:t>
      </w:r>
      <w:r w:rsidR="00647C4E" w:rsidRPr="00545FB7">
        <w:t>porém</w:t>
      </w:r>
      <w:r w:rsidR="00382A7F" w:rsidRPr="00545FB7">
        <w:t>, é necessário que busquemos práticas aceitáveis do ponto de vista ético e que culmine em resultados validos (JUNIOR, S. et al., 2014).</w:t>
      </w:r>
    </w:p>
    <w:p w14:paraId="2660F96E" w14:textId="77777777" w:rsidR="005629B7" w:rsidRPr="00545FB7" w:rsidRDefault="005629B7" w:rsidP="000F5415">
      <w:pPr>
        <w:spacing w:line="360" w:lineRule="auto"/>
        <w:ind w:firstLine="708"/>
        <w:jc w:val="both"/>
      </w:pPr>
    </w:p>
    <w:p w14:paraId="714DCA7F" w14:textId="02AEDDE2" w:rsidR="005629B7" w:rsidRPr="00FD448D" w:rsidRDefault="00293B27" w:rsidP="00FD448D">
      <w:pPr>
        <w:spacing w:line="360" w:lineRule="auto"/>
        <w:jc w:val="both"/>
        <w:rPr>
          <w:b/>
          <w:bCs/>
        </w:rPr>
      </w:pPr>
      <w:r w:rsidRPr="00FD448D">
        <w:rPr>
          <w:b/>
          <w:bCs/>
        </w:rPr>
        <w:t>Bem-</w:t>
      </w:r>
      <w:r w:rsidR="005629B7" w:rsidRPr="00FD448D">
        <w:rPr>
          <w:b/>
          <w:bCs/>
        </w:rPr>
        <w:t xml:space="preserve">Estar </w:t>
      </w:r>
      <w:r w:rsidR="00FD448D">
        <w:rPr>
          <w:b/>
          <w:bCs/>
        </w:rPr>
        <w:t>a</w:t>
      </w:r>
      <w:r w:rsidR="005629B7" w:rsidRPr="00FD448D">
        <w:rPr>
          <w:b/>
          <w:bCs/>
        </w:rPr>
        <w:t>nimal</w:t>
      </w:r>
      <w:r w:rsidR="00FD448D">
        <w:rPr>
          <w:b/>
          <w:bCs/>
        </w:rPr>
        <w:t xml:space="preserve"> na pesquisa pré-clínica</w:t>
      </w:r>
    </w:p>
    <w:p w14:paraId="517B796B" w14:textId="16244ECC" w:rsidR="006714A5" w:rsidRPr="00545FB7" w:rsidRDefault="00984552" w:rsidP="00FD448D">
      <w:pPr>
        <w:shd w:val="clear" w:color="auto" w:fill="FFFFFF"/>
        <w:spacing w:line="360" w:lineRule="auto"/>
        <w:ind w:firstLine="708"/>
        <w:jc w:val="both"/>
        <w:textAlignment w:val="baseline"/>
      </w:pPr>
      <w:r w:rsidRPr="00545FB7">
        <w:t>Em qualquer pesquisa</w:t>
      </w:r>
      <w:r w:rsidR="00545FB7" w:rsidRPr="00545FB7">
        <w:t xml:space="preserve"> (aguda ou crônica) </w:t>
      </w:r>
      <w:r w:rsidRPr="00545FB7">
        <w:t xml:space="preserve">que utilizem animais para o conhecimento cientifico, deve-se priorizar o bem-estar animal. </w:t>
      </w:r>
      <w:r w:rsidR="00293B27" w:rsidRPr="00545FB7">
        <w:t>Os sistemas de alojamento dos animais em biotérios têm sido muitas vezes concebidos com base em considerações de ordem econômica, tais como equipamentos, espaço, alimentação e higiene, muitas vezes com pouca ou nenhuma consideração pelo bem-estar dos animais. Limita-se a busca por Refinamento Ambiental, onde pode ser definido como qualquer</w:t>
      </w:r>
      <w:r w:rsidR="006714A5" w:rsidRPr="00545FB7">
        <w:t xml:space="preserve"> tipo de</w:t>
      </w:r>
      <w:r w:rsidR="00293B27" w:rsidRPr="00545FB7">
        <w:t xml:space="preserve"> alteração no ambie</w:t>
      </w:r>
      <w:r w:rsidR="006714A5" w:rsidRPr="00545FB7">
        <w:t>nte de animais em cativeiro,</w:t>
      </w:r>
      <w:r w:rsidR="00293B27" w:rsidRPr="00545FB7">
        <w:t xml:space="preserve"> visa</w:t>
      </w:r>
      <w:r w:rsidR="006714A5" w:rsidRPr="00545FB7">
        <w:t>ndo</w:t>
      </w:r>
      <w:r w:rsidR="00293B27" w:rsidRPr="00545FB7">
        <w:t xml:space="preserve"> melhorar o bem-estar fí</w:t>
      </w:r>
      <w:r w:rsidR="006714A5" w:rsidRPr="00545FB7">
        <w:t>sico e psicológico dos animais de acordo com cada espécie (BAUMANS &amp; VAN LOO, 2013).</w:t>
      </w:r>
    </w:p>
    <w:p w14:paraId="08EDD88A" w14:textId="77777777" w:rsidR="00D31BF0" w:rsidRPr="00545FB7" w:rsidRDefault="00053FB8" w:rsidP="00D31BF0">
      <w:pPr>
        <w:shd w:val="clear" w:color="auto" w:fill="FFFFFF"/>
        <w:spacing w:line="360" w:lineRule="auto"/>
        <w:ind w:firstLine="708"/>
        <w:jc w:val="both"/>
        <w:textAlignment w:val="baseline"/>
      </w:pPr>
      <w:r w:rsidRPr="00545FB7">
        <w:t>É importante avaliar o requinte do ambiente em termos de benefício para o animal, através da avaliação do uso e preferência por algum enriquecimento, o efeito sobre os comportamentos típicos das espécies em parâmetros fisiológicos, já que esses aspectos diferenciam de acordo com cada espécie. Trabalho em equipe entre os cientistas, funcionários que lidam diariamente com os animais, veterinários e comitês de ética em animais, são essenciais para o sucesso da pesquisa levando ao bem-estar (BAUMANS &amp; VAN LOO, 2013).</w:t>
      </w:r>
    </w:p>
    <w:p w14:paraId="2798D15E" w14:textId="77777777" w:rsidR="00926FE7" w:rsidRPr="00545FB7" w:rsidRDefault="00926FE7" w:rsidP="000F5415">
      <w:pPr>
        <w:shd w:val="clear" w:color="auto" w:fill="FFFFFF"/>
        <w:spacing w:line="360" w:lineRule="auto"/>
        <w:ind w:firstLine="708"/>
        <w:jc w:val="both"/>
        <w:textAlignment w:val="baseline"/>
      </w:pPr>
      <w:r w:rsidRPr="00545FB7">
        <w:t xml:space="preserve">Broom &amp; Molento (2004) </w:t>
      </w:r>
      <w:r w:rsidR="00D31BF0" w:rsidRPr="00545FB7">
        <w:t xml:space="preserve">relata que bem-estar deve ser definido de maneira que permita relação com outros conceitos, tais como: necessidades, liberdades, felicidade, adaptação, controle, capacidade de previsão, sentimentos, sofrimento, dor, ansiedade, medo, tédio, estresse e saúde. Esse termo pode ser utilizado às pessoas e aos animais. </w:t>
      </w:r>
    </w:p>
    <w:p w14:paraId="2CA4D592" w14:textId="21B2BCE3" w:rsidR="00293B27" w:rsidRPr="00545FB7" w:rsidRDefault="00D31BF0" w:rsidP="000F5415">
      <w:pPr>
        <w:spacing w:line="360" w:lineRule="auto"/>
        <w:ind w:firstLine="708"/>
        <w:jc w:val="both"/>
      </w:pPr>
      <w:r w:rsidRPr="00545FB7">
        <w:t xml:space="preserve">Bem-estar animal pode ser </w:t>
      </w:r>
      <w:r w:rsidR="0010174A" w:rsidRPr="00545FB7">
        <w:t xml:space="preserve">influenciado por valores </w:t>
      </w:r>
      <w:r w:rsidRPr="00545FB7">
        <w:t>intrínseco (fatores fisiológicos) e extrínseco</w:t>
      </w:r>
      <w:r w:rsidR="0010174A" w:rsidRPr="00545FB7">
        <w:t xml:space="preserve"> (fatores ambientais). </w:t>
      </w:r>
      <w:r w:rsidR="00053FB8" w:rsidRPr="00545FB7">
        <w:t>Com base</w:t>
      </w:r>
      <w:r w:rsidR="006714A5" w:rsidRPr="00545FB7">
        <w:t xml:space="preserve"> nos princípios éticos para o bem-estar animal é visto alguns </w:t>
      </w:r>
      <w:r w:rsidR="0010174A" w:rsidRPr="00545FB7">
        <w:t xml:space="preserve">fatores </w:t>
      </w:r>
      <w:r w:rsidR="00053FB8" w:rsidRPr="00545FB7">
        <w:t xml:space="preserve">que influenciam o comportamento dos </w:t>
      </w:r>
      <w:r w:rsidR="00293B27" w:rsidRPr="00545FB7">
        <w:t>animais em cativeiro com referência específica às necessidades das espé</w:t>
      </w:r>
      <w:r w:rsidR="002D6B88" w:rsidRPr="00545FB7">
        <w:t>cies mais comuns:</w:t>
      </w:r>
    </w:p>
    <w:p w14:paraId="4AA21463" w14:textId="77777777" w:rsidR="00073A47" w:rsidRPr="00545FB7" w:rsidRDefault="00073A47" w:rsidP="000F5415">
      <w:pPr>
        <w:spacing w:line="360" w:lineRule="auto"/>
        <w:ind w:firstLine="708"/>
        <w:jc w:val="both"/>
        <w:rPr>
          <w:b/>
        </w:rPr>
      </w:pPr>
    </w:p>
    <w:p w14:paraId="46F4E558" w14:textId="14E99996" w:rsidR="0010174A" w:rsidRPr="00545FB7" w:rsidRDefault="0010174A" w:rsidP="000F5415">
      <w:pPr>
        <w:spacing w:line="360" w:lineRule="auto"/>
        <w:ind w:firstLine="708"/>
        <w:jc w:val="both"/>
      </w:pPr>
      <w:r w:rsidRPr="00545FB7">
        <w:rPr>
          <w:b/>
        </w:rPr>
        <w:t>Temperatura e Umidade</w:t>
      </w:r>
      <w:r w:rsidRPr="00545FB7">
        <w:t xml:space="preserve"> – </w:t>
      </w:r>
      <w:r w:rsidR="008D6BB1" w:rsidRPr="00545FB7">
        <w:t>Os ratos e camundongos não desenvolvem</w:t>
      </w:r>
      <w:r w:rsidRPr="00545FB7">
        <w:t xml:space="preserve"> </w:t>
      </w:r>
      <w:r w:rsidR="008D6BB1" w:rsidRPr="00545FB7">
        <w:t>mecanismos termorreguladores antes da 3-4 semanas. Tendem a ficarem inquietos em altas temperaturas, uma vez que não suam. Alterações na temperatura adequada podem levar a reações diversas como aumento da atividade cardíaca, refletindo nos resultados das pesquisas.</w:t>
      </w:r>
      <w:r w:rsidR="00245E54" w:rsidRPr="00545FB7">
        <w:t xml:space="preserve">  A temperatura ambiental para roedores é de 22°C ± 2°C, para coelhos 18°C ± 2°C e para suínos adultos 16°C ± 2 °C. O fator umidade também tem importância quanto à manutenção da termorregulação e transmissão de doenças. O excesso de umidade pode levar ao acúmulo de NH</w:t>
      </w:r>
      <w:r w:rsidR="00245E54" w:rsidRPr="00545FB7">
        <w:rPr>
          <w:vertAlign w:val="subscript"/>
        </w:rPr>
        <w:t>3</w:t>
      </w:r>
      <w:r w:rsidR="00245E54" w:rsidRPr="00545FB7">
        <w:t xml:space="preserve"> que proporciona o surgimento de doenças respiratórias e a falta de umidade l</w:t>
      </w:r>
      <w:r w:rsidR="00CC2899" w:rsidRPr="00545FB7">
        <w:t xml:space="preserve">eva ao ressecamento das mucosas. Umidade relativa ideal para </w:t>
      </w:r>
      <w:r w:rsidR="00647C4E" w:rsidRPr="00545FB7">
        <w:t>pequenos roedores</w:t>
      </w:r>
      <w:r w:rsidR="00CC2899" w:rsidRPr="00545FB7">
        <w:t xml:space="preserve"> está entre</w:t>
      </w:r>
      <w:r w:rsidR="00245E54" w:rsidRPr="00545FB7">
        <w:t xml:space="preserve"> 40-60% (LAPCHIK et al., 2009</w:t>
      </w:r>
      <w:r w:rsidR="00CC2899" w:rsidRPr="00545FB7">
        <w:t>; OLIVEIRA, et al., 2011</w:t>
      </w:r>
      <w:r w:rsidR="00245E54" w:rsidRPr="00545FB7">
        <w:t>).</w:t>
      </w:r>
    </w:p>
    <w:p w14:paraId="3E571B14" w14:textId="01F278E9" w:rsidR="00227794" w:rsidRPr="00545FB7" w:rsidRDefault="00972C18" w:rsidP="00545FB7">
      <w:pPr>
        <w:spacing w:line="360" w:lineRule="auto"/>
        <w:ind w:firstLine="708"/>
        <w:jc w:val="both"/>
      </w:pPr>
      <w:r w:rsidRPr="00545FB7">
        <w:rPr>
          <w:b/>
        </w:rPr>
        <w:t xml:space="preserve">Alimentação </w:t>
      </w:r>
      <w:r w:rsidRPr="00545FB7">
        <w:t>–</w:t>
      </w:r>
      <w:r w:rsidR="00545FB7" w:rsidRPr="00545FB7">
        <w:t xml:space="preserve"> a ração comercial para ratos e camundongos é composta basicamente por farelo de soja, milho moído, dextrina, casca de arroz, farelo de trigo, farelo de arroz, óleo de soja, farinha de carne e ossos, farinha de peixe e minerais,</w:t>
      </w:r>
      <w:r w:rsidRPr="00545FB7">
        <w:t xml:space="preserve"> a </w:t>
      </w:r>
      <w:r w:rsidR="00C8072F" w:rsidRPr="00545FB7">
        <w:t>restrição</w:t>
      </w:r>
      <w:r w:rsidRPr="00545FB7">
        <w:t xml:space="preserve"> alimen</w:t>
      </w:r>
      <w:r w:rsidR="00A420C9" w:rsidRPr="00545FB7">
        <w:t>tar ou</w:t>
      </w:r>
      <w:r w:rsidR="00C8072F" w:rsidRPr="00545FB7">
        <w:t xml:space="preserve"> uma</w:t>
      </w:r>
      <w:r w:rsidR="00A420C9" w:rsidRPr="00545FB7">
        <w:t xml:space="preserve"> </w:t>
      </w:r>
      <w:r w:rsidRPr="00545FB7">
        <w:t>dieta desbalanceada tende a ser um fator de grande importância no experimento</w:t>
      </w:r>
      <w:r w:rsidR="00545FB7" w:rsidRPr="00545FB7">
        <w:t xml:space="preserve"> pré-clínicos</w:t>
      </w:r>
      <w:r w:rsidRPr="00545FB7">
        <w:t>, é permitido uma restrição nutricional quando se que</w:t>
      </w:r>
      <w:r w:rsidR="00A420C9" w:rsidRPr="00545FB7">
        <w:t>r</w:t>
      </w:r>
      <w:r w:rsidRPr="00545FB7">
        <w:t xml:space="preserve"> pesquisar um determinado fator correspondente. </w:t>
      </w:r>
      <w:r w:rsidR="00A420C9" w:rsidRPr="00545FB7">
        <w:t>No entanto</w:t>
      </w:r>
      <w:r w:rsidRPr="00545FB7">
        <w:t xml:space="preserve"> a dieta deve ser balanceada e padronizada</w:t>
      </w:r>
      <w:r w:rsidR="00A420C9" w:rsidRPr="00545FB7">
        <w:t xml:space="preserve"> de acordo com a espécie animal, ser isenta de pesticidas e insetos, com quantidade a</w:t>
      </w:r>
      <w:r w:rsidRPr="00545FB7">
        <w:t xml:space="preserve"> ser fornecida ad libitum</w:t>
      </w:r>
      <w:r w:rsidR="00A420C9" w:rsidRPr="00545FB7">
        <w:t xml:space="preserve"> (livre)</w:t>
      </w:r>
      <w:r w:rsidRPr="00545FB7">
        <w:t xml:space="preserve">. </w:t>
      </w:r>
      <w:r w:rsidR="00545FB7" w:rsidRPr="00545FB7">
        <w:t>Ração</w:t>
      </w:r>
      <w:r w:rsidR="00A420C9" w:rsidRPr="00545FB7">
        <w:t xml:space="preserve"> mantidas em ambientes com muita umidade e pouca ventilação tende a perder </w:t>
      </w:r>
      <w:r w:rsidR="0096461D" w:rsidRPr="00545FB7">
        <w:t>seus nutrientes essenciais</w:t>
      </w:r>
      <w:r w:rsidR="00A420C9" w:rsidRPr="00545FB7">
        <w:t xml:space="preserve"> e adquirir </w:t>
      </w:r>
      <w:r w:rsidR="0096461D" w:rsidRPr="00545FB7">
        <w:t>microrganismos</w:t>
      </w:r>
      <w:r w:rsidR="00A420C9" w:rsidRPr="00545FB7">
        <w:t xml:space="preserve"> indesejáveis</w:t>
      </w:r>
      <w:r w:rsidR="00C8072F" w:rsidRPr="00545FB7">
        <w:t xml:space="preserve"> (</w:t>
      </w:r>
      <w:r w:rsidR="00A420C9" w:rsidRPr="00545FB7">
        <w:t>ANDRADE, 2002).</w:t>
      </w:r>
    </w:p>
    <w:p w14:paraId="258FD9B5" w14:textId="1D09A91D" w:rsidR="00C8072F" w:rsidRPr="00545FB7" w:rsidRDefault="008E6BF3" w:rsidP="000F5415">
      <w:pPr>
        <w:spacing w:line="360" w:lineRule="auto"/>
        <w:ind w:firstLine="708"/>
        <w:jc w:val="both"/>
      </w:pPr>
      <w:r w:rsidRPr="00545FB7">
        <w:rPr>
          <w:b/>
        </w:rPr>
        <w:t>Ruídos</w:t>
      </w:r>
      <w:r w:rsidR="00C8072F" w:rsidRPr="00545FB7">
        <w:rPr>
          <w:b/>
        </w:rPr>
        <w:t xml:space="preserve"> </w:t>
      </w:r>
      <w:r w:rsidR="004D2E6A" w:rsidRPr="00545FB7">
        <w:t>– Camundongos e</w:t>
      </w:r>
      <w:r w:rsidR="00C8072F" w:rsidRPr="00545FB7">
        <w:t xml:space="preserve"> ratos podem detectar barulhos com uma frequência bem maior que a sensibilidade humana, exercendo efeitos negativos na criação, produção e manutenção de animais de laboratório. Determinados barulhos geram </w:t>
      </w:r>
      <w:r w:rsidR="0096461D" w:rsidRPr="00545FB7">
        <w:t>ultrassom</w:t>
      </w:r>
      <w:r w:rsidR="00C8072F" w:rsidRPr="00545FB7">
        <w:t>, muitas vezes inaudíveis para a espécie humana, entretanto captados pelos roedores. Gaiolas com quantidades elevada de animais também gera aumento de sons naquele ambiente o que torna um local estressante para os animais</w:t>
      </w:r>
      <w:r w:rsidRPr="00545FB7">
        <w:t xml:space="preserve">. Manipuladores de animais devem sempre ter cuidado com sons </w:t>
      </w:r>
      <w:r w:rsidR="00432D28" w:rsidRPr="00545FB7">
        <w:t>nas salas</w:t>
      </w:r>
      <w:r w:rsidRPr="00545FB7">
        <w:t xml:space="preserve"> dos animais, pois </w:t>
      </w:r>
      <w:r w:rsidR="00432D28" w:rsidRPr="00545FB7">
        <w:t>carrinhos</w:t>
      </w:r>
      <w:r w:rsidRPr="00545FB7">
        <w:t>, água corrente, ranger de rodas e portas, ar-condicionado e exaustor pode gerar sons irritantes para os animais</w:t>
      </w:r>
      <w:r w:rsidR="00C8072F" w:rsidRPr="00545FB7">
        <w:t xml:space="preserve"> (ANDRADE, 2002; RIVEIRA, 2009).</w:t>
      </w:r>
    </w:p>
    <w:p w14:paraId="1A9FC228" w14:textId="0982DF87" w:rsidR="00802060" w:rsidRPr="00545FB7" w:rsidRDefault="008E6BF3" w:rsidP="000F5415">
      <w:pPr>
        <w:spacing w:line="360" w:lineRule="auto"/>
        <w:ind w:firstLine="708"/>
        <w:jc w:val="both"/>
      </w:pPr>
      <w:r w:rsidRPr="00545FB7">
        <w:rPr>
          <w:b/>
        </w:rPr>
        <w:t>Luz</w:t>
      </w:r>
      <w:r w:rsidRPr="00545FB7">
        <w:t xml:space="preserve"> – Animais como ratos e camundongos que tem </w:t>
      </w:r>
      <w:r w:rsidR="00432D28" w:rsidRPr="00545FB7">
        <w:t>hábitos noturnos</w:t>
      </w:r>
      <w:r w:rsidRPr="00545FB7">
        <w:t xml:space="preserve"> são sensíveis a luz de alta intensidade. A luminosidade excessiva afeta o comportamento e principalmente a atividade reprodutora. Ratos albinos podem ter suas retinas danificadas e ficarem cegos quando submetidos a uma luminosidade muito intensa.</w:t>
      </w:r>
      <w:r w:rsidR="00C251F1" w:rsidRPr="00545FB7">
        <w:t xml:space="preserve"> Os roedores possuem boa visão, mas por terem </w:t>
      </w:r>
      <w:r w:rsidR="00432D28" w:rsidRPr="00545FB7">
        <w:t>hábitos noturnos</w:t>
      </w:r>
      <w:r w:rsidR="00C251F1" w:rsidRPr="00545FB7">
        <w:t xml:space="preserve"> evitam locais com alta luminosidade. Os pequenos roedores</w:t>
      </w:r>
      <w:r w:rsidR="00432D28" w:rsidRPr="00545FB7">
        <w:t xml:space="preserve"> devem</w:t>
      </w:r>
      <w:r w:rsidR="00C251F1" w:rsidRPr="00545FB7">
        <w:t xml:space="preserve"> obedecer a um ciclo de iluminação adequada com 12 horas de escuridão e 12 horas de luminosidade. A luminosidade deve propiciar uma boa visibilidade sem prejudica a visão (média de 200 Lux), adequada para uma boa reprodução e assegura um comportamento normal (ANDRADE, 2002; OLIVEIRA et al., 2011).</w:t>
      </w:r>
    </w:p>
    <w:p w14:paraId="481C913B" w14:textId="7F5E1ADE" w:rsidR="006A604B" w:rsidRDefault="00802060" w:rsidP="00545FB7">
      <w:pPr>
        <w:spacing w:line="360" w:lineRule="auto"/>
        <w:ind w:firstLine="851"/>
        <w:jc w:val="both"/>
      </w:pPr>
      <w:r w:rsidRPr="00545FB7">
        <w:rPr>
          <w:rFonts w:eastAsia="Calibri"/>
          <w:b/>
          <w:bCs/>
        </w:rPr>
        <w:t xml:space="preserve">Gaiolas </w:t>
      </w:r>
      <w:r w:rsidRPr="00545FB7">
        <w:rPr>
          <w:rFonts w:eastAsia="Calibri"/>
          <w:bCs/>
        </w:rPr>
        <w:t>–</w:t>
      </w:r>
      <w:r w:rsidR="00073A47" w:rsidRPr="00545FB7">
        <w:rPr>
          <w:rFonts w:eastAsia="Calibri"/>
          <w:bCs/>
        </w:rPr>
        <w:t xml:space="preserve"> O espaço </w:t>
      </w:r>
      <w:r w:rsidR="00A1209C" w:rsidRPr="00545FB7">
        <w:rPr>
          <w:rFonts w:eastAsia="Calibri"/>
          <w:bCs/>
        </w:rPr>
        <w:t>nas gaiolas</w:t>
      </w:r>
      <w:r w:rsidR="00073A47" w:rsidRPr="00545FB7">
        <w:rPr>
          <w:rFonts w:eastAsia="Calibri"/>
          <w:bCs/>
        </w:rPr>
        <w:t xml:space="preserve"> não deve</w:t>
      </w:r>
      <w:r w:rsidR="00A1209C" w:rsidRPr="00545FB7">
        <w:rPr>
          <w:rFonts w:eastAsia="Calibri"/>
          <w:bCs/>
        </w:rPr>
        <w:t xml:space="preserve"> </w:t>
      </w:r>
      <w:r w:rsidRPr="00545FB7">
        <w:rPr>
          <w:rFonts w:eastAsia="Calibri"/>
          <w:bCs/>
        </w:rPr>
        <w:t xml:space="preserve">limitá-los de efetuar movimentos e posturas típicas de cada espécie.  A troca excessiva de gaiola gera estresse e leva a produção de hormônios desencadeadores do estresse. A maravalha utilizada como forração para as gaiolas não deve </w:t>
      </w:r>
      <w:r w:rsidR="00073A47" w:rsidRPr="00545FB7">
        <w:rPr>
          <w:rFonts w:eastAsia="Calibri"/>
          <w:bCs/>
        </w:rPr>
        <w:t>apresentar substâncias químicas</w:t>
      </w:r>
      <w:r w:rsidRPr="00545FB7">
        <w:rPr>
          <w:rFonts w:eastAsia="Calibri"/>
          <w:bCs/>
        </w:rPr>
        <w:t xml:space="preserve"> como fungicidas ou inseticidas, e a madeira deve ser macia e absorvente, forragem de madeira com tons avermelhados deve ser evitadas, p</w:t>
      </w:r>
      <w:r w:rsidR="00073A47" w:rsidRPr="00545FB7">
        <w:rPr>
          <w:rFonts w:eastAsia="Calibri"/>
          <w:bCs/>
        </w:rPr>
        <w:t>ois tende a liberar substâncias</w:t>
      </w:r>
      <w:r w:rsidRPr="00545FB7">
        <w:rPr>
          <w:rFonts w:eastAsia="Calibri"/>
          <w:bCs/>
        </w:rPr>
        <w:t xml:space="preserve"> nocivas ao fígado. As trocas de gaiolas devem ser realizadas semanalmente evitando assim uma maior concentração de amônia. Maravalhas que não possuem absorção adequada deve ser </w:t>
      </w:r>
      <w:r w:rsidR="00073A47" w:rsidRPr="00545FB7">
        <w:rPr>
          <w:rFonts w:eastAsia="Calibri"/>
          <w:bCs/>
        </w:rPr>
        <w:t xml:space="preserve">evitada, caso não seja possível o </w:t>
      </w:r>
      <w:r w:rsidR="0096461D" w:rsidRPr="00545FB7">
        <w:rPr>
          <w:rFonts w:eastAsia="Calibri"/>
          <w:bCs/>
        </w:rPr>
        <w:t>número</w:t>
      </w:r>
      <w:r w:rsidR="00073A47" w:rsidRPr="00545FB7">
        <w:rPr>
          <w:rFonts w:eastAsia="Calibri"/>
          <w:bCs/>
        </w:rPr>
        <w:t xml:space="preserve"> de troca semanal deve aumentar </w:t>
      </w:r>
      <w:r w:rsidRPr="00545FB7">
        <w:rPr>
          <w:rFonts w:eastAsia="Calibri"/>
        </w:rPr>
        <w:t>(</w:t>
      </w:r>
      <w:r w:rsidRPr="00545FB7">
        <w:rPr>
          <w:rFonts w:eastAsia="Calibri"/>
          <w:bCs/>
        </w:rPr>
        <w:t xml:space="preserve">DAMY </w:t>
      </w:r>
      <w:r w:rsidRPr="00545FB7">
        <w:rPr>
          <w:rFonts w:eastAsia="Calibri"/>
          <w:bCs/>
          <w:i/>
        </w:rPr>
        <w:t xml:space="preserve">et al, </w:t>
      </w:r>
      <w:r w:rsidRPr="00545FB7">
        <w:rPr>
          <w:rFonts w:eastAsia="Calibri"/>
          <w:bCs/>
        </w:rPr>
        <w:t>2010).</w:t>
      </w:r>
      <w:r w:rsidR="00A1209C" w:rsidRPr="00545FB7">
        <w:rPr>
          <w:rFonts w:eastAsia="Calibri"/>
          <w:bCs/>
        </w:rPr>
        <w:t xml:space="preserve"> Animais estressados ou </w:t>
      </w:r>
      <w:r w:rsidR="006A604B" w:rsidRPr="00545FB7">
        <w:rPr>
          <w:rFonts w:eastAsia="Calibri"/>
          <w:bCs/>
        </w:rPr>
        <w:t>com alguma enfermidade pode liberar uma secreção avermelhada (porfirina) (Figura 2), produzida por glândulas lacrimais (Harderian) localizadas atrás de cada olho (</w:t>
      </w:r>
      <w:r w:rsidR="006A604B" w:rsidRPr="00545FB7">
        <w:t>LAPCHIK, 2009).</w:t>
      </w:r>
    </w:p>
    <w:p w14:paraId="1DDA0934" w14:textId="3ACE7A31" w:rsidR="0008622F" w:rsidRPr="003407E0" w:rsidRDefault="0008622F" w:rsidP="003407E0">
      <w:pPr>
        <w:spacing w:line="360" w:lineRule="auto"/>
        <w:jc w:val="both"/>
        <w:rPr>
          <w:b/>
          <w:bCs/>
        </w:rPr>
      </w:pPr>
      <w:r w:rsidRPr="0008622F">
        <w:rPr>
          <w:b/>
          <w:bCs/>
        </w:rPr>
        <w:t xml:space="preserve">Introdução </w:t>
      </w:r>
      <w:r w:rsidR="00FD448D">
        <w:rPr>
          <w:b/>
          <w:bCs/>
        </w:rPr>
        <w:t>à</w:t>
      </w:r>
      <w:r w:rsidRPr="0008622F">
        <w:rPr>
          <w:b/>
          <w:bCs/>
        </w:rPr>
        <w:t xml:space="preserve"> </w:t>
      </w:r>
      <w:r w:rsidR="00FD448D">
        <w:rPr>
          <w:b/>
          <w:bCs/>
        </w:rPr>
        <w:t>etapa</w:t>
      </w:r>
      <w:r w:rsidRPr="0008622F">
        <w:rPr>
          <w:b/>
          <w:bCs/>
        </w:rPr>
        <w:t xml:space="preserve"> clínica </w:t>
      </w:r>
    </w:p>
    <w:p w14:paraId="51D71AEC" w14:textId="6EAAFB5D" w:rsidR="0008622F" w:rsidRPr="0008622F" w:rsidRDefault="0008622F" w:rsidP="0008622F">
      <w:pPr>
        <w:spacing w:line="360" w:lineRule="auto"/>
        <w:ind w:firstLine="851"/>
        <w:jc w:val="both"/>
      </w:pPr>
      <w:r w:rsidRPr="0008622F">
        <w:t xml:space="preserve">Conforme a </w:t>
      </w:r>
      <w:r w:rsidR="00DC433B">
        <w:t>R</w:t>
      </w:r>
      <w:r w:rsidRPr="0008622F">
        <w:t>esolução nº 466</w:t>
      </w:r>
      <w:r w:rsidR="00DC433B">
        <w:t xml:space="preserve"> do Ministério da Saúde (BRASIL, 201</w:t>
      </w:r>
      <w:r w:rsidR="00673B47">
        <w:t>2</w:t>
      </w:r>
      <w:r w:rsidR="00DC433B">
        <w:t xml:space="preserve">) </w:t>
      </w:r>
      <w:r w:rsidRPr="0008622F">
        <w:t>que aprova as diretrizes e normas regulamentadoras de pesquisas envolvendo seres humanos</w:t>
      </w:r>
      <w:r w:rsidR="00DC433B">
        <w:t>,</w:t>
      </w:r>
      <w:r w:rsidRPr="0008622F">
        <w:t xml:space="preserve"> um dos fundamentos éticos implica o respeito ao participante da pesquisa em sua dignidade e autonomia, reconhecendo sua vulnerabilidade, assegurando sua vontade de contribuir e permanecer, ou não, na pesquisa, por intermédio de manifestação expressa, livre e esclarecida. Não devendo nunca desconsiderar a saúde, o bem-estar e o cuidado que deverá ser dirigido aos participantes da pesquisa. </w:t>
      </w:r>
    </w:p>
    <w:p w14:paraId="4430B736" w14:textId="4272B45F" w:rsidR="0008622F" w:rsidRPr="0008622F" w:rsidRDefault="0008622F" w:rsidP="0008622F">
      <w:pPr>
        <w:spacing w:line="360" w:lineRule="auto"/>
        <w:ind w:firstLine="851"/>
        <w:jc w:val="both"/>
      </w:pPr>
      <w:r w:rsidRPr="0008622F">
        <w:t>Durante a Segunda Guerra Mundial várias experiências médicas realizadas em prisioneiros de guerra nos campos de concentração geraram polêmicas e desencadearam a discussão mundial de ética aplicada na pesquisa em seres humanos durante os trabalhos do Tribunal Militar de Nuremberg. Em Agosto de 1947 o Código de Nuremberg foi formulado por juízes dos EUA para julgar os médicos nazistas acusados estabelecendo dez princípios básicos de pesquisa humana</w:t>
      </w:r>
      <w:r>
        <w:t xml:space="preserve"> </w:t>
      </w:r>
      <w:r w:rsidRPr="0008622F">
        <w:t>(STORPIRTIS et al</w:t>
      </w:r>
      <w:r w:rsidR="00DC433B">
        <w:t>.</w:t>
      </w:r>
      <w:r w:rsidRPr="0008622F">
        <w:t>, 2008)</w:t>
      </w:r>
      <w:r>
        <w:t>.</w:t>
      </w:r>
    </w:p>
    <w:p w14:paraId="1BF1668A" w14:textId="1D87FEA2" w:rsidR="0008622F" w:rsidRPr="0008622F" w:rsidRDefault="0008622F" w:rsidP="0008622F">
      <w:pPr>
        <w:spacing w:line="360" w:lineRule="auto"/>
        <w:ind w:firstLine="851"/>
        <w:jc w:val="both"/>
      </w:pPr>
      <w:r w:rsidRPr="0008622F">
        <w:t>O Código de Nuremberg estabelece um paciente falante e que tem autonomia para decidir o que é melhor para ele e agir em conseq</w:t>
      </w:r>
      <w:r w:rsidR="00DC433B">
        <w:t>u</w:t>
      </w:r>
      <w:r w:rsidRPr="0008622F">
        <w:t>ência. Requer que o pesquisador proteja os interesses do seu paciente e proclama que os sujeitos podem ativamente se protegerem a si mesmos. Os voluntários possuem a autoridade para terminar sua participação no estudo quanto os próprios pesquisadores.</w:t>
      </w:r>
    </w:p>
    <w:p w14:paraId="16F78065" w14:textId="5FEA87F2" w:rsidR="0008622F" w:rsidRPr="0008622F" w:rsidRDefault="0008622F" w:rsidP="0008622F">
      <w:pPr>
        <w:spacing w:line="360" w:lineRule="auto"/>
        <w:ind w:firstLine="851"/>
        <w:jc w:val="both"/>
      </w:pPr>
      <w:r w:rsidRPr="0008622F">
        <w:t>Posterio</w:t>
      </w:r>
      <w:r w:rsidR="00DC433B">
        <w:t>r</w:t>
      </w:r>
      <w:r w:rsidRPr="0008622F">
        <w:t>mente veio a Declaração de Helsinque que contribuiu com novos elementos na análise ética de pesquisas, estabelecendo a diferença entre experimento envolvendo pacientes e pesquisa com sujeitos saudáveis, assim como defendeu a avaliação ética prévia por comitê independente dos protocolos de pesquisa e adotado pela Associação Médica em 1964 (UMSCHEID et al</w:t>
      </w:r>
      <w:r>
        <w:t xml:space="preserve">., </w:t>
      </w:r>
      <w:r w:rsidRPr="0008622F">
        <w:t>2011)</w:t>
      </w:r>
      <w:r>
        <w:t>.</w:t>
      </w:r>
      <w:r w:rsidR="00E053D9">
        <w:t xml:space="preserve"> E suas </w:t>
      </w:r>
      <w:r w:rsidR="00E053D9" w:rsidRPr="00E053D9">
        <w:t>e suas versões de 1975, 1983, 1989, 1996 e 2000</w:t>
      </w:r>
      <w:r w:rsidR="00E053D9">
        <w:t>.</w:t>
      </w:r>
    </w:p>
    <w:p w14:paraId="30056860" w14:textId="049030F3" w:rsidR="0008622F" w:rsidRPr="0008622F" w:rsidRDefault="0008622F" w:rsidP="0008622F">
      <w:pPr>
        <w:spacing w:line="360" w:lineRule="auto"/>
        <w:ind w:firstLine="851"/>
        <w:jc w:val="both"/>
      </w:pPr>
      <w:r w:rsidRPr="0008622F">
        <w:t>Com os avanços dos princípios de respeito pelas pessoas, beneficência e justiça o Relatório Belmont de 1979 estabeleceu conceitos éticos aos processos de consentimento informado, avaliação de riscos e benefícios e seleção equitativa de sujeitos para pesquisa. Foi possível esclarecer a divisão entre a prática clínica e a pesquisa, diferenciando as atividades entre médicos e pacientes/investigadores e seus sujeitos (UMSCHEID</w:t>
      </w:r>
      <w:r>
        <w:t xml:space="preserve"> </w:t>
      </w:r>
      <w:r w:rsidRPr="0008622F">
        <w:t>et</w:t>
      </w:r>
      <w:r>
        <w:t xml:space="preserve"> </w:t>
      </w:r>
      <w:r w:rsidRPr="0008622F">
        <w:t>al</w:t>
      </w:r>
      <w:r>
        <w:t>.,</w:t>
      </w:r>
      <w:r w:rsidRPr="0008622F">
        <w:t xml:space="preserve"> 2011; ALBUQUERQYE, 2013). </w:t>
      </w:r>
    </w:p>
    <w:p w14:paraId="5A8201DE" w14:textId="50656CFF" w:rsidR="0008622F" w:rsidRPr="00F34F01" w:rsidRDefault="00E053D9" w:rsidP="00E053D9">
      <w:pPr>
        <w:spacing w:line="360" w:lineRule="auto"/>
        <w:jc w:val="both"/>
        <w:rPr>
          <w:color w:val="000000" w:themeColor="text1"/>
        </w:rPr>
      </w:pPr>
      <w:r>
        <w:rPr>
          <w:b/>
          <w:bCs/>
          <w:color w:val="FF0000"/>
        </w:rPr>
        <w:tab/>
      </w:r>
      <w:r>
        <w:rPr>
          <w:color w:val="000000" w:themeColor="text1"/>
        </w:rPr>
        <w:t xml:space="preserve">Outros documentos internacionais recentes foram: </w:t>
      </w:r>
      <w:r w:rsidRPr="00E053D9">
        <w:rPr>
          <w:color w:val="000000" w:themeColor="text1"/>
        </w:rPr>
        <w:t xml:space="preserve">a Declaração Universal sobre o Genoma Humano e </w:t>
      </w:r>
      <w:r w:rsidRPr="00F34F01">
        <w:rPr>
          <w:color w:val="000000" w:themeColor="text1"/>
        </w:rPr>
        <w:t>os Direitos Humanos (1997); a Declaração Internacional sobre os Dados Genéticos Humanos (2003); e a Declaração Universal sobre Bioética e Direitos Humanos (2004) (BRASIL, 2012).</w:t>
      </w:r>
    </w:p>
    <w:p w14:paraId="5E13420F" w14:textId="4CF73EAF" w:rsidR="00E053D9" w:rsidRPr="00EE0CE3" w:rsidRDefault="00E053D9" w:rsidP="00EE0CE3">
      <w:pPr>
        <w:spacing w:line="360" w:lineRule="auto"/>
        <w:jc w:val="both"/>
      </w:pPr>
      <w:r w:rsidRPr="00F34F01">
        <w:rPr>
          <w:color w:val="000000" w:themeColor="text1"/>
        </w:rPr>
        <w:tab/>
        <w:t>No Brasil, a primeira resolução que apro</w:t>
      </w:r>
      <w:r w:rsidR="00837FD7" w:rsidRPr="00F34F01">
        <w:rPr>
          <w:color w:val="000000" w:themeColor="text1"/>
        </w:rPr>
        <w:t>vou as diretrizes e normas regulamentadoras de pesquisas envolvendo seres humanos foi a Resolução n</w:t>
      </w:r>
      <w:r w:rsidR="00837FD7" w:rsidRPr="00F34F01">
        <w:rPr>
          <w:color w:val="000000" w:themeColor="text1"/>
          <w:vertAlign w:val="superscript"/>
        </w:rPr>
        <w:t>o</w:t>
      </w:r>
      <w:r w:rsidR="00837FD7" w:rsidRPr="00F34F01">
        <w:rPr>
          <w:color w:val="000000" w:themeColor="text1"/>
        </w:rPr>
        <w:t xml:space="preserve"> 196 (BRASIL, 1996). A mesma</w:t>
      </w:r>
      <w:r w:rsidR="00837FD7">
        <w:rPr>
          <w:color w:val="000000" w:themeColor="text1"/>
        </w:rPr>
        <w:t xml:space="preserve"> </w:t>
      </w:r>
      <w:r w:rsidR="00837FD7" w:rsidRPr="00837FD7">
        <w:rPr>
          <w:color w:val="000000" w:themeColor="text1"/>
        </w:rPr>
        <w:t>incorpor</w:t>
      </w:r>
      <w:r w:rsidR="00837FD7">
        <w:rPr>
          <w:color w:val="000000" w:themeColor="text1"/>
        </w:rPr>
        <w:t>ou</w:t>
      </w:r>
      <w:r w:rsidR="00837FD7" w:rsidRPr="00837FD7">
        <w:rPr>
          <w:color w:val="000000" w:themeColor="text1"/>
        </w:rPr>
        <w:t>, sob a ótica do indivíduo e das coletividades, os quatro referenciais básicos da bioética</w:t>
      </w:r>
      <w:r w:rsidR="00837FD7">
        <w:rPr>
          <w:color w:val="000000" w:themeColor="text1"/>
        </w:rPr>
        <w:t xml:space="preserve"> (</w:t>
      </w:r>
      <w:r w:rsidR="00837FD7" w:rsidRPr="00837FD7">
        <w:rPr>
          <w:color w:val="000000" w:themeColor="text1"/>
        </w:rPr>
        <w:t>autonomia, não maleficência, beneficência e justiça, entre outros</w:t>
      </w:r>
      <w:r w:rsidR="00837FD7">
        <w:rPr>
          <w:color w:val="000000" w:themeColor="text1"/>
        </w:rPr>
        <w:t>)</w:t>
      </w:r>
      <w:r w:rsidR="00837FD7" w:rsidRPr="00837FD7">
        <w:rPr>
          <w:color w:val="000000" w:themeColor="text1"/>
        </w:rPr>
        <w:t xml:space="preserve"> e visa assegur</w:t>
      </w:r>
      <w:r w:rsidR="00837FD7">
        <w:rPr>
          <w:color w:val="000000" w:themeColor="text1"/>
        </w:rPr>
        <w:t>ou</w:t>
      </w:r>
      <w:r w:rsidR="00837FD7" w:rsidRPr="00837FD7">
        <w:rPr>
          <w:color w:val="000000" w:themeColor="text1"/>
        </w:rPr>
        <w:t xml:space="preserve"> os direitos e deveres que dizem respeito à comunidade científica, aos sujeitos da pesquisa e ao Estado</w:t>
      </w:r>
      <w:r w:rsidR="00837FD7">
        <w:rPr>
          <w:color w:val="000000" w:themeColor="text1"/>
        </w:rPr>
        <w:t>.</w:t>
      </w:r>
      <w:r w:rsidR="00B04273">
        <w:rPr>
          <w:color w:val="000000" w:themeColor="text1"/>
        </w:rPr>
        <w:t xml:space="preserve"> A mesma foi atualizada pela Resolução </w:t>
      </w:r>
      <w:r w:rsidR="00B04273" w:rsidRPr="00B04273">
        <w:rPr>
          <w:color w:val="000000" w:themeColor="text1"/>
        </w:rPr>
        <w:t>n</w:t>
      </w:r>
      <w:r w:rsidR="00B04273">
        <w:rPr>
          <w:color w:val="000000" w:themeColor="text1"/>
          <w:vertAlign w:val="superscript"/>
        </w:rPr>
        <w:t xml:space="preserve">o </w:t>
      </w:r>
      <w:r w:rsidR="00B04273" w:rsidRPr="00B04273">
        <w:rPr>
          <w:color w:val="000000" w:themeColor="text1"/>
        </w:rPr>
        <w:t>466</w:t>
      </w:r>
      <w:r w:rsidR="00B04273">
        <w:rPr>
          <w:color w:val="000000" w:themeColor="text1"/>
        </w:rPr>
        <w:t xml:space="preserve"> </w:t>
      </w:r>
      <w:r w:rsidR="00B04273">
        <w:t>(BRASIL, 201</w:t>
      </w:r>
      <w:r w:rsidR="00673B47">
        <w:t>2</w:t>
      </w:r>
      <w:r w:rsidR="00B04273">
        <w:t>).</w:t>
      </w:r>
      <w:r w:rsidR="00EE0CE3">
        <w:t xml:space="preserve"> Não apenas as pesquisas biomédicas, mas pesquisas em ciências humanas e sociais </w:t>
      </w:r>
      <w:r w:rsidR="00EE0CE3" w:rsidRPr="00EE0CE3">
        <w:t xml:space="preserve">cujos procedimentos metodológicos </w:t>
      </w:r>
      <w:r w:rsidR="00EE0CE3">
        <w:t>e</w:t>
      </w:r>
      <w:r w:rsidR="00EE0CE3" w:rsidRPr="00EE0CE3">
        <w:t>nvolvam a utilização de dados</w:t>
      </w:r>
      <w:r w:rsidR="00EE0CE3">
        <w:t xml:space="preserve"> </w:t>
      </w:r>
      <w:r w:rsidR="00EE0CE3" w:rsidRPr="00EE0CE3">
        <w:t>diretamente obtidos com os participantes ou de informações identificáveis ou que</w:t>
      </w:r>
      <w:r w:rsidR="00EE0CE3">
        <w:t xml:space="preserve"> </w:t>
      </w:r>
      <w:r w:rsidR="00EE0CE3" w:rsidRPr="00EE0CE3">
        <w:t>possam acarretar riscos maiores do que os existentes na vida cotidian</w:t>
      </w:r>
      <w:r w:rsidR="00EE0CE3">
        <w:t>a, têm a Resolução n</w:t>
      </w:r>
      <w:r w:rsidR="00EE0CE3" w:rsidRPr="00EE0CE3">
        <w:rPr>
          <w:vertAlign w:val="superscript"/>
        </w:rPr>
        <w:t>o</w:t>
      </w:r>
      <w:r w:rsidR="00EE0CE3">
        <w:t xml:space="preserve"> 510 (BRASIL, 2016), específica para fins de análise ética.</w:t>
      </w:r>
    </w:p>
    <w:p w14:paraId="5A99346C" w14:textId="77777777" w:rsidR="0008622F" w:rsidRPr="002F789F" w:rsidRDefault="0008622F" w:rsidP="0008622F">
      <w:pPr>
        <w:spacing w:line="360" w:lineRule="auto"/>
        <w:jc w:val="both"/>
        <w:rPr>
          <w:b/>
          <w:bCs/>
          <w:color w:val="FF0000"/>
        </w:rPr>
      </w:pPr>
    </w:p>
    <w:p w14:paraId="22A9C452" w14:textId="5A17B43E" w:rsidR="00967B99" w:rsidRPr="00C3280A" w:rsidRDefault="00FD448D" w:rsidP="00E053D9">
      <w:pPr>
        <w:spacing w:line="360" w:lineRule="auto"/>
        <w:jc w:val="both"/>
        <w:rPr>
          <w:b/>
          <w:bCs/>
        </w:rPr>
      </w:pPr>
      <w:r>
        <w:rPr>
          <w:b/>
          <w:bCs/>
        </w:rPr>
        <w:t xml:space="preserve">O </w:t>
      </w:r>
      <w:r w:rsidR="00C3280A" w:rsidRPr="00C3280A">
        <w:rPr>
          <w:b/>
          <w:bCs/>
        </w:rPr>
        <w:t xml:space="preserve">Sistema </w:t>
      </w:r>
      <w:r w:rsidR="0093288F" w:rsidRPr="00C3280A">
        <w:rPr>
          <w:b/>
          <w:bCs/>
        </w:rPr>
        <w:t>CEP</w:t>
      </w:r>
      <w:r w:rsidR="00C3280A" w:rsidRPr="00C3280A">
        <w:rPr>
          <w:b/>
          <w:bCs/>
        </w:rPr>
        <w:t>/C</w:t>
      </w:r>
      <w:r w:rsidR="00940B82">
        <w:rPr>
          <w:b/>
          <w:bCs/>
        </w:rPr>
        <w:t>ONEP</w:t>
      </w:r>
    </w:p>
    <w:p w14:paraId="715081E7" w14:textId="36312D7F" w:rsidR="00545FB7" w:rsidRDefault="00466258" w:rsidP="00E053D9">
      <w:pPr>
        <w:spacing w:line="360" w:lineRule="auto"/>
        <w:jc w:val="both"/>
      </w:pPr>
      <w:r>
        <w:tab/>
      </w:r>
      <w:r w:rsidR="00670D46">
        <w:t>Para se realizar um projeto de pesquisa com seres humanos é necessário a análise ética da pesquisa. Isto inclui, por exemplo, estudo com um novo medicamento a ser testado em ensaio clínico. O protocolo de pesquisa precisa ser submetido para um Comitê de Ética em Pesquisa (CEP) da instituição onde o estudo será realizado ou na ausência de CEP institucional, submetido à</w:t>
      </w:r>
      <w:r w:rsidR="00670D46" w:rsidRPr="00670D46">
        <w:t xml:space="preserve"> Comissão Nacional de Ética em Pesquisa (CONEP)</w:t>
      </w:r>
      <w:r w:rsidR="00670D46">
        <w:t xml:space="preserve">, tudo ocorre </w:t>
      </w:r>
      <w:r w:rsidR="00670D46" w:rsidRPr="00670D46">
        <w:t>em ambiente eletrônico por meio da ferramenta eletrônica chamada Plataforma Brasil</w:t>
      </w:r>
      <w:r w:rsidR="00673B47">
        <w:t xml:space="preserve"> </w:t>
      </w:r>
      <w:r w:rsidR="00670D46">
        <w:t>(BRASIL, 2022).</w:t>
      </w:r>
    </w:p>
    <w:p w14:paraId="644C7BB0" w14:textId="5A9EDFDC" w:rsidR="00466258" w:rsidRDefault="00670D46" w:rsidP="00E053D9">
      <w:pPr>
        <w:spacing w:line="360" w:lineRule="auto"/>
        <w:jc w:val="both"/>
      </w:pPr>
      <w:r>
        <w:tab/>
      </w:r>
      <w:r w:rsidRPr="00670D46">
        <w:t xml:space="preserve">O sistema CEP-CONEP </w:t>
      </w:r>
      <w:r w:rsidR="00F3053D">
        <w:t xml:space="preserve">(Figura 2) </w:t>
      </w:r>
      <w:r w:rsidRPr="00670D46">
        <w:t>foi instituído em 1996 para proceder a análise ética de projetos de pesquisa envolvendo seres humanos no Brasil. Este processo é baseado em uma série de resoluções e normativas deliberados pelo Conselho Nacional de Saúde (CNS), órgão vinculado ao Ministério da Saúde.</w:t>
      </w:r>
      <w:r w:rsidR="00B65E66">
        <w:t xml:space="preserve"> </w:t>
      </w:r>
      <w:r w:rsidRPr="00670D46">
        <w:t>O atual sistema possui como fundamentos o controle social, exercido pela ligação com o CNS, capilaridade, na qual mais de 98% das análises e decisões ocorrem a nível local pelo trabalho dos CEP e o foco na segurança, proteção e garantia dos direitos dos participantes de pesquisa.</w:t>
      </w:r>
      <w:r w:rsidR="00C3280A">
        <w:t xml:space="preserve"> Atualmente, existem 863 CEP no território nacional, registrados no Sistema CEP/C</w:t>
      </w:r>
      <w:r w:rsidR="00193168">
        <w:t>ONEP</w:t>
      </w:r>
      <w:r w:rsidR="00C3280A">
        <w:t xml:space="preserve"> (BRASIL, 2021).</w:t>
      </w:r>
    </w:p>
    <w:p w14:paraId="2FF218F1" w14:textId="77777777" w:rsidR="00673B47" w:rsidRDefault="00673B47" w:rsidP="00E053D9">
      <w:pPr>
        <w:spacing w:line="360" w:lineRule="auto"/>
        <w:jc w:val="both"/>
      </w:pPr>
    </w:p>
    <w:p w14:paraId="08B99C60" w14:textId="5EDA0481" w:rsidR="00F3053D" w:rsidRDefault="00F3053D" w:rsidP="00E053D9">
      <w:pPr>
        <w:spacing w:line="360" w:lineRule="auto"/>
        <w:jc w:val="both"/>
      </w:pPr>
      <w:r w:rsidRPr="00F3053D">
        <w:rPr>
          <w:noProof/>
        </w:rPr>
        <w:drawing>
          <wp:inline distT="0" distB="0" distL="0" distR="0" wp14:anchorId="7C2387D9" wp14:editId="26BA945A">
            <wp:extent cx="5400040" cy="3769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769995"/>
                    </a:xfrm>
                    <a:prstGeom prst="rect">
                      <a:avLst/>
                    </a:prstGeom>
                  </pic:spPr>
                </pic:pic>
              </a:graphicData>
            </a:graphic>
          </wp:inline>
        </w:drawing>
      </w:r>
    </w:p>
    <w:p w14:paraId="6CEBB176" w14:textId="5A87E9B1" w:rsidR="00F3053D" w:rsidRPr="00F3053D" w:rsidRDefault="00F3053D" w:rsidP="00F3053D">
      <w:pPr>
        <w:jc w:val="both"/>
      </w:pPr>
      <w:r w:rsidRPr="00F3053D">
        <w:rPr>
          <w:b/>
          <w:bCs/>
        </w:rPr>
        <w:t>Figura 2 -</w:t>
      </w:r>
      <w:r>
        <w:rPr>
          <w:b/>
          <w:bCs/>
        </w:rPr>
        <w:t xml:space="preserve"> </w:t>
      </w:r>
      <w:r w:rsidRPr="00673B47">
        <w:rPr>
          <w:b/>
          <w:bCs/>
        </w:rPr>
        <w:t>Representação esquemática da estrutura do Sistema Nacional de Ética com Seres Humanos.</w:t>
      </w:r>
      <w:r w:rsidRPr="00F3053D">
        <w:t xml:space="preserve"> CNS: Conselho Nacional de Saúde; MS: Ministério da Saúde; CONEP: Comissão Nacional de Ética em Pesquisa; PNEP: Política Nacional de Ética em Pesquisa; SCTIE: Secretaria de Ciência, Tecnologia e Insumos Estratégicos do Ministério da Saúde; CEP: Comitê de Ética em Pesquisa; PR: Pesquisador Responsável.</w:t>
      </w:r>
      <w:r>
        <w:t xml:space="preserve"> Fonte: Bi</w:t>
      </w:r>
      <w:r w:rsidR="00673B47">
        <w:t>nsfeld (2019).</w:t>
      </w:r>
    </w:p>
    <w:p w14:paraId="63C40267" w14:textId="77777777" w:rsidR="00F3053D" w:rsidRDefault="00F3053D" w:rsidP="00E053D9">
      <w:pPr>
        <w:spacing w:line="360" w:lineRule="auto"/>
        <w:jc w:val="both"/>
      </w:pPr>
    </w:p>
    <w:p w14:paraId="4B117A0B" w14:textId="5A6A9F4A" w:rsidR="00FD448D" w:rsidRDefault="00745388" w:rsidP="007E47CB">
      <w:pPr>
        <w:spacing w:line="360" w:lineRule="auto"/>
        <w:jc w:val="both"/>
      </w:pPr>
      <w:r>
        <w:tab/>
      </w:r>
      <w:r w:rsidRPr="00745388">
        <w:t>Os CEP são colegiados interdisciplinares e independentes, de relevância pública, de caráter consultivo, deliberativo e educativo, criados para defender os interesses dos participantes da pesquisa em sua integridade e dignidade e para contribuir no desenvolvimento da pesquisa dentro de padrões éticos</w:t>
      </w:r>
      <w:r>
        <w:t xml:space="preserve">. Os CEP têm como atribuições: </w:t>
      </w:r>
      <w:r w:rsidRPr="00745388">
        <w:t>avaliar protocolos de pesquisa envolvendo seres humanos, com prioridade nos temas de relevância pública e de interesse estratégico da agenda de prioridades do SUS, com base nos indicadores epidemiológicos, emitindo parecer, devidamente justificado, sempre orientado, dentre outros, pelos princípios da impessoalidade, transparência, razoabilidade, proporcionalidade e eficiência, dentro dos prazos estabelecidos em norma operacional, evitando redundâncias que resultem em morosidade na análise;</w:t>
      </w:r>
      <w:r>
        <w:t xml:space="preserve"> </w:t>
      </w:r>
      <w:r w:rsidRPr="00745388">
        <w:t>desempenhar papel consultivo e educativo em questões de ética; e</w:t>
      </w:r>
      <w:r>
        <w:t xml:space="preserve"> </w:t>
      </w:r>
      <w:r w:rsidRPr="00745388">
        <w:t>elaborar seu Regimento Interno</w:t>
      </w:r>
      <w:r>
        <w:t xml:space="preserve"> (BRASIL, 2013).</w:t>
      </w:r>
    </w:p>
    <w:p w14:paraId="476DC1E2" w14:textId="0DFC01E1" w:rsidR="00940B82" w:rsidRDefault="00940B82" w:rsidP="007E47CB">
      <w:pPr>
        <w:spacing w:line="360" w:lineRule="auto"/>
        <w:jc w:val="both"/>
      </w:pPr>
    </w:p>
    <w:p w14:paraId="17E0C2AC" w14:textId="77777777" w:rsidR="00F270DB" w:rsidRDefault="00F270DB" w:rsidP="007E47CB">
      <w:pPr>
        <w:spacing w:line="360" w:lineRule="auto"/>
        <w:jc w:val="both"/>
      </w:pPr>
    </w:p>
    <w:p w14:paraId="0CA994EF" w14:textId="1173B517" w:rsidR="004D4FDA" w:rsidRPr="00783E74" w:rsidRDefault="004D4FDA" w:rsidP="00E053D9">
      <w:pPr>
        <w:spacing w:line="360" w:lineRule="auto"/>
        <w:jc w:val="both"/>
        <w:rPr>
          <w:b/>
          <w:bCs/>
        </w:rPr>
      </w:pPr>
      <w:r w:rsidRPr="004D4FDA">
        <w:rPr>
          <w:b/>
          <w:bCs/>
        </w:rPr>
        <w:t xml:space="preserve">Aspectos éticos da </w:t>
      </w:r>
      <w:r w:rsidR="00FD448D">
        <w:rPr>
          <w:b/>
          <w:bCs/>
        </w:rPr>
        <w:t>etapa</w:t>
      </w:r>
      <w:r>
        <w:rPr>
          <w:b/>
          <w:bCs/>
        </w:rPr>
        <w:t xml:space="preserve"> </w:t>
      </w:r>
      <w:r w:rsidR="00FD448D">
        <w:rPr>
          <w:b/>
          <w:bCs/>
        </w:rPr>
        <w:t>clínica</w:t>
      </w:r>
    </w:p>
    <w:p w14:paraId="1A5099FB" w14:textId="710911F0" w:rsidR="004D4FDA" w:rsidRDefault="004D4FDA" w:rsidP="006A1DB0">
      <w:pPr>
        <w:spacing w:line="360" w:lineRule="auto"/>
        <w:ind w:firstLine="708"/>
        <w:jc w:val="both"/>
      </w:pPr>
      <w:r>
        <w:t xml:space="preserve">Qualquer pesquisa que envolva seres humanos deve atender aos fundamentos éticos pertinentes. As últimas etapas para o estudo de um novo medicamento são os ensaios clínicos, que serão tratados </w:t>
      </w:r>
      <w:r w:rsidRPr="007E47CB">
        <w:t xml:space="preserve">no Capítulo </w:t>
      </w:r>
      <w:r w:rsidR="007E47CB" w:rsidRPr="007E47CB">
        <w:t>6</w:t>
      </w:r>
      <w:r w:rsidR="007E47CB">
        <w:t>.</w:t>
      </w:r>
      <w:r>
        <w:t xml:space="preserve"> A eticidade do estudo implica em: </w:t>
      </w:r>
      <w:r w:rsidRPr="004D4FDA">
        <w:t>respeito ao participante da pesquisa em sua dignidade e autonomia, reconhecendo sua vulnerabilidade, assegurando sua vontade de contribuir e permanecer, ou não, na pesquisa, por intermédio de manifestação expressa, livre e esclarecida; ponderação entre riscos e benefícios, tanto conhecidos como potenciais, individuais ou coletivos, comprometendo-se com o máximo de benefícios e o mínimo de danos e riscos;</w:t>
      </w:r>
      <w:r>
        <w:t xml:space="preserve"> </w:t>
      </w:r>
      <w:r w:rsidRPr="004D4FDA">
        <w:t xml:space="preserve"> garantia de que danos previsíveis serão evitados; e relevância social da pesquisa, o que garante a igual consideração dos interesses envolvidos, não perdendo o sentido de sua destinação sócio-humanitária</w:t>
      </w:r>
      <w:r w:rsidR="00DB09C5">
        <w:t xml:space="preserve"> (BRASIL, 2012)</w:t>
      </w:r>
      <w:r w:rsidRPr="004D4FDA">
        <w:t>.</w:t>
      </w:r>
      <w:r w:rsidR="00DB09C5">
        <w:t xml:space="preserve"> As exigências que as pesquisas com seres humanos </w:t>
      </w:r>
      <w:r w:rsidR="006A1DB0">
        <w:t xml:space="preserve">na área biomédica </w:t>
      </w:r>
      <w:r w:rsidR="00DB09C5">
        <w:t>deverão seguir estão listadas no Quadro 1.</w:t>
      </w:r>
    </w:p>
    <w:p w14:paraId="04020F6A" w14:textId="77777777" w:rsidR="00F270DB" w:rsidRDefault="00F270DB" w:rsidP="006A1DB0">
      <w:pPr>
        <w:spacing w:line="360" w:lineRule="auto"/>
        <w:ind w:firstLine="708"/>
        <w:jc w:val="both"/>
      </w:pPr>
    </w:p>
    <w:p w14:paraId="189C7E4E" w14:textId="77777777" w:rsidR="00F270DB" w:rsidRPr="00783E74" w:rsidRDefault="00F270DB" w:rsidP="00F270DB">
      <w:pPr>
        <w:jc w:val="both"/>
        <w:rPr>
          <w:b/>
          <w:bCs/>
        </w:rPr>
      </w:pPr>
      <w:r w:rsidRPr="00783E74">
        <w:rPr>
          <w:b/>
          <w:bCs/>
        </w:rPr>
        <w:t>Quadro 1 – Exigências para pesquisas clínicas de novos medicamentos no país.</w:t>
      </w:r>
    </w:p>
    <w:p w14:paraId="41AD81A2" w14:textId="5E160649" w:rsidR="004D4FDA" w:rsidRDefault="00F270DB" w:rsidP="00F270DB">
      <w:pPr>
        <w:ind w:firstLine="708"/>
        <w:jc w:val="both"/>
      </w:pPr>
      <w:r>
        <w:t>Fonte: Brasil (2012).</w:t>
      </w:r>
    </w:p>
    <w:tbl>
      <w:tblPr>
        <w:tblStyle w:val="TabeladeGrade4-nfase1"/>
        <w:tblW w:w="0" w:type="auto"/>
        <w:jc w:val="center"/>
        <w:tblLook w:val="04A0" w:firstRow="1" w:lastRow="0" w:firstColumn="1" w:lastColumn="0" w:noHBand="0" w:noVBand="1"/>
      </w:tblPr>
      <w:tblGrid>
        <w:gridCol w:w="470"/>
        <w:gridCol w:w="7375"/>
      </w:tblGrid>
      <w:tr w:rsidR="00DB09C5" w:rsidRPr="00F270DB" w14:paraId="4BC0965F" w14:textId="77777777" w:rsidTr="00DB09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2D36488D" w14:textId="6EA842CF" w:rsidR="00DB09C5" w:rsidRPr="00F270DB" w:rsidRDefault="00783E74" w:rsidP="00DB09C5">
            <w:pPr>
              <w:jc w:val="both"/>
              <w:rPr>
                <w:color w:val="000000" w:themeColor="text1"/>
              </w:rPr>
            </w:pPr>
            <w:r w:rsidRPr="00F270DB">
              <w:rPr>
                <w:color w:val="000000" w:themeColor="text1"/>
              </w:rPr>
              <w:t>N</w:t>
            </w:r>
            <w:r w:rsidRPr="00F270DB">
              <w:rPr>
                <w:color w:val="000000" w:themeColor="text1"/>
                <w:vertAlign w:val="superscript"/>
              </w:rPr>
              <w:t>o</w:t>
            </w:r>
          </w:p>
        </w:tc>
        <w:tc>
          <w:tcPr>
            <w:tcW w:w="7375" w:type="dxa"/>
          </w:tcPr>
          <w:p w14:paraId="168A1E7E" w14:textId="3CF84378" w:rsidR="00DB09C5" w:rsidRPr="00F270DB" w:rsidRDefault="00783E74" w:rsidP="00783E74">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270DB">
              <w:rPr>
                <w:color w:val="000000" w:themeColor="text1"/>
              </w:rPr>
              <w:t>Exigências requeridas</w:t>
            </w:r>
          </w:p>
        </w:tc>
      </w:tr>
      <w:tr w:rsidR="00DB09C5" w:rsidRPr="00F270DB" w14:paraId="70E30D40"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3655A91B" w14:textId="123D620F" w:rsidR="00DB09C5" w:rsidRPr="00F270DB" w:rsidRDefault="006A1DB0" w:rsidP="00DB09C5">
            <w:pPr>
              <w:jc w:val="both"/>
            </w:pPr>
            <w:r w:rsidRPr="00F270DB">
              <w:t>1</w:t>
            </w:r>
          </w:p>
        </w:tc>
        <w:tc>
          <w:tcPr>
            <w:tcW w:w="7375" w:type="dxa"/>
          </w:tcPr>
          <w:p w14:paraId="0F454E8C" w14:textId="061593B3" w:rsidR="00DB09C5" w:rsidRPr="00F270DB" w:rsidRDefault="00DB09C5" w:rsidP="00DB09C5">
            <w:pPr>
              <w:jc w:val="both"/>
              <w:cnfStyle w:val="000000100000" w:firstRow="0" w:lastRow="0" w:firstColumn="0" w:lastColumn="0" w:oddVBand="0" w:evenVBand="0" w:oddHBand="1" w:evenHBand="0" w:firstRowFirstColumn="0" w:firstRowLastColumn="0" w:lastRowFirstColumn="0" w:lastRowLastColumn="0"/>
            </w:pPr>
            <w:r w:rsidRPr="00F270DB">
              <w:t>ser adequada aos princípios científicos que a justifiquem e com possibilidades concretas de responder a incerteza</w:t>
            </w:r>
            <w:r w:rsidR="00C36A0F" w:rsidRPr="00F270DB">
              <w:t>s</w:t>
            </w:r>
          </w:p>
        </w:tc>
      </w:tr>
      <w:tr w:rsidR="00DB09C5" w:rsidRPr="00F270DB" w14:paraId="47E2A87D"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433C63E8" w14:textId="57E7855B" w:rsidR="00DB09C5" w:rsidRPr="00F270DB" w:rsidRDefault="006A1DB0" w:rsidP="00DB09C5">
            <w:pPr>
              <w:jc w:val="both"/>
            </w:pPr>
            <w:r w:rsidRPr="00F270DB">
              <w:t>2</w:t>
            </w:r>
          </w:p>
        </w:tc>
        <w:tc>
          <w:tcPr>
            <w:tcW w:w="7375" w:type="dxa"/>
          </w:tcPr>
          <w:p w14:paraId="7ED18B87" w14:textId="1786F418" w:rsidR="00DB09C5" w:rsidRPr="00F270DB" w:rsidRDefault="00C36A0F" w:rsidP="00DB09C5">
            <w:pPr>
              <w:jc w:val="both"/>
              <w:cnfStyle w:val="000000000000" w:firstRow="0" w:lastRow="0" w:firstColumn="0" w:lastColumn="0" w:oddVBand="0" w:evenVBand="0" w:oddHBand="0" w:evenHBand="0" w:firstRowFirstColumn="0" w:firstRowLastColumn="0" w:lastRowFirstColumn="0" w:lastRowLastColumn="0"/>
            </w:pPr>
            <w:r w:rsidRPr="00F270DB">
              <w:t>estar fundamentada em fatos científicos, experimentação prévia e/ou pressupostos adequados à área específica da pesquisa;</w:t>
            </w:r>
          </w:p>
        </w:tc>
      </w:tr>
      <w:tr w:rsidR="006A1DB0" w:rsidRPr="00F270DB" w14:paraId="609072C7"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4BDFA521" w14:textId="77777777" w:rsidR="006A1DB0" w:rsidRPr="00F270DB" w:rsidRDefault="006A1DB0" w:rsidP="00DB09C5">
            <w:pPr>
              <w:jc w:val="both"/>
            </w:pPr>
          </w:p>
        </w:tc>
        <w:tc>
          <w:tcPr>
            <w:tcW w:w="7375" w:type="dxa"/>
          </w:tcPr>
          <w:p w14:paraId="5DCEC60B" w14:textId="6AD962C1" w:rsidR="006A1DB0" w:rsidRPr="00F270DB" w:rsidRDefault="006A1DB0" w:rsidP="00DB09C5">
            <w:pPr>
              <w:jc w:val="both"/>
              <w:cnfStyle w:val="000000100000" w:firstRow="0" w:lastRow="0" w:firstColumn="0" w:lastColumn="0" w:oddVBand="0" w:evenVBand="0" w:oddHBand="1" w:evenHBand="0" w:firstRowFirstColumn="0" w:firstRowLastColumn="0" w:lastRowFirstColumn="0" w:lastRowLastColumn="0"/>
            </w:pPr>
            <w:r w:rsidRPr="00F270DB">
              <w:t>estar fundamentadas na experimentação prévia, realizada em laboratórios, utilizando-se animais ou outros modelos experimentais e comprovação científica, quando pertinente;</w:t>
            </w:r>
          </w:p>
        </w:tc>
      </w:tr>
      <w:tr w:rsidR="00DB09C5" w:rsidRPr="00F270DB" w14:paraId="0770633F"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23EFAA8F" w14:textId="67F3DED4" w:rsidR="00DB09C5" w:rsidRPr="00F270DB" w:rsidRDefault="006A1DB0" w:rsidP="00DB09C5">
            <w:pPr>
              <w:jc w:val="both"/>
            </w:pPr>
            <w:r w:rsidRPr="00F270DB">
              <w:t>3</w:t>
            </w:r>
          </w:p>
        </w:tc>
        <w:tc>
          <w:tcPr>
            <w:tcW w:w="7375" w:type="dxa"/>
          </w:tcPr>
          <w:p w14:paraId="3C6EF316" w14:textId="56610332" w:rsidR="00DB09C5" w:rsidRPr="00F270DB" w:rsidRDefault="00C36A0F" w:rsidP="00DB09C5">
            <w:pPr>
              <w:jc w:val="both"/>
              <w:cnfStyle w:val="000000000000" w:firstRow="0" w:lastRow="0" w:firstColumn="0" w:lastColumn="0" w:oddVBand="0" w:evenVBand="0" w:oddHBand="0" w:evenHBand="0" w:firstRowFirstColumn="0" w:firstRowLastColumn="0" w:lastRowFirstColumn="0" w:lastRowLastColumn="0"/>
            </w:pPr>
            <w:r w:rsidRPr="00F270DB">
              <w:t>ser realizada somente quando o conhecimento que se pretende obter não possa ser obtido por outro meio;</w:t>
            </w:r>
          </w:p>
        </w:tc>
      </w:tr>
      <w:tr w:rsidR="00DB09C5" w:rsidRPr="00F270DB" w14:paraId="19481811"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59CCA9E1" w14:textId="11B86501" w:rsidR="00DB09C5" w:rsidRPr="00F270DB" w:rsidRDefault="006A1DB0" w:rsidP="00DB09C5">
            <w:pPr>
              <w:jc w:val="both"/>
            </w:pPr>
            <w:r w:rsidRPr="00F270DB">
              <w:t>4</w:t>
            </w:r>
          </w:p>
        </w:tc>
        <w:tc>
          <w:tcPr>
            <w:tcW w:w="7375" w:type="dxa"/>
          </w:tcPr>
          <w:p w14:paraId="1B9E0C3C" w14:textId="329ED70A" w:rsidR="00DB09C5" w:rsidRPr="00F270DB" w:rsidRDefault="00C36A0F" w:rsidP="00DB09C5">
            <w:pPr>
              <w:jc w:val="both"/>
              <w:cnfStyle w:val="000000100000" w:firstRow="0" w:lastRow="0" w:firstColumn="0" w:lastColumn="0" w:oddVBand="0" w:evenVBand="0" w:oddHBand="1" w:evenHBand="0" w:firstRowFirstColumn="0" w:firstRowLastColumn="0" w:lastRowFirstColumn="0" w:lastRowLastColumn="0"/>
            </w:pPr>
            <w:r w:rsidRPr="00F270DB">
              <w:t>buscar sempre que prevaleçam os benefícios esperados sobre os riscos e/ou desconfortos previsíveis;</w:t>
            </w:r>
          </w:p>
        </w:tc>
      </w:tr>
      <w:tr w:rsidR="00783E74" w:rsidRPr="00F270DB" w14:paraId="6D5DC200"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752FF780" w14:textId="77777777" w:rsidR="00783E74" w:rsidRPr="00F270DB" w:rsidRDefault="00783E74" w:rsidP="00DB09C5">
            <w:pPr>
              <w:jc w:val="both"/>
            </w:pPr>
          </w:p>
        </w:tc>
        <w:tc>
          <w:tcPr>
            <w:tcW w:w="7375" w:type="dxa"/>
          </w:tcPr>
          <w:p w14:paraId="4C36CCDB" w14:textId="09AF4DEB" w:rsidR="00783E74" w:rsidRPr="00F270DB" w:rsidRDefault="00783E74" w:rsidP="00DB09C5">
            <w:pPr>
              <w:jc w:val="both"/>
              <w:cnfStyle w:val="000000000000" w:firstRow="0" w:lastRow="0" w:firstColumn="0" w:lastColumn="0" w:oddVBand="0" w:evenVBand="0" w:oddHBand="0" w:evenHBand="0" w:firstRowFirstColumn="0" w:firstRowLastColumn="0" w:lastRowFirstColumn="0" w:lastRowLastColumn="0"/>
            </w:pPr>
            <w:r w:rsidRPr="00F270DB">
              <w:t>ter plenamente justificadas, quando for o caso, a utilização de placebo, em termos de não maleficência e de necessidade metodológica, sendo que os benefícios, riscos, dificuldades e efetividade de um novo método terapêutico devem ser testados, comparando-o com os melhores métodos profiláticos, diagnósticos e terapêuticos atuais. Isso não exclui o uso de placebo ou nenhum tratamento em estudos nos quais não existam métodos provados de profilaxia, diagnóstico ou tratamento;</w:t>
            </w:r>
          </w:p>
        </w:tc>
      </w:tr>
      <w:tr w:rsidR="006A1DB0" w:rsidRPr="00F270DB" w14:paraId="2A50B3E5"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67E18BCA" w14:textId="6ACD7999" w:rsidR="006A1DB0" w:rsidRPr="00F270DB" w:rsidRDefault="006A1DB0" w:rsidP="00DB09C5">
            <w:pPr>
              <w:jc w:val="both"/>
            </w:pPr>
            <w:r w:rsidRPr="00F270DB">
              <w:t>5</w:t>
            </w:r>
          </w:p>
        </w:tc>
        <w:tc>
          <w:tcPr>
            <w:tcW w:w="7375" w:type="dxa"/>
          </w:tcPr>
          <w:p w14:paraId="52BCA69D" w14:textId="42199748" w:rsidR="006A1DB0" w:rsidRPr="00F270DB" w:rsidRDefault="006A1DB0" w:rsidP="00DB09C5">
            <w:pPr>
              <w:jc w:val="both"/>
              <w:cnfStyle w:val="000000100000" w:firstRow="0" w:lastRow="0" w:firstColumn="0" w:lastColumn="0" w:oddVBand="0" w:evenVBand="0" w:oddHBand="1" w:evenHBand="0" w:firstRowFirstColumn="0" w:firstRowLastColumn="0" w:lastRowFirstColumn="0" w:lastRowLastColumn="0"/>
            </w:pPr>
            <w:r w:rsidRPr="00F270DB">
              <w:t>utilizar os métodos adequados para responder às questões estudadas, especificando-os, seja a pesquisa qualitativa, quantitativa ou quali-quantitativa;</w:t>
            </w:r>
          </w:p>
        </w:tc>
      </w:tr>
      <w:tr w:rsidR="006A1DB0" w:rsidRPr="00F270DB" w14:paraId="61059A38"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2A241FB9" w14:textId="2EFA42C4" w:rsidR="006A1DB0" w:rsidRPr="00F270DB" w:rsidRDefault="006A1DB0" w:rsidP="00DB09C5">
            <w:pPr>
              <w:jc w:val="both"/>
            </w:pPr>
            <w:r w:rsidRPr="00F270DB">
              <w:t>6</w:t>
            </w:r>
          </w:p>
        </w:tc>
        <w:tc>
          <w:tcPr>
            <w:tcW w:w="7375" w:type="dxa"/>
          </w:tcPr>
          <w:p w14:paraId="46E1D718" w14:textId="2943274D" w:rsidR="006A1DB0" w:rsidRPr="00F270DB" w:rsidRDefault="006A1DB0" w:rsidP="00DB09C5">
            <w:pPr>
              <w:jc w:val="both"/>
              <w:cnfStyle w:val="000000000000" w:firstRow="0" w:lastRow="0" w:firstColumn="0" w:lastColumn="0" w:oddVBand="0" w:evenVBand="0" w:oddHBand="0" w:evenHBand="0" w:firstRowFirstColumn="0" w:firstRowLastColumn="0" w:lastRowFirstColumn="0" w:lastRowLastColumn="0"/>
            </w:pPr>
            <w:r w:rsidRPr="00F270DB">
              <w:t>se houver necessidade de distribuição aleatória dos participantes da pesquisa em grupos experimentais e de controle, assegurar que, a priori, não seja possível estabelecer as vantagens de um procedimento sobre outro, mediante revisão de literatura, métodos observacionais ou métodos que não envolvam seres humanos;</w:t>
            </w:r>
          </w:p>
        </w:tc>
      </w:tr>
      <w:tr w:rsidR="006A1DB0" w:rsidRPr="00F270DB" w14:paraId="685FE550"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535F96CE" w14:textId="41ED1324" w:rsidR="006A1DB0" w:rsidRPr="00F270DB" w:rsidRDefault="006A1DB0" w:rsidP="00DB09C5">
            <w:pPr>
              <w:jc w:val="both"/>
            </w:pPr>
            <w:r w:rsidRPr="00F270DB">
              <w:t>7</w:t>
            </w:r>
          </w:p>
        </w:tc>
        <w:tc>
          <w:tcPr>
            <w:tcW w:w="7375" w:type="dxa"/>
          </w:tcPr>
          <w:p w14:paraId="15293195" w14:textId="3334F7C3" w:rsidR="006A1DB0" w:rsidRPr="00F270DB" w:rsidRDefault="006A1DB0" w:rsidP="00DB09C5">
            <w:pPr>
              <w:jc w:val="both"/>
              <w:cnfStyle w:val="000000100000" w:firstRow="0" w:lastRow="0" w:firstColumn="0" w:lastColumn="0" w:oddVBand="0" w:evenVBand="0" w:oddHBand="1" w:evenHBand="0" w:firstRowFirstColumn="0" w:firstRowLastColumn="0" w:lastRowFirstColumn="0" w:lastRowLastColumn="0"/>
            </w:pPr>
            <w:r w:rsidRPr="00F270DB">
              <w:t>obter consentimento livre e esclarecido do participante da pesquisa e/ou seu representante legal, inclusive nos casos das pesquisas que, por sua natureza, impliquem justificadamente, em consentimento a posteriori;</w:t>
            </w:r>
          </w:p>
        </w:tc>
      </w:tr>
      <w:tr w:rsidR="006A1DB0" w:rsidRPr="00F270DB" w14:paraId="69871DD3"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1416D988" w14:textId="7F9014F8" w:rsidR="006A1DB0" w:rsidRPr="00F270DB" w:rsidRDefault="006A1DB0" w:rsidP="00DB09C5">
            <w:pPr>
              <w:jc w:val="both"/>
            </w:pPr>
            <w:r w:rsidRPr="00F270DB">
              <w:t>8</w:t>
            </w:r>
          </w:p>
        </w:tc>
        <w:tc>
          <w:tcPr>
            <w:tcW w:w="7375" w:type="dxa"/>
          </w:tcPr>
          <w:p w14:paraId="4BA3E4A3" w14:textId="1BD6C2F0" w:rsidR="006A1DB0" w:rsidRPr="00F270DB" w:rsidRDefault="006A1DB0" w:rsidP="00DB09C5">
            <w:pPr>
              <w:jc w:val="both"/>
              <w:cnfStyle w:val="000000000000" w:firstRow="0" w:lastRow="0" w:firstColumn="0" w:lastColumn="0" w:oddVBand="0" w:evenVBand="0" w:oddHBand="0" w:evenHBand="0" w:firstRowFirstColumn="0" w:firstRowLastColumn="0" w:lastRowFirstColumn="0" w:lastRowLastColumn="0"/>
            </w:pPr>
            <w:r w:rsidRPr="00F270DB">
              <w:t>contar com os recursos humanos e materiais necessários que garantam o bem-estar do participante da pesquisa, devendo o(s) pesquisador(es) possuir(em) capacidade profissional adequada para desenvolver sua função no projeto proposto;</w:t>
            </w:r>
          </w:p>
        </w:tc>
      </w:tr>
      <w:tr w:rsidR="006A1DB0" w:rsidRPr="00F270DB" w14:paraId="0AB98B10"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5154E1A9" w14:textId="17EE8924" w:rsidR="006A1DB0" w:rsidRPr="00F270DB" w:rsidRDefault="006A1DB0" w:rsidP="00DB09C5">
            <w:pPr>
              <w:jc w:val="both"/>
            </w:pPr>
            <w:r w:rsidRPr="00F270DB">
              <w:t>9</w:t>
            </w:r>
          </w:p>
        </w:tc>
        <w:tc>
          <w:tcPr>
            <w:tcW w:w="7375" w:type="dxa"/>
          </w:tcPr>
          <w:p w14:paraId="4062007D" w14:textId="78816AE3" w:rsidR="006A1DB0" w:rsidRPr="00F270DB" w:rsidRDefault="006A1DB0" w:rsidP="00DB09C5">
            <w:pPr>
              <w:jc w:val="both"/>
              <w:cnfStyle w:val="000000100000" w:firstRow="0" w:lastRow="0" w:firstColumn="0" w:lastColumn="0" w:oddVBand="0" w:evenVBand="0" w:oddHBand="1" w:evenHBand="0" w:firstRowFirstColumn="0" w:firstRowLastColumn="0" w:lastRowFirstColumn="0" w:lastRowLastColumn="0"/>
            </w:pPr>
            <w:r w:rsidRPr="00F270DB">
              <w:t>prever procedimentos que assegurem a confidencialidade e a privacidade, a proteção da imagem e a não estigmatização dos participantes da pesquisa, garantindo a não utilização das informações em prejuízo das pessoas e/ou das comunidades, inclusive em termos de autoestima, de prestígio e/ou de aspectos econômico-financeiros;</w:t>
            </w:r>
          </w:p>
        </w:tc>
      </w:tr>
      <w:tr w:rsidR="00783E74" w:rsidRPr="00F270DB" w14:paraId="2A11B192"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3F162873" w14:textId="77777777" w:rsidR="00783E74" w:rsidRPr="00F270DB" w:rsidRDefault="00783E74" w:rsidP="00DB09C5">
            <w:pPr>
              <w:jc w:val="both"/>
            </w:pPr>
          </w:p>
        </w:tc>
        <w:tc>
          <w:tcPr>
            <w:tcW w:w="7375" w:type="dxa"/>
          </w:tcPr>
          <w:p w14:paraId="501AAAA7" w14:textId="27D3B32C" w:rsidR="00783E74" w:rsidRPr="00F270DB" w:rsidRDefault="00783E74" w:rsidP="00DB09C5">
            <w:pPr>
              <w:jc w:val="both"/>
              <w:cnfStyle w:val="000000000000" w:firstRow="0" w:lastRow="0" w:firstColumn="0" w:lastColumn="0" w:oddVBand="0" w:evenVBand="0" w:oddHBand="0" w:evenHBand="0" w:firstRowFirstColumn="0" w:firstRowLastColumn="0" w:lastRowFirstColumn="0" w:lastRowLastColumn="0"/>
            </w:pPr>
            <w:r w:rsidRPr="00F270DB">
              <w:t>utilizar o material biológico e os dados obtidos na pesquisa exclusivamente para a finalidade prevista no seu protocolo, ou conforme o consentimento dado pelo participante da pesquisa;</w:t>
            </w:r>
          </w:p>
        </w:tc>
      </w:tr>
      <w:tr w:rsidR="006A1DB0" w:rsidRPr="00F270DB" w14:paraId="787CD539"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16D2CBA2" w14:textId="5195490B" w:rsidR="006A1DB0" w:rsidRPr="00F270DB" w:rsidRDefault="006A1DB0" w:rsidP="00DB09C5">
            <w:pPr>
              <w:jc w:val="both"/>
            </w:pPr>
            <w:r w:rsidRPr="00F270DB">
              <w:t>10</w:t>
            </w:r>
          </w:p>
        </w:tc>
        <w:tc>
          <w:tcPr>
            <w:tcW w:w="7375" w:type="dxa"/>
          </w:tcPr>
          <w:p w14:paraId="2FDAD07B" w14:textId="39626F31" w:rsidR="006A1DB0" w:rsidRPr="00F270DB" w:rsidRDefault="006A1DB0" w:rsidP="00DB09C5">
            <w:pPr>
              <w:jc w:val="both"/>
              <w:cnfStyle w:val="000000100000" w:firstRow="0" w:lastRow="0" w:firstColumn="0" w:lastColumn="0" w:oddVBand="0" w:evenVBand="0" w:oddHBand="1" w:evenHBand="0" w:firstRowFirstColumn="0" w:firstRowLastColumn="0" w:lastRowFirstColumn="0" w:lastRowLastColumn="0"/>
            </w:pPr>
            <w:r w:rsidRPr="00F270DB">
              <w:t>ser desenvolvida preferencialmente em indivíduos com autonomia plena. Indivíduos ou grupos vulneráveis não devem ser participantes de pesquisa quando a informação desejada possa ser obtida por meio de participantes com plena autonomia, a menos que a investigação possa trazer benefícios aos indivíduos ou grupos vulneráveis;</w:t>
            </w:r>
          </w:p>
        </w:tc>
      </w:tr>
      <w:tr w:rsidR="006A1DB0" w:rsidRPr="00F270DB" w14:paraId="261A1799"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5E0BF194" w14:textId="183DD309" w:rsidR="006A1DB0" w:rsidRPr="00F270DB" w:rsidRDefault="006A1DB0" w:rsidP="00DB09C5">
            <w:pPr>
              <w:jc w:val="both"/>
            </w:pPr>
            <w:r w:rsidRPr="00F270DB">
              <w:t>11</w:t>
            </w:r>
          </w:p>
        </w:tc>
        <w:tc>
          <w:tcPr>
            <w:tcW w:w="7375" w:type="dxa"/>
          </w:tcPr>
          <w:p w14:paraId="0B3FB547" w14:textId="3364C163" w:rsidR="006A1DB0" w:rsidRPr="00F270DB" w:rsidRDefault="006A1DB0" w:rsidP="00DB09C5">
            <w:pPr>
              <w:jc w:val="both"/>
              <w:cnfStyle w:val="000000000000" w:firstRow="0" w:lastRow="0" w:firstColumn="0" w:lastColumn="0" w:oddVBand="0" w:evenVBand="0" w:oddHBand="0" w:evenHBand="0" w:firstRowFirstColumn="0" w:firstRowLastColumn="0" w:lastRowFirstColumn="0" w:lastRowLastColumn="0"/>
            </w:pPr>
            <w:r w:rsidRPr="00F270DB">
              <w:t>respeitar sempre os valores culturais, sociais, morais, religiosos e éticos, como também os hábitos e costumes, quando as pesquisas envolverem comunidades;</w:t>
            </w:r>
          </w:p>
        </w:tc>
      </w:tr>
      <w:tr w:rsidR="006A1DB0" w:rsidRPr="00F270DB" w14:paraId="138461C3"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45A4BEBA" w14:textId="2041F617" w:rsidR="006A1DB0" w:rsidRPr="00F270DB" w:rsidRDefault="006A1DB0" w:rsidP="00DB09C5">
            <w:pPr>
              <w:jc w:val="both"/>
            </w:pPr>
            <w:r w:rsidRPr="00F270DB">
              <w:t>12</w:t>
            </w:r>
          </w:p>
        </w:tc>
        <w:tc>
          <w:tcPr>
            <w:tcW w:w="7375" w:type="dxa"/>
          </w:tcPr>
          <w:p w14:paraId="5C35B598" w14:textId="6A742820" w:rsidR="006A1DB0" w:rsidRPr="00F270DB" w:rsidRDefault="006A1DB0" w:rsidP="00DB09C5">
            <w:pPr>
              <w:jc w:val="both"/>
              <w:cnfStyle w:val="000000100000" w:firstRow="0" w:lastRow="0" w:firstColumn="0" w:lastColumn="0" w:oddVBand="0" w:evenVBand="0" w:oddHBand="1" w:evenHBand="0" w:firstRowFirstColumn="0" w:firstRowLastColumn="0" w:lastRowFirstColumn="0" w:lastRowLastColumn="0"/>
            </w:pPr>
            <w:r w:rsidRPr="00F270DB">
              <w:t>garantir que as pesquisas em comunidades, sempre que possível, traduzir-se-ão em benefícios cujos efeitos continuem a se fazer sentir após sua conclusão. Quando, no interesse da comunidade, houver benefício real em incentivar ou estimular mudanças de costumes ou comportamentos, o protocolo de pesquisa deve incluir, sempre que possível, disposições para comunicar tal benefício às pessoas e/ou comunidades;</w:t>
            </w:r>
          </w:p>
        </w:tc>
      </w:tr>
      <w:tr w:rsidR="006A1DB0" w:rsidRPr="00F270DB" w14:paraId="10502606"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7A86B543" w14:textId="47B755FD" w:rsidR="006A1DB0" w:rsidRPr="00F270DB" w:rsidRDefault="006A1DB0" w:rsidP="00DB09C5">
            <w:pPr>
              <w:jc w:val="both"/>
            </w:pPr>
            <w:r w:rsidRPr="00F270DB">
              <w:t>13</w:t>
            </w:r>
          </w:p>
        </w:tc>
        <w:tc>
          <w:tcPr>
            <w:tcW w:w="7375" w:type="dxa"/>
          </w:tcPr>
          <w:p w14:paraId="1CE4CB18" w14:textId="1EA802F5" w:rsidR="006A1DB0" w:rsidRPr="00F270DB" w:rsidRDefault="006A1DB0" w:rsidP="00DB09C5">
            <w:pPr>
              <w:jc w:val="both"/>
              <w:cnfStyle w:val="000000000000" w:firstRow="0" w:lastRow="0" w:firstColumn="0" w:lastColumn="0" w:oddVBand="0" w:evenVBand="0" w:oddHBand="0" w:evenHBand="0" w:firstRowFirstColumn="0" w:firstRowLastColumn="0" w:lastRowFirstColumn="0" w:lastRowLastColumn="0"/>
            </w:pPr>
            <w:r w:rsidRPr="00F270DB">
              <w:t>comunicar às autoridades competentes, bem como aos órgãos legitimados pelo Controle Social, os resultados e/ou achados da pesquisa, sempre que estes puderem contribuir para a melhoria das condições de vida da coletividade, preservando, porém, a imagem e assegurando que os participantes da pesquisa não sejam estigmatizados;</w:t>
            </w:r>
          </w:p>
        </w:tc>
      </w:tr>
      <w:tr w:rsidR="006A1DB0" w:rsidRPr="00F270DB" w14:paraId="7D823058"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3AF304B1" w14:textId="4EF42E97" w:rsidR="006A1DB0" w:rsidRPr="00F270DB" w:rsidRDefault="006A1DB0" w:rsidP="00DB09C5">
            <w:pPr>
              <w:jc w:val="both"/>
            </w:pPr>
            <w:r w:rsidRPr="00F270DB">
              <w:t>14</w:t>
            </w:r>
          </w:p>
        </w:tc>
        <w:tc>
          <w:tcPr>
            <w:tcW w:w="7375" w:type="dxa"/>
          </w:tcPr>
          <w:p w14:paraId="1807C7A1" w14:textId="3E0357EC" w:rsidR="006A1DB0" w:rsidRPr="00F270DB" w:rsidRDefault="006A1DB0" w:rsidP="00DB09C5">
            <w:pPr>
              <w:jc w:val="both"/>
              <w:cnfStyle w:val="000000100000" w:firstRow="0" w:lastRow="0" w:firstColumn="0" w:lastColumn="0" w:oddVBand="0" w:evenVBand="0" w:oddHBand="1" w:evenHBand="0" w:firstRowFirstColumn="0" w:firstRowLastColumn="0" w:lastRowFirstColumn="0" w:lastRowLastColumn="0"/>
            </w:pPr>
            <w:r w:rsidRPr="00F270DB">
              <w:t>assegurar aos participantes da pesquisa os benefícios resultantes do projeto, seja em termos de retorno social, acesso aos procedimentos, produtos ou agentes da pesquisa;</w:t>
            </w:r>
          </w:p>
        </w:tc>
      </w:tr>
      <w:tr w:rsidR="006A1DB0" w:rsidRPr="00F270DB" w14:paraId="76185BD7"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3B42218C" w14:textId="5DF3D6C6" w:rsidR="006A1DB0" w:rsidRPr="00F270DB" w:rsidRDefault="006A1DB0" w:rsidP="00DB09C5">
            <w:pPr>
              <w:jc w:val="both"/>
            </w:pPr>
            <w:r w:rsidRPr="00F270DB">
              <w:t>15</w:t>
            </w:r>
          </w:p>
        </w:tc>
        <w:tc>
          <w:tcPr>
            <w:tcW w:w="7375" w:type="dxa"/>
          </w:tcPr>
          <w:p w14:paraId="730DDE5C" w14:textId="528D0A0D" w:rsidR="006A1DB0" w:rsidRPr="00F270DB" w:rsidRDefault="006A1DB0" w:rsidP="00DB09C5">
            <w:pPr>
              <w:jc w:val="both"/>
              <w:cnfStyle w:val="000000000000" w:firstRow="0" w:lastRow="0" w:firstColumn="0" w:lastColumn="0" w:oddVBand="0" w:evenVBand="0" w:oddHBand="0" w:evenHBand="0" w:firstRowFirstColumn="0" w:firstRowLastColumn="0" w:lastRowFirstColumn="0" w:lastRowLastColumn="0"/>
            </w:pPr>
            <w:r w:rsidRPr="00F270DB">
              <w:t>assegurar aos participantes da pesquisa as condições de acompanhamento, tratamento, assistência integral e orientação, conforme o caso, enquanto necessário, inclusive nas pesquisas de rastreamento;</w:t>
            </w:r>
          </w:p>
        </w:tc>
      </w:tr>
      <w:tr w:rsidR="00783E74" w:rsidRPr="00F270DB" w14:paraId="6CD315B5"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4E229371" w14:textId="77777777" w:rsidR="00783E74" w:rsidRPr="00F270DB" w:rsidRDefault="00783E74" w:rsidP="00DB09C5">
            <w:pPr>
              <w:jc w:val="both"/>
            </w:pPr>
          </w:p>
        </w:tc>
        <w:tc>
          <w:tcPr>
            <w:tcW w:w="7375" w:type="dxa"/>
          </w:tcPr>
          <w:p w14:paraId="1F7F2C4C" w14:textId="76452D4C" w:rsidR="00783E74" w:rsidRPr="00F270DB" w:rsidRDefault="00783E74" w:rsidP="00DB09C5">
            <w:pPr>
              <w:jc w:val="both"/>
              <w:cnfStyle w:val="000000100000" w:firstRow="0" w:lastRow="0" w:firstColumn="0" w:lastColumn="0" w:oddVBand="0" w:evenVBand="0" w:oddHBand="1" w:evenHBand="0" w:firstRowFirstColumn="0" w:firstRowLastColumn="0" w:lastRowFirstColumn="0" w:lastRowLastColumn="0"/>
            </w:pPr>
            <w:r w:rsidRPr="00F270DB">
              <w:t>assegurar a todos os participantes ao final do estudo, por parte do patrocinador, acesso gratuito e por tempo indeterminado, aos melhores métodos profiláticos, diagnósticos e terapêuticos que se demonstraram eficazes;</w:t>
            </w:r>
          </w:p>
        </w:tc>
      </w:tr>
      <w:tr w:rsidR="006A1DB0" w:rsidRPr="00F270DB" w14:paraId="032CF468"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4452FDF5" w14:textId="3EF67547" w:rsidR="006A1DB0" w:rsidRPr="00F270DB" w:rsidRDefault="006A1DB0" w:rsidP="00DB09C5">
            <w:pPr>
              <w:jc w:val="both"/>
            </w:pPr>
            <w:r w:rsidRPr="00F270DB">
              <w:t>16</w:t>
            </w:r>
          </w:p>
        </w:tc>
        <w:tc>
          <w:tcPr>
            <w:tcW w:w="7375" w:type="dxa"/>
          </w:tcPr>
          <w:p w14:paraId="3EE57100" w14:textId="3516BA1E" w:rsidR="006A1DB0" w:rsidRPr="00F270DB" w:rsidRDefault="006A1DB0" w:rsidP="00DB09C5">
            <w:pPr>
              <w:jc w:val="both"/>
              <w:cnfStyle w:val="000000000000" w:firstRow="0" w:lastRow="0" w:firstColumn="0" w:lastColumn="0" w:oddVBand="0" w:evenVBand="0" w:oddHBand="0" w:evenHBand="0" w:firstRowFirstColumn="0" w:firstRowLastColumn="0" w:lastRowFirstColumn="0" w:lastRowLastColumn="0"/>
            </w:pPr>
            <w:r w:rsidRPr="00F270DB">
              <w:t>comprovar, nas pesquisas conduzidas no exterior ou com cooperação estrangeira, os compromissos e as vantagens, para os participantes das pesquisas e para o Brasil, decorrentes de sua realização. Nestes casos deve ser identificado o pesquisador e a instituição nacional, responsáveis pela pesquisa no Brasil. Os estudos patrocinados no exterior também deverão responder às necessidades de transferência de conhecimento e tecnologia para a equipe brasileira, quando aplicável e, ainda, no caso do desenvolvimento de novas drogas, se comprovadas sua segurança e eficácia, é obrigatório seu registro no Brasil;</w:t>
            </w:r>
          </w:p>
        </w:tc>
      </w:tr>
      <w:tr w:rsidR="006A1DB0" w:rsidRPr="00F270DB" w14:paraId="219A4271"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268F8194" w14:textId="1F99CD74" w:rsidR="006A1DB0" w:rsidRPr="00F270DB" w:rsidRDefault="006A1DB0" w:rsidP="00DB09C5">
            <w:pPr>
              <w:jc w:val="both"/>
            </w:pPr>
            <w:r w:rsidRPr="00F270DB">
              <w:t>17</w:t>
            </w:r>
          </w:p>
        </w:tc>
        <w:tc>
          <w:tcPr>
            <w:tcW w:w="7375" w:type="dxa"/>
          </w:tcPr>
          <w:p w14:paraId="6A6AE32E" w14:textId="03A55423" w:rsidR="006A1DB0" w:rsidRPr="00F270DB" w:rsidRDefault="006A1DB0" w:rsidP="00DB09C5">
            <w:pPr>
              <w:jc w:val="both"/>
              <w:cnfStyle w:val="000000100000" w:firstRow="0" w:lastRow="0" w:firstColumn="0" w:lastColumn="0" w:oddVBand="0" w:evenVBand="0" w:oddHBand="1" w:evenHBand="0" w:firstRowFirstColumn="0" w:firstRowLastColumn="0" w:lastRowFirstColumn="0" w:lastRowLastColumn="0"/>
            </w:pPr>
            <w:r w:rsidRPr="00F270DB">
              <w:t>utilizar o material e os dados obtidos na pesquisa exclusivamente para a finalidade prevista no seu protocolo, ou conforme o consentimento do participante;</w:t>
            </w:r>
          </w:p>
        </w:tc>
      </w:tr>
      <w:tr w:rsidR="006A1DB0" w:rsidRPr="00F270DB" w14:paraId="51147BAD"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62830C3F" w14:textId="4916F4FE" w:rsidR="006A1DB0" w:rsidRPr="00F270DB" w:rsidRDefault="006A1DB0" w:rsidP="00DB09C5">
            <w:pPr>
              <w:jc w:val="both"/>
            </w:pPr>
            <w:r w:rsidRPr="00F270DB">
              <w:t>18</w:t>
            </w:r>
          </w:p>
        </w:tc>
        <w:tc>
          <w:tcPr>
            <w:tcW w:w="7375" w:type="dxa"/>
          </w:tcPr>
          <w:p w14:paraId="5879BB54" w14:textId="5F676222" w:rsidR="006A1DB0" w:rsidRPr="00F270DB" w:rsidRDefault="006A1DB0" w:rsidP="00DB09C5">
            <w:pPr>
              <w:jc w:val="both"/>
              <w:cnfStyle w:val="000000000000" w:firstRow="0" w:lastRow="0" w:firstColumn="0" w:lastColumn="0" w:oddVBand="0" w:evenVBand="0" w:oddHBand="0" w:evenHBand="0" w:firstRowFirstColumn="0" w:firstRowLastColumn="0" w:lastRowFirstColumn="0" w:lastRowLastColumn="0"/>
            </w:pPr>
            <w:r w:rsidRPr="00F270DB">
              <w:t>levar em conta, nas pesquisas realizadas em mulheres em idade fértil ou em mulheres grávidas, a avaliação de riscos e benefícios e as eventuais interferências sobre a fertilidade, a gravidez, o embrião ou o feto, o trabalho de parto, o puerpério, a lactação e o recém-nascido;</w:t>
            </w:r>
          </w:p>
        </w:tc>
      </w:tr>
      <w:tr w:rsidR="006A1DB0" w:rsidRPr="00F270DB" w14:paraId="5FAE69CD"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3517DAE3" w14:textId="3069978F" w:rsidR="006A1DB0" w:rsidRPr="00F270DB" w:rsidRDefault="006A1DB0" w:rsidP="00DB09C5">
            <w:pPr>
              <w:jc w:val="both"/>
            </w:pPr>
            <w:r w:rsidRPr="00F270DB">
              <w:t>19</w:t>
            </w:r>
          </w:p>
        </w:tc>
        <w:tc>
          <w:tcPr>
            <w:tcW w:w="7375" w:type="dxa"/>
          </w:tcPr>
          <w:p w14:paraId="6F350284" w14:textId="42AF8D20" w:rsidR="006A1DB0" w:rsidRPr="00F270DB" w:rsidRDefault="006A1DB0" w:rsidP="00DB09C5">
            <w:pPr>
              <w:jc w:val="both"/>
              <w:cnfStyle w:val="000000100000" w:firstRow="0" w:lastRow="0" w:firstColumn="0" w:lastColumn="0" w:oddVBand="0" w:evenVBand="0" w:oddHBand="1" w:evenHBand="0" w:firstRowFirstColumn="0" w:firstRowLastColumn="0" w:lastRowFirstColumn="0" w:lastRowLastColumn="0"/>
            </w:pPr>
            <w:r w:rsidRPr="00F270DB">
              <w:t>considerar que as pesquisas em mulheres grávidas devem ser precedidas de pesquisas em mulheres fora do período gestacional, exceto quando a gravidez for o objeto fundamental da pesquisa;</w:t>
            </w:r>
          </w:p>
        </w:tc>
      </w:tr>
      <w:tr w:rsidR="006A1DB0" w:rsidRPr="00F270DB" w14:paraId="34AE2AFD" w14:textId="77777777" w:rsidTr="00DB09C5">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5C1E922E" w14:textId="4C02D74B" w:rsidR="006A1DB0" w:rsidRPr="00F270DB" w:rsidRDefault="006A1DB0" w:rsidP="00DB09C5">
            <w:pPr>
              <w:jc w:val="both"/>
            </w:pPr>
            <w:r w:rsidRPr="00F270DB">
              <w:t>20</w:t>
            </w:r>
          </w:p>
        </w:tc>
        <w:tc>
          <w:tcPr>
            <w:tcW w:w="7375" w:type="dxa"/>
          </w:tcPr>
          <w:p w14:paraId="1BDAD1C5" w14:textId="30F065E1" w:rsidR="006A1DB0" w:rsidRPr="00F270DB" w:rsidRDefault="006A1DB0" w:rsidP="00DB09C5">
            <w:pPr>
              <w:jc w:val="both"/>
              <w:cnfStyle w:val="000000000000" w:firstRow="0" w:lastRow="0" w:firstColumn="0" w:lastColumn="0" w:oddVBand="0" w:evenVBand="0" w:oddHBand="0" w:evenHBand="0" w:firstRowFirstColumn="0" w:firstRowLastColumn="0" w:lastRowFirstColumn="0" w:lastRowLastColumn="0"/>
            </w:pPr>
            <w:r w:rsidRPr="00F270DB">
              <w:t xml:space="preserve">garantir, para mulheres que se declarem expressamente isentas de risco de gravidez, quer por não exercerem práticas sexuais ou por as exercerem de forma não reprodutiva, o direito de participarem de pesquisas sem o uso obrigatório de contraceptivos; </w:t>
            </w:r>
          </w:p>
        </w:tc>
      </w:tr>
      <w:tr w:rsidR="006A1DB0" w:rsidRPr="00F270DB" w14:paraId="471F69F4" w14:textId="77777777" w:rsidTr="00DB0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739D0A4E" w14:textId="2FE65FE7" w:rsidR="006A1DB0" w:rsidRPr="00F270DB" w:rsidRDefault="006A1DB0" w:rsidP="00DB09C5">
            <w:pPr>
              <w:jc w:val="both"/>
            </w:pPr>
            <w:r w:rsidRPr="00F270DB">
              <w:t>21</w:t>
            </w:r>
          </w:p>
        </w:tc>
        <w:tc>
          <w:tcPr>
            <w:tcW w:w="7375" w:type="dxa"/>
          </w:tcPr>
          <w:p w14:paraId="6AA13FF4" w14:textId="4BA39A87" w:rsidR="006A1DB0" w:rsidRPr="00F270DB" w:rsidRDefault="006A1DB0" w:rsidP="00DB09C5">
            <w:pPr>
              <w:jc w:val="both"/>
              <w:cnfStyle w:val="000000100000" w:firstRow="0" w:lastRow="0" w:firstColumn="0" w:lastColumn="0" w:oddVBand="0" w:evenVBand="0" w:oddHBand="1" w:evenHBand="0" w:firstRowFirstColumn="0" w:firstRowLastColumn="0" w:lastRowFirstColumn="0" w:lastRowLastColumn="0"/>
            </w:pPr>
            <w:r w:rsidRPr="00F270DB">
              <w:t>ser descontinuada somente após análise e manifestação, por parte do Sistema CEP/CONEP/CNS/MS que a aprovou, das razões dessa descontinuidade, a não ser em casos de justificada urgência em benefício de seus participantes.</w:t>
            </w:r>
          </w:p>
        </w:tc>
      </w:tr>
    </w:tbl>
    <w:p w14:paraId="7A295871" w14:textId="1F32DE90" w:rsidR="00DB09C5" w:rsidRDefault="00DB09C5" w:rsidP="00E053D9">
      <w:pPr>
        <w:spacing w:line="360" w:lineRule="auto"/>
        <w:jc w:val="both"/>
      </w:pPr>
    </w:p>
    <w:p w14:paraId="7D91095C" w14:textId="5C1BA85C" w:rsidR="00DB09C5" w:rsidRDefault="00783E74" w:rsidP="00E053D9">
      <w:pPr>
        <w:spacing w:line="360" w:lineRule="auto"/>
        <w:jc w:val="both"/>
      </w:pPr>
      <w:r>
        <w:tab/>
        <w:t xml:space="preserve">Em resumo, </w:t>
      </w:r>
      <w:r w:rsidRPr="00783E74">
        <w:t xml:space="preserve">baseado na interpretação dos princípios </w:t>
      </w:r>
      <w:r>
        <w:t>éticos</w:t>
      </w:r>
      <w:r w:rsidRPr="00783E74">
        <w:t>, pesquisas envolvendo seres humanos só são justificadas se houver uma probabilidade razoável de que as populações ou o universo nas quais as pesquisas são realizadas se beneficiarão dos resultados destas pesquisas.</w:t>
      </w:r>
    </w:p>
    <w:p w14:paraId="4D1B9A64" w14:textId="77777777" w:rsidR="00DB09C5" w:rsidRPr="00545FB7" w:rsidRDefault="00DB09C5" w:rsidP="00E053D9">
      <w:pPr>
        <w:spacing w:line="360" w:lineRule="auto"/>
        <w:jc w:val="both"/>
      </w:pPr>
    </w:p>
    <w:p w14:paraId="50734BFA" w14:textId="01979410" w:rsidR="0008622F" w:rsidRPr="00193168" w:rsidRDefault="00940B82" w:rsidP="00B354E3">
      <w:pPr>
        <w:spacing w:line="360" w:lineRule="auto"/>
        <w:jc w:val="both"/>
        <w:rPr>
          <w:b/>
          <w:bCs/>
        </w:rPr>
      </w:pPr>
      <w:r w:rsidRPr="00193168">
        <w:rPr>
          <w:b/>
          <w:bCs/>
        </w:rPr>
        <w:t>R</w:t>
      </w:r>
      <w:r w:rsidR="00193168" w:rsidRPr="00193168">
        <w:rPr>
          <w:b/>
          <w:bCs/>
        </w:rPr>
        <w:t>eferências</w:t>
      </w:r>
    </w:p>
    <w:p w14:paraId="7236871D" w14:textId="77777777" w:rsidR="0008622F" w:rsidRPr="0008622F" w:rsidRDefault="0008622F" w:rsidP="0008622F">
      <w:pPr>
        <w:spacing w:before="100" w:beforeAutospacing="1" w:after="100" w:afterAutospacing="1" w:line="360" w:lineRule="auto"/>
        <w:jc w:val="both"/>
      </w:pPr>
      <w:r w:rsidRPr="0008622F">
        <w:t xml:space="preserve">ALBUQUERQUE, A. Para uma ética em pesquisa fundada. </w:t>
      </w:r>
      <w:r w:rsidRPr="0008622F">
        <w:rPr>
          <w:b/>
          <w:bCs/>
        </w:rPr>
        <w:t>Revista Bioética</w:t>
      </w:r>
      <w:r w:rsidRPr="0008622F">
        <w:t xml:space="preserve">, </w:t>
      </w:r>
      <w:r>
        <w:t xml:space="preserve">Vol. </w:t>
      </w:r>
      <w:r w:rsidRPr="0008622F">
        <w:t>21, 412-22</w:t>
      </w:r>
      <w:r>
        <w:t>, 2013.</w:t>
      </w:r>
    </w:p>
    <w:p w14:paraId="30EA66D0" w14:textId="3004B5BE" w:rsidR="0008622F" w:rsidRPr="004F4665" w:rsidRDefault="0008622F" w:rsidP="000F5415">
      <w:pPr>
        <w:spacing w:line="360" w:lineRule="auto"/>
        <w:jc w:val="both"/>
      </w:pPr>
      <w:r w:rsidRPr="00545FB7">
        <w:t xml:space="preserve">ANDRADE, A. Fatores que influenciam no resultado do experimento animal. In: ANDRADE, A., PINTO, SC., and OLIVEIRA, RS., orgs. Animais de Laboratório: criação e experimentação [online]. </w:t>
      </w:r>
      <w:r w:rsidRPr="004F4665">
        <w:t xml:space="preserve">Rio de Janeiro: </w:t>
      </w:r>
      <w:r w:rsidRPr="004F4665">
        <w:rPr>
          <w:b/>
        </w:rPr>
        <w:t>Editora FIOCRUZ,</w:t>
      </w:r>
      <w:r w:rsidRPr="004F4665">
        <w:t xml:space="preserve"> p.290,2002.  </w:t>
      </w:r>
    </w:p>
    <w:p w14:paraId="3FBD1656" w14:textId="77777777" w:rsidR="0008622F" w:rsidRPr="004F4665" w:rsidRDefault="0008622F" w:rsidP="000F5415">
      <w:pPr>
        <w:spacing w:line="360" w:lineRule="auto"/>
        <w:jc w:val="both"/>
      </w:pPr>
    </w:p>
    <w:p w14:paraId="2B76F608" w14:textId="77777777" w:rsidR="0008622F" w:rsidRPr="004F4665" w:rsidRDefault="0008622F" w:rsidP="000F5415">
      <w:pPr>
        <w:spacing w:line="360" w:lineRule="auto"/>
        <w:jc w:val="both"/>
        <w:rPr>
          <w:lang w:val="en-US"/>
        </w:rPr>
      </w:pPr>
      <w:r w:rsidRPr="00545FB7">
        <w:t xml:space="preserve">ANDRADE, A., PINTO, S. C., OLIVEIRA, R. S., orgs. Animais de Laboratório: criação e experimentação [online]. </w:t>
      </w:r>
      <w:r w:rsidRPr="004F4665">
        <w:rPr>
          <w:lang w:val="en-US"/>
        </w:rPr>
        <w:t xml:space="preserve">Rio de Janeiro: </w:t>
      </w:r>
      <w:r w:rsidRPr="004F4665">
        <w:rPr>
          <w:b/>
          <w:lang w:val="en-US"/>
        </w:rPr>
        <w:t>Editora FIOCRUZ</w:t>
      </w:r>
      <w:r w:rsidRPr="004F4665">
        <w:rPr>
          <w:lang w:val="en-US"/>
        </w:rPr>
        <w:t>, 388 p. 2002.</w:t>
      </w:r>
    </w:p>
    <w:p w14:paraId="0DC95ACA" w14:textId="2B1D0FDB" w:rsidR="0008622F" w:rsidRPr="00EE0CE3" w:rsidRDefault="0008622F" w:rsidP="000F5415">
      <w:pPr>
        <w:spacing w:before="100" w:beforeAutospacing="1" w:after="100" w:afterAutospacing="1" w:line="360" w:lineRule="auto"/>
        <w:jc w:val="both"/>
      </w:pPr>
      <w:r w:rsidRPr="00545FB7">
        <w:rPr>
          <w:lang w:val="en-US"/>
        </w:rPr>
        <w:t xml:space="preserve">BAUMANS, V; VAN LOO, P. L. P. How to improve housing conditions of laboratory animals: The possibilities of environmental refinement. </w:t>
      </w:r>
      <w:r w:rsidRPr="00EE0CE3">
        <w:rPr>
          <w:b/>
        </w:rPr>
        <w:t>The Veterinary Journal</w:t>
      </w:r>
      <w:r w:rsidRPr="00EE0CE3">
        <w:t>. Vol. 195, n.1, January, p.24–32, 2013.</w:t>
      </w:r>
    </w:p>
    <w:p w14:paraId="14F61542" w14:textId="3E43330D" w:rsidR="00673B47" w:rsidRPr="00673B47" w:rsidRDefault="00673B47" w:rsidP="000F5415">
      <w:pPr>
        <w:spacing w:before="100" w:beforeAutospacing="1" w:after="100" w:afterAutospacing="1" w:line="360" w:lineRule="auto"/>
        <w:jc w:val="both"/>
      </w:pPr>
      <w:r w:rsidRPr="00673B47">
        <w:t>BI</w:t>
      </w:r>
      <w:r>
        <w:t xml:space="preserve">NSFELD, P.C. Sistema Nacional de Ética de Pesquisa com Seres Humanos. </w:t>
      </w:r>
      <w:r w:rsidRPr="00673B47">
        <w:rPr>
          <w:b/>
          <w:bCs/>
        </w:rPr>
        <w:t>Cadernos de Ética em Pesquisa</w:t>
      </w:r>
      <w:r>
        <w:t xml:space="preserve">, v. 1, n. 1, p. </w:t>
      </w:r>
      <w:r w:rsidRPr="00673B47">
        <w:t>17-30</w:t>
      </w:r>
      <w:r>
        <w:t xml:space="preserve">; </w:t>
      </w:r>
      <w:r w:rsidRPr="00673B47">
        <w:t>2019</w:t>
      </w:r>
      <w:r>
        <w:t>.</w:t>
      </w:r>
    </w:p>
    <w:p w14:paraId="00ACAE9C" w14:textId="2D7EB232" w:rsidR="0008622F" w:rsidRDefault="0008622F" w:rsidP="000F5415">
      <w:pPr>
        <w:spacing w:before="100" w:beforeAutospacing="1" w:after="100" w:afterAutospacing="1" w:line="360" w:lineRule="auto"/>
        <w:jc w:val="both"/>
      </w:pPr>
      <w:r w:rsidRPr="00673B47">
        <w:t xml:space="preserve">BRAGA, L. M. G. M. </w:t>
      </w:r>
      <w:r w:rsidRPr="00673B47">
        <w:rPr>
          <w:b/>
          <w:bCs/>
        </w:rPr>
        <w:t>Os 3 RS</w:t>
      </w:r>
      <w:r w:rsidRPr="00673B47">
        <w:t xml:space="preserve">. </w:t>
      </w:r>
      <w:r w:rsidRPr="00545FB7">
        <w:t>In: Cuidados e Manejo de Animais de Laboratório. São Paulo</w:t>
      </w:r>
      <w:r w:rsidR="005909F4">
        <w:t>: Editora Atheneu</w:t>
      </w:r>
      <w:r w:rsidRPr="00545FB7">
        <w:t>, p.29-36, 2009.</w:t>
      </w:r>
    </w:p>
    <w:p w14:paraId="7086FE67" w14:textId="270B2140" w:rsidR="00C3280A" w:rsidRDefault="00C3280A" w:rsidP="000F5415">
      <w:pPr>
        <w:spacing w:before="100" w:beforeAutospacing="1" w:after="100" w:afterAutospacing="1" w:line="360" w:lineRule="auto"/>
        <w:jc w:val="both"/>
      </w:pPr>
      <w:r>
        <w:t xml:space="preserve">BRASIL. </w:t>
      </w:r>
      <w:r w:rsidR="006D5680" w:rsidRPr="006D5680">
        <w:rPr>
          <w:b/>
          <w:bCs/>
        </w:rPr>
        <w:t xml:space="preserve">Mapa dos </w:t>
      </w:r>
      <w:r w:rsidRPr="006D5680">
        <w:rPr>
          <w:b/>
          <w:bCs/>
        </w:rPr>
        <w:t>CEP</w:t>
      </w:r>
      <w:r w:rsidR="006D5680" w:rsidRPr="006D5680">
        <w:rPr>
          <w:b/>
          <w:bCs/>
        </w:rPr>
        <w:t>s</w:t>
      </w:r>
      <w:r>
        <w:t>.</w:t>
      </w:r>
      <w:r w:rsidR="006D5680">
        <w:t xml:space="preserve"> Ministério da Saúde, Conselho Nacional de Saúde, </w:t>
      </w:r>
      <w:r w:rsidR="006D5680" w:rsidRPr="006D5680">
        <w:t>Comissão Nacional de Ética em Pesquisa-CONEP</w:t>
      </w:r>
      <w:r w:rsidR="006D5680">
        <w:t xml:space="preserve">, 2021. Acesso em: 04 jan 2022. Disponível em: </w:t>
      </w:r>
      <w:hyperlink r:id="rId13" w:history="1">
        <w:r w:rsidR="006D5680" w:rsidRPr="00A32333">
          <w:rPr>
            <w:rStyle w:val="Hyperlink"/>
          </w:rPr>
          <w:t>http://conselho.saude.gov.br/comites-de-etica-em-pesquisa-conep?view=default</w:t>
        </w:r>
      </w:hyperlink>
      <w:r w:rsidR="006D5680">
        <w:t xml:space="preserve"> </w:t>
      </w:r>
    </w:p>
    <w:p w14:paraId="2D9D8FD5" w14:textId="14C4DC5C" w:rsidR="00B65E66" w:rsidRDefault="00B65E66" w:rsidP="000F5415">
      <w:pPr>
        <w:spacing w:before="100" w:beforeAutospacing="1" w:after="100" w:afterAutospacing="1" w:line="360" w:lineRule="auto"/>
        <w:jc w:val="both"/>
      </w:pPr>
      <w:r>
        <w:t xml:space="preserve">BRASIL. </w:t>
      </w:r>
      <w:r w:rsidRPr="00B65E66">
        <w:rPr>
          <w:b/>
          <w:bCs/>
        </w:rPr>
        <w:t>Comissão Nacional de Ética em Pesquisa-CONEP</w:t>
      </w:r>
      <w:r>
        <w:t xml:space="preserve">. Ministério da Saúde, Conselho Nacional de Saúde. Acesso em: 04 jan 2022. Disponível em: </w:t>
      </w:r>
      <w:hyperlink r:id="rId14" w:history="1">
        <w:r w:rsidRPr="00A32333">
          <w:rPr>
            <w:rStyle w:val="Hyperlink"/>
          </w:rPr>
          <w:t>http://conselho.saude.gov.br/comissoes-cns/conep</w:t>
        </w:r>
      </w:hyperlink>
    </w:p>
    <w:p w14:paraId="7BB34520" w14:textId="2BC66342" w:rsidR="0008622F" w:rsidRPr="00545FB7" w:rsidRDefault="0008622F" w:rsidP="000F5415">
      <w:pPr>
        <w:spacing w:before="100" w:beforeAutospacing="1" w:after="100" w:afterAutospacing="1" w:line="360" w:lineRule="auto"/>
        <w:jc w:val="both"/>
      </w:pPr>
      <w:r w:rsidRPr="00545FB7">
        <w:t>BRASIL</w:t>
      </w:r>
      <w:r w:rsidR="00837FD7">
        <w:t>.</w:t>
      </w:r>
      <w:r w:rsidRPr="00545FB7">
        <w:t xml:space="preserve"> </w:t>
      </w:r>
      <w:r w:rsidRPr="005909F4">
        <w:rPr>
          <w:b/>
          <w:bCs/>
        </w:rPr>
        <w:t>Lei nº 11.794</w:t>
      </w:r>
      <w:r w:rsidRPr="00545FB7">
        <w:t>, de 8 de outubro de 2008.</w:t>
      </w:r>
      <w:r w:rsidR="00837FD7">
        <w:t xml:space="preserve"> </w:t>
      </w:r>
      <w:r w:rsidRPr="00545FB7">
        <w:t>Ministério da Ciências e Tecnologia, Concelho Nacional de Controle de Experimentação Animal,</w:t>
      </w:r>
      <w:r w:rsidR="00837FD7">
        <w:t xml:space="preserve"> </w:t>
      </w:r>
      <w:r w:rsidRPr="00545FB7">
        <w:t>Brasília-DF, 2008</w:t>
      </w:r>
    </w:p>
    <w:p w14:paraId="276FCE25" w14:textId="69522172" w:rsidR="0008622F" w:rsidRDefault="00837FD7" w:rsidP="000F5415">
      <w:pPr>
        <w:spacing w:before="100" w:beforeAutospacing="1" w:after="100" w:afterAutospacing="1" w:line="360" w:lineRule="auto"/>
        <w:jc w:val="both"/>
      </w:pPr>
      <w:r w:rsidRPr="00545FB7">
        <w:t xml:space="preserve">BRASIL. </w:t>
      </w:r>
      <w:r w:rsidR="0008622F" w:rsidRPr="005909F4">
        <w:rPr>
          <w:b/>
          <w:bCs/>
        </w:rPr>
        <w:t>Decreto nº 6.899</w:t>
      </w:r>
      <w:r w:rsidR="0008622F" w:rsidRPr="00545FB7">
        <w:t>, de 15 de julho de 2009. Dispõe sobre a composição do Conselho Nacional de Controle de Experimentação Animal (Concea), estabelece as normas para o seu funcionamento e de sua Secretaria-Executiva, cria o Cadastro das Instituições de Uso Científico de Animais (Ciuca) e dá outras providências [Internet]. Diário Oficial da União. Brasília, 16 jul 2009 [acesso 07 jan 2021]. Disponível: http://bit.ly/2DbXD7A [ Links ]</w:t>
      </w:r>
    </w:p>
    <w:p w14:paraId="0EDA1445" w14:textId="24D2631E" w:rsidR="00670D46" w:rsidRDefault="00670D46" w:rsidP="000F5415">
      <w:pPr>
        <w:spacing w:before="100" w:beforeAutospacing="1" w:after="100" w:afterAutospacing="1" w:line="360" w:lineRule="auto"/>
        <w:jc w:val="both"/>
      </w:pPr>
      <w:r>
        <w:t xml:space="preserve">BRASIL. </w:t>
      </w:r>
      <w:r w:rsidRPr="00670D46">
        <w:rPr>
          <w:b/>
          <w:bCs/>
        </w:rPr>
        <w:t>Plataforma Brasil</w:t>
      </w:r>
      <w:r>
        <w:rPr>
          <w:b/>
          <w:bCs/>
        </w:rPr>
        <w:t xml:space="preserve">, </w:t>
      </w:r>
      <w:r>
        <w:t xml:space="preserve">versão 3.2. Ministério da Saúde, Conselho Nacional de Saúde-CNS, </w:t>
      </w:r>
      <w:r w:rsidRPr="00670D46">
        <w:t>Comissão Nacional de Ética em Pesquisa</w:t>
      </w:r>
      <w:r>
        <w:t>-CONEP</w:t>
      </w:r>
      <w:r w:rsidR="00673B47">
        <w:t>, 2022.</w:t>
      </w:r>
      <w:r>
        <w:t xml:space="preserve"> </w:t>
      </w:r>
      <w:r w:rsidR="00B65E66">
        <w:t xml:space="preserve">Acesso em: 04 jan 2022. </w:t>
      </w:r>
      <w:r>
        <w:t xml:space="preserve">Disponível </w:t>
      </w:r>
      <w:r w:rsidR="00B65E66">
        <w:t xml:space="preserve">em: </w:t>
      </w:r>
      <w:hyperlink r:id="rId15" w:history="1">
        <w:r w:rsidR="00B65E66" w:rsidRPr="00A32333">
          <w:rPr>
            <w:rStyle w:val="Hyperlink"/>
          </w:rPr>
          <w:t>https://plataformabrasil.saude.gov.br/login.jsf</w:t>
        </w:r>
      </w:hyperlink>
      <w:r w:rsidR="00B65E66">
        <w:t xml:space="preserve"> </w:t>
      </w:r>
    </w:p>
    <w:p w14:paraId="5FAAEB4E" w14:textId="7E14CA92" w:rsidR="00837FD7" w:rsidRDefault="00837FD7" w:rsidP="00F34F01">
      <w:pPr>
        <w:jc w:val="both"/>
      </w:pPr>
      <w:r>
        <w:t xml:space="preserve">BRASIL. </w:t>
      </w:r>
      <w:r w:rsidRPr="005909F4">
        <w:rPr>
          <w:b/>
          <w:bCs/>
        </w:rPr>
        <w:t>Resolução n</w:t>
      </w:r>
      <w:r w:rsidRPr="005909F4">
        <w:rPr>
          <w:b/>
          <w:bCs/>
          <w:vertAlign w:val="superscript"/>
        </w:rPr>
        <w:t>o</w:t>
      </w:r>
      <w:r w:rsidRPr="005909F4">
        <w:rPr>
          <w:b/>
          <w:bCs/>
        </w:rPr>
        <w:t xml:space="preserve"> 196</w:t>
      </w:r>
      <w:r>
        <w:t xml:space="preserve">, de 10 de outubro de1996. </w:t>
      </w:r>
      <w:r w:rsidR="00F34F01">
        <w:t xml:space="preserve">Aprova as </w:t>
      </w:r>
      <w:r w:rsidR="00F34F01" w:rsidRPr="00F34F01">
        <w:t>diretrizes e normas regulamentadoras de pesquisas envolvendo seres humanos</w:t>
      </w:r>
      <w:r w:rsidR="00F34F01">
        <w:t xml:space="preserve">. </w:t>
      </w:r>
      <w:r>
        <w:t>Ministério da Saúde</w:t>
      </w:r>
      <w:r w:rsidR="00F34F01">
        <w:t>, Conselho Nacional de Saúde. Brasília-DF, 1996.</w:t>
      </w:r>
    </w:p>
    <w:p w14:paraId="7EAC4290" w14:textId="442C8F39" w:rsidR="00F34F01" w:rsidRDefault="00F34F01" w:rsidP="00F34F01">
      <w:pPr>
        <w:jc w:val="both"/>
      </w:pPr>
      <w:r>
        <w:t xml:space="preserve">BRASIL. </w:t>
      </w:r>
      <w:r w:rsidRPr="005909F4">
        <w:rPr>
          <w:b/>
          <w:bCs/>
        </w:rPr>
        <w:t>Resolução</w:t>
      </w:r>
      <w:r w:rsidR="005909F4" w:rsidRPr="005909F4">
        <w:rPr>
          <w:b/>
          <w:bCs/>
        </w:rPr>
        <w:t xml:space="preserve"> n</w:t>
      </w:r>
      <w:r w:rsidR="005909F4" w:rsidRPr="005909F4">
        <w:rPr>
          <w:b/>
          <w:bCs/>
          <w:vertAlign w:val="superscript"/>
        </w:rPr>
        <w:t>o</w:t>
      </w:r>
      <w:r w:rsidRPr="005909F4">
        <w:rPr>
          <w:b/>
          <w:bCs/>
        </w:rPr>
        <w:t xml:space="preserve"> 466</w:t>
      </w:r>
      <w:r>
        <w:t xml:space="preserve">, de dezembro de 2012. Aprova </w:t>
      </w:r>
      <w:r w:rsidRPr="00F34F01">
        <w:t>diretrizes e normas regulamentadoras de pesquisas envolvendo seres humanos</w:t>
      </w:r>
      <w:r>
        <w:t xml:space="preserve">. Ministério da Saúde, Conselho Nacional de Saúde. </w:t>
      </w:r>
      <w:r w:rsidRPr="00F34F01">
        <w:t>D</w:t>
      </w:r>
      <w:r>
        <w:t xml:space="preserve">iário </w:t>
      </w:r>
      <w:r w:rsidRPr="00F34F01">
        <w:t>O</w:t>
      </w:r>
      <w:r>
        <w:t xml:space="preserve">ficial da </w:t>
      </w:r>
      <w:r w:rsidRPr="00F34F01">
        <w:t>U</w:t>
      </w:r>
      <w:r>
        <w:t>nião</w:t>
      </w:r>
      <w:r w:rsidRPr="00F34F01">
        <w:t xml:space="preserve"> nº 12, 13 de junho de 2013</w:t>
      </w:r>
      <w:r>
        <w:t xml:space="preserve">. </w:t>
      </w:r>
    </w:p>
    <w:p w14:paraId="7C7F5AC4" w14:textId="34C1B06E" w:rsidR="00EE0CE3" w:rsidRPr="00837FD7" w:rsidRDefault="00EE0CE3" w:rsidP="00AD33A6">
      <w:pPr>
        <w:spacing w:before="100" w:beforeAutospacing="1" w:after="100" w:afterAutospacing="1"/>
        <w:jc w:val="both"/>
      </w:pPr>
      <w:r>
        <w:t>B</w:t>
      </w:r>
      <w:r w:rsidR="00AD33A6">
        <w:t>RASIL</w:t>
      </w:r>
      <w:r>
        <w:t xml:space="preserve">. </w:t>
      </w:r>
      <w:r w:rsidRPr="005909F4">
        <w:rPr>
          <w:b/>
          <w:bCs/>
        </w:rPr>
        <w:t>Resolução n</w:t>
      </w:r>
      <w:r w:rsidRPr="005909F4">
        <w:rPr>
          <w:b/>
          <w:bCs/>
          <w:vertAlign w:val="superscript"/>
        </w:rPr>
        <w:t>o</w:t>
      </w:r>
      <w:r w:rsidRPr="005909F4">
        <w:rPr>
          <w:b/>
          <w:bCs/>
        </w:rPr>
        <w:t xml:space="preserve"> </w:t>
      </w:r>
      <w:r>
        <w:rPr>
          <w:b/>
          <w:bCs/>
        </w:rPr>
        <w:t>510</w:t>
      </w:r>
      <w:r>
        <w:t>, de dezembro de 2016. D</w:t>
      </w:r>
      <w:r w:rsidRPr="00EE0CE3">
        <w:t>ispõe sobre as normas aplicáveis a pesquisas em Ciências</w:t>
      </w:r>
      <w:r>
        <w:t xml:space="preserve"> </w:t>
      </w:r>
      <w:r w:rsidRPr="00EE0CE3">
        <w:t>Humanas e Sociais c</w:t>
      </w:r>
      <w:r>
        <w:t>u</w:t>
      </w:r>
      <w:r w:rsidRPr="00EE0CE3">
        <w:t>jos procedim</w:t>
      </w:r>
      <w:r>
        <w:t>e</w:t>
      </w:r>
      <w:r w:rsidRPr="00EE0CE3">
        <w:t>ntos metodológicos envolvam a utilização de dados</w:t>
      </w:r>
      <w:r>
        <w:t xml:space="preserve"> </w:t>
      </w:r>
      <w:r w:rsidRPr="00EE0CE3">
        <w:t>diretamente obtidos com os participantes ou de informações identificáveis ou que</w:t>
      </w:r>
      <w:r>
        <w:t xml:space="preserve"> </w:t>
      </w:r>
      <w:r w:rsidRPr="00EE0CE3">
        <w:t>possam acarretar riscos maiores do que os existentes na vida co</w:t>
      </w:r>
      <w:r>
        <w:t>t</w:t>
      </w:r>
      <w:r w:rsidRPr="00EE0CE3">
        <w:t>idiana, na forma</w:t>
      </w:r>
      <w:r>
        <w:t xml:space="preserve"> </w:t>
      </w:r>
      <w:r w:rsidRPr="00EE0CE3">
        <w:t xml:space="preserve">definida </w:t>
      </w:r>
      <w:r>
        <w:t>n</w:t>
      </w:r>
      <w:r w:rsidRPr="00EE0CE3">
        <w:t>esta Resolução</w:t>
      </w:r>
      <w:r>
        <w:t xml:space="preserve">. Ministério da Saúde, Conselho Nacional de Saúde. </w:t>
      </w:r>
      <w:r w:rsidRPr="00F34F01">
        <w:t>D</w:t>
      </w:r>
      <w:r>
        <w:t xml:space="preserve">iário </w:t>
      </w:r>
      <w:r w:rsidRPr="00F34F01">
        <w:t>O</w:t>
      </w:r>
      <w:r>
        <w:t xml:space="preserve">ficial da </w:t>
      </w:r>
      <w:r w:rsidRPr="00F34F01">
        <w:t>U</w:t>
      </w:r>
      <w:r>
        <w:t>nião</w:t>
      </w:r>
      <w:r w:rsidRPr="00F34F01">
        <w:t xml:space="preserve"> nº </w:t>
      </w:r>
      <w:r>
        <w:t>98</w:t>
      </w:r>
      <w:r w:rsidRPr="00F34F01">
        <w:t xml:space="preserve">, </w:t>
      </w:r>
      <w:r>
        <w:t>24</w:t>
      </w:r>
      <w:r w:rsidRPr="00F34F01">
        <w:t xml:space="preserve"> de </w:t>
      </w:r>
      <w:r>
        <w:t>maio</w:t>
      </w:r>
      <w:r w:rsidRPr="00F34F01">
        <w:t xml:space="preserve"> de 201</w:t>
      </w:r>
      <w:r>
        <w:t>6.</w:t>
      </w:r>
    </w:p>
    <w:p w14:paraId="074427A7" w14:textId="554D7C41" w:rsidR="0008622F" w:rsidRPr="00545FB7" w:rsidRDefault="0008622F" w:rsidP="00AD33A6">
      <w:pPr>
        <w:spacing w:before="100" w:beforeAutospacing="1" w:after="100" w:afterAutospacing="1"/>
        <w:jc w:val="both"/>
        <w:rPr>
          <w:color w:val="800000"/>
        </w:rPr>
      </w:pPr>
      <w:r w:rsidRPr="00545FB7">
        <w:t xml:space="preserve">BROOM, D.M.; MOLENTO, C.F.M. Bem-estar animal: Conceitos e Questões Relacionadas – revisão. </w:t>
      </w:r>
      <w:r w:rsidRPr="005909F4">
        <w:rPr>
          <w:b/>
          <w:bCs/>
        </w:rPr>
        <w:t>Archives of Veterinary Science</w:t>
      </w:r>
      <w:r w:rsidR="005909F4">
        <w:t>,</w:t>
      </w:r>
      <w:r w:rsidRPr="00545FB7">
        <w:t xml:space="preserve"> v. 9, n. 2, p. 1-11, 2004.</w:t>
      </w:r>
    </w:p>
    <w:p w14:paraId="52E9F4C9" w14:textId="6986E53B" w:rsidR="0008622F" w:rsidRPr="00545FB7" w:rsidRDefault="0008622F" w:rsidP="00AD33A6">
      <w:pPr>
        <w:spacing w:before="100" w:beforeAutospacing="1" w:after="100" w:afterAutospacing="1"/>
        <w:jc w:val="both"/>
      </w:pPr>
      <w:r w:rsidRPr="00545FB7">
        <w:t xml:space="preserve">CARDOSO, C. </w:t>
      </w:r>
      <w:r w:rsidRPr="005909F4">
        <w:rPr>
          <w:b/>
          <w:bCs/>
        </w:rPr>
        <w:t>Legislação Brasileira para o Uso de Animais em Pesquisa.</w:t>
      </w:r>
      <w:r w:rsidRPr="00545FB7">
        <w:t xml:space="preserve"> In: Cuidados e Manejo de Animais de Laboratório. São Paulo</w:t>
      </w:r>
      <w:r w:rsidR="005909F4">
        <w:t>: Editora Atheneu</w:t>
      </w:r>
      <w:r w:rsidRPr="00545FB7">
        <w:t>, p.11-28, 2009.</w:t>
      </w:r>
    </w:p>
    <w:p w14:paraId="398B344D" w14:textId="7886DA19" w:rsidR="0008622F" w:rsidRPr="00545FB7" w:rsidRDefault="0008622F" w:rsidP="00AD33A6">
      <w:pPr>
        <w:spacing w:before="100" w:beforeAutospacing="1" w:after="100" w:afterAutospacing="1"/>
        <w:jc w:val="both"/>
      </w:pPr>
      <w:r w:rsidRPr="00545FB7">
        <w:t>CORREA NETO, J</w:t>
      </w:r>
      <w:r w:rsidR="005909F4">
        <w:t>.</w:t>
      </w:r>
      <w:r w:rsidRPr="00545FB7">
        <w:t>L</w:t>
      </w:r>
      <w:r w:rsidR="005909F4">
        <w:t>.</w:t>
      </w:r>
      <w:r w:rsidRPr="00545FB7">
        <w:t>; LORENZO, C</w:t>
      </w:r>
      <w:r w:rsidR="005909F4">
        <w:t>.;</w:t>
      </w:r>
      <w:r w:rsidRPr="00545FB7">
        <w:t xml:space="preserve"> SANCHEZ, M</w:t>
      </w:r>
      <w:r w:rsidR="005909F4">
        <w:t>.</w:t>
      </w:r>
      <w:r w:rsidRPr="00545FB7">
        <w:t xml:space="preserve">N. Influência de uma comissão de ética na proteção de animais. </w:t>
      </w:r>
      <w:r w:rsidRPr="00EE0CE3">
        <w:rPr>
          <w:b/>
          <w:bCs/>
        </w:rPr>
        <w:t>Rev. Bioét.</w:t>
      </w:r>
      <w:r w:rsidRPr="00EE0CE3">
        <w:t xml:space="preserve"> [online]. v.</w:t>
      </w:r>
      <w:r w:rsidR="005909F4" w:rsidRPr="00EE0CE3">
        <w:t xml:space="preserve"> </w:t>
      </w:r>
      <w:r w:rsidRPr="00EE0CE3">
        <w:t>25, n.</w:t>
      </w:r>
      <w:r w:rsidR="005909F4" w:rsidRPr="00EE0CE3">
        <w:t xml:space="preserve"> </w:t>
      </w:r>
      <w:r w:rsidRPr="00EE0CE3">
        <w:t>3</w:t>
      </w:r>
      <w:r w:rsidR="005909F4" w:rsidRPr="00EE0CE3">
        <w:t>,</w:t>
      </w:r>
      <w:r w:rsidRPr="00EE0CE3">
        <w:t xml:space="preserve"> p</w:t>
      </w:r>
      <w:r w:rsidR="005909F4" w:rsidRPr="00EE0CE3">
        <w:t xml:space="preserve">. </w:t>
      </w:r>
      <w:r w:rsidRPr="00EE0CE3">
        <w:t>630-635</w:t>
      </w:r>
      <w:r w:rsidR="005909F4" w:rsidRPr="00EE0CE3">
        <w:t>, 2017.</w:t>
      </w:r>
      <w:r w:rsidRPr="00EE0CE3">
        <w:t xml:space="preserve">. </w:t>
      </w:r>
    </w:p>
    <w:p w14:paraId="16207D63" w14:textId="7714EAF6" w:rsidR="0008622F" w:rsidRPr="00545FB7" w:rsidRDefault="0008622F" w:rsidP="00AD33A6">
      <w:pPr>
        <w:spacing w:before="100" w:beforeAutospacing="1" w:after="100" w:afterAutospacing="1"/>
        <w:jc w:val="both"/>
      </w:pPr>
      <w:r w:rsidRPr="00545FB7">
        <w:t xml:space="preserve">DAMY, S. B.; CAMARGO, R. S.; CHAMMAS, R.; FIGUEIREDO, L. F. P.; Aspectos fundamentais da experimentação animal – aplicações em cirurgia experimental. </w:t>
      </w:r>
      <w:r w:rsidRPr="00545FB7">
        <w:rPr>
          <w:b/>
        </w:rPr>
        <w:t>Revista da Associação Médica Brasileira</w:t>
      </w:r>
      <w:r w:rsidRPr="00545FB7">
        <w:t>, v. 56, n. 1, p. 103-11, 2010.</w:t>
      </w:r>
    </w:p>
    <w:p w14:paraId="2D9818AD" w14:textId="7A2A35D7" w:rsidR="0008622F" w:rsidRPr="00545FB7" w:rsidRDefault="0008622F" w:rsidP="00AD33A6">
      <w:pPr>
        <w:spacing w:before="100" w:beforeAutospacing="1" w:after="100" w:afterAutospacing="1"/>
        <w:jc w:val="both"/>
      </w:pPr>
      <w:r w:rsidRPr="00545FB7">
        <w:t xml:space="preserve">FISCHER, M. L; OLIVEIRA, G. M. D. Ética no uso de animais: a experiência do comitê de ética no uso de animais da Pontifícia Universidade Católica do Paraná. Estud Biol, v. 34, n. 83, 2012. </w:t>
      </w:r>
    </w:p>
    <w:p w14:paraId="346B5E26" w14:textId="4A9CBDCD" w:rsidR="0008622F" w:rsidRPr="00545FB7" w:rsidRDefault="0008622F" w:rsidP="00AD33A6">
      <w:pPr>
        <w:spacing w:before="100" w:beforeAutospacing="1" w:after="100" w:afterAutospacing="1"/>
        <w:jc w:val="both"/>
      </w:pPr>
      <w:r w:rsidRPr="00545FB7">
        <w:t xml:space="preserve">JANKOSKI, L. G. Q; FISCHER, M. L. O papel da bioética nas comissões de ética animal. </w:t>
      </w:r>
      <w:r w:rsidRPr="005909F4">
        <w:rPr>
          <w:b/>
          <w:bCs/>
        </w:rPr>
        <w:t>Rev. Bioét</w:t>
      </w:r>
      <w:r w:rsidRPr="00545FB7">
        <w:t xml:space="preserve">., v. 27, n. 3, p. 549-565, 2019.  </w:t>
      </w:r>
    </w:p>
    <w:p w14:paraId="1320D86D" w14:textId="4B9C6A09" w:rsidR="0008622F" w:rsidRPr="00545FB7" w:rsidRDefault="0008622F" w:rsidP="00AD33A6">
      <w:pPr>
        <w:spacing w:before="100" w:beforeAutospacing="1" w:after="100" w:afterAutospacing="1"/>
        <w:jc w:val="both"/>
      </w:pPr>
      <w:r w:rsidRPr="00545FB7">
        <w:t xml:space="preserve">JUNIOR, S. M. S.; OLIVEIRA, T. K. B.; CASTRO, D. S.; MELO, M. C. S. C.; ALMEIDA, I. B. Aspectos éticos relacionados à utilização de animais de laboratório. </w:t>
      </w:r>
      <w:r w:rsidRPr="00545FB7">
        <w:rPr>
          <w:b/>
        </w:rPr>
        <w:t>INTESA</w:t>
      </w:r>
      <w:r w:rsidRPr="00545FB7">
        <w:t>, v.8, n.1, p. 08-12, 2014.</w:t>
      </w:r>
    </w:p>
    <w:p w14:paraId="2F7698FF" w14:textId="4060672D" w:rsidR="005909F4" w:rsidRPr="00545FB7" w:rsidRDefault="0008622F" w:rsidP="00AD33A6">
      <w:pPr>
        <w:spacing w:before="100" w:beforeAutospacing="1" w:after="100" w:afterAutospacing="1"/>
        <w:jc w:val="both"/>
      </w:pPr>
      <w:r w:rsidRPr="00545FB7">
        <w:t xml:space="preserve">LAPCHIK, V. V.; MATTARAIA, V. M.; KO, G. M. </w:t>
      </w:r>
      <w:r w:rsidRPr="005909F4">
        <w:rPr>
          <w:b/>
          <w:bCs/>
        </w:rPr>
        <w:t>Cuidados e manejos de animais de laboratório</w:t>
      </w:r>
      <w:r w:rsidRPr="00545FB7">
        <w:t>. São Paulo</w:t>
      </w:r>
      <w:r w:rsidR="005909F4">
        <w:t>:</w:t>
      </w:r>
      <w:r w:rsidRPr="00545FB7">
        <w:t xml:space="preserve"> </w:t>
      </w:r>
      <w:r w:rsidRPr="005909F4">
        <w:rPr>
          <w:bCs/>
        </w:rPr>
        <w:t>Atheneu Editora</w:t>
      </w:r>
      <w:r w:rsidRPr="00545FB7">
        <w:t>, p. 62-237, 2009.</w:t>
      </w:r>
    </w:p>
    <w:p w14:paraId="3435B968" w14:textId="4D62FCBE" w:rsidR="0008622F" w:rsidRPr="00545FB7" w:rsidRDefault="0008622F" w:rsidP="00AD33A6">
      <w:pPr>
        <w:spacing w:before="100" w:beforeAutospacing="1" w:after="100" w:afterAutospacing="1"/>
        <w:jc w:val="both"/>
        <w:rPr>
          <w:color w:val="000000" w:themeColor="text1"/>
        </w:rPr>
      </w:pPr>
      <w:r w:rsidRPr="00545FB7">
        <w:rPr>
          <w:color w:val="000000" w:themeColor="text1"/>
        </w:rPr>
        <w:t xml:space="preserve">OLIVEIRA, T. K. B.; GONÇALVES, C. C.; ARAGÃO, A. D. S.; ALMEIDA, I. B. Requisitos e Normas em um Biotério em uma Instituição de Ensino Superior. </w:t>
      </w:r>
      <w:r w:rsidRPr="00545FB7">
        <w:rPr>
          <w:b/>
          <w:color w:val="000000" w:themeColor="text1"/>
        </w:rPr>
        <w:t>Revista Tema</w:t>
      </w:r>
      <w:r w:rsidRPr="00545FB7">
        <w:rPr>
          <w:color w:val="000000" w:themeColor="text1"/>
        </w:rPr>
        <w:t>, v. 12, n. 17, 2011.</w:t>
      </w:r>
    </w:p>
    <w:p w14:paraId="14C6C247" w14:textId="4691E273" w:rsidR="0008622F" w:rsidRDefault="0008622F" w:rsidP="00AD33A6">
      <w:pPr>
        <w:spacing w:before="100" w:beforeAutospacing="1" w:after="100" w:afterAutospacing="1"/>
        <w:jc w:val="both"/>
        <w:rPr>
          <w:color w:val="000000" w:themeColor="text1"/>
        </w:rPr>
      </w:pPr>
      <w:r w:rsidRPr="00545FB7">
        <w:rPr>
          <w:color w:val="000000" w:themeColor="text1"/>
        </w:rPr>
        <w:t xml:space="preserve">RIVEIRA, E. </w:t>
      </w:r>
      <w:r w:rsidRPr="005909F4">
        <w:rPr>
          <w:b/>
          <w:bCs/>
          <w:color w:val="000000" w:themeColor="text1"/>
        </w:rPr>
        <w:t>Bem-estar Animal</w:t>
      </w:r>
      <w:r w:rsidRPr="00545FB7">
        <w:rPr>
          <w:color w:val="000000" w:themeColor="text1"/>
        </w:rPr>
        <w:t>. In:</w:t>
      </w:r>
      <w:r w:rsidRPr="00545FB7">
        <w:t xml:space="preserve"> LAPCHIK, V. V.; MATTARAIA, V. M.; KO, G. M. Cuidados e manejos de animais de laboratório. São Paulo</w:t>
      </w:r>
      <w:r w:rsidR="005909F4" w:rsidRPr="005909F4">
        <w:rPr>
          <w:bCs/>
        </w:rPr>
        <w:t>:</w:t>
      </w:r>
      <w:r w:rsidR="005909F4">
        <w:rPr>
          <w:bCs/>
        </w:rPr>
        <w:t xml:space="preserve"> </w:t>
      </w:r>
      <w:r w:rsidRPr="005909F4">
        <w:rPr>
          <w:bCs/>
        </w:rPr>
        <w:t>Atheneu Editora</w:t>
      </w:r>
      <w:r w:rsidRPr="00545FB7">
        <w:t>, p. 62-237, 2009.</w:t>
      </w:r>
    </w:p>
    <w:p w14:paraId="2817DBC3" w14:textId="7C35FD0C" w:rsidR="0008622F" w:rsidRPr="005909F4" w:rsidRDefault="0008622F" w:rsidP="00AD33A6">
      <w:pPr>
        <w:spacing w:before="100" w:beforeAutospacing="1" w:after="100" w:afterAutospacing="1"/>
        <w:jc w:val="both"/>
      </w:pPr>
      <w:r w:rsidRPr="0008622F">
        <w:t>STORPIRTIS, S; MORI, A</w:t>
      </w:r>
      <w:r>
        <w:t>.</w:t>
      </w:r>
      <w:r w:rsidRPr="0008622F">
        <w:t xml:space="preserve"> L</w:t>
      </w:r>
      <w:r>
        <w:t>.</w:t>
      </w:r>
      <w:r w:rsidRPr="0008622F">
        <w:t xml:space="preserve"> P; YOCHIY, A; RIBEIRO, E; PORTA, V. </w:t>
      </w:r>
      <w:r w:rsidRPr="0008622F">
        <w:rPr>
          <w:b/>
          <w:bCs/>
        </w:rPr>
        <w:t>Farmácia clínica e atenção farmacêutica</w:t>
      </w:r>
      <w:r w:rsidR="005909F4">
        <w:rPr>
          <w:b/>
          <w:bCs/>
        </w:rPr>
        <w:t>,</w:t>
      </w:r>
      <w:r w:rsidRPr="0008622F">
        <w:t xml:space="preserve"> </w:t>
      </w:r>
      <w:r w:rsidR="005909F4">
        <w:t>s</w:t>
      </w:r>
      <w:r w:rsidRPr="005909F4">
        <w:t>.</w:t>
      </w:r>
      <w:r w:rsidR="005909F4">
        <w:t xml:space="preserve"> </w:t>
      </w:r>
      <w:r w:rsidRPr="005909F4">
        <w:t>l</w:t>
      </w:r>
      <w:r w:rsidR="005909F4">
        <w:t>,</w:t>
      </w:r>
      <w:r w:rsidRPr="005909F4">
        <w:t xml:space="preserve"> s.n., 2008.</w:t>
      </w:r>
    </w:p>
    <w:p w14:paraId="7ED5A179" w14:textId="059A4BCC" w:rsidR="00F270DB" w:rsidRDefault="0008622F" w:rsidP="00AD33A6">
      <w:pPr>
        <w:spacing w:before="100" w:beforeAutospacing="1" w:after="100" w:afterAutospacing="1" w:line="360" w:lineRule="auto"/>
        <w:jc w:val="both"/>
      </w:pPr>
      <w:r w:rsidRPr="004F4665">
        <w:rPr>
          <w:lang w:val="en-US"/>
        </w:rPr>
        <w:t xml:space="preserve">UMSCHEID, C. A, MARGOLIS, D. J, GROSSMAN, C. E. Key concepts of clinical trials: a narrative review. </w:t>
      </w:r>
      <w:r w:rsidRPr="0008622F">
        <w:rPr>
          <w:b/>
          <w:bCs/>
        </w:rPr>
        <w:t>Postgrad Med</w:t>
      </w:r>
      <w:r w:rsidRPr="0008622F">
        <w:t>.</w:t>
      </w:r>
      <w:r w:rsidR="005909F4">
        <w:t>,</w:t>
      </w:r>
      <w:r w:rsidRPr="0008622F">
        <w:t xml:space="preserve"> </w:t>
      </w:r>
      <w:r w:rsidR="005909F4">
        <w:t>v</w:t>
      </w:r>
      <w:r>
        <w:t>.</w:t>
      </w:r>
      <w:r w:rsidR="005909F4">
        <w:t xml:space="preserve"> </w:t>
      </w:r>
      <w:r w:rsidRPr="0008622F">
        <w:t>123</w:t>
      </w:r>
      <w:r>
        <w:t>, n.</w:t>
      </w:r>
      <w:r w:rsidR="005909F4">
        <w:t xml:space="preserve"> </w:t>
      </w:r>
      <w:r>
        <w:t>5, p.</w:t>
      </w:r>
      <w:r w:rsidR="005909F4">
        <w:t xml:space="preserve"> </w:t>
      </w:r>
      <w:r w:rsidRPr="0008622F">
        <w:t>194-204</w:t>
      </w:r>
      <w:r>
        <w:t>, 2011.</w:t>
      </w:r>
      <w:r w:rsidR="00F270DB">
        <w:br w:type="page"/>
      </w:r>
    </w:p>
    <w:p w14:paraId="3579C45E" w14:textId="39033CB3" w:rsidR="007E47CB" w:rsidRPr="00940B82" w:rsidRDefault="007E47CB" w:rsidP="007E47CB">
      <w:pPr>
        <w:rPr>
          <w:b/>
          <w:bCs/>
          <w:sz w:val="32"/>
        </w:rPr>
      </w:pPr>
      <w:r w:rsidRPr="00940B82">
        <w:rPr>
          <w:b/>
          <w:bCs/>
          <w:sz w:val="32"/>
        </w:rPr>
        <w:t xml:space="preserve">Capítulo </w:t>
      </w:r>
      <w:r w:rsidR="0096461D" w:rsidRPr="00940B82">
        <w:rPr>
          <w:b/>
          <w:bCs/>
          <w:sz w:val="32"/>
        </w:rPr>
        <w:t>2</w:t>
      </w:r>
    </w:p>
    <w:p w14:paraId="2537A2A6" w14:textId="2F17CFCD" w:rsidR="00D266FC" w:rsidRPr="00940B82" w:rsidRDefault="00D266FC" w:rsidP="00D266FC">
      <w:pPr>
        <w:spacing w:line="360" w:lineRule="auto"/>
        <w:jc w:val="both"/>
        <w:rPr>
          <w:b/>
          <w:bCs/>
        </w:rPr>
      </w:pPr>
      <w:r w:rsidRPr="00940B82">
        <w:rPr>
          <w:b/>
          <w:bCs/>
        </w:rPr>
        <w:t>A Química Medicinal e o desenvolvimento de novos fármacos</w:t>
      </w:r>
    </w:p>
    <w:p w14:paraId="62677F04" w14:textId="77777777" w:rsidR="00D266FC" w:rsidRPr="00940B82" w:rsidRDefault="00D266FC" w:rsidP="00D266FC">
      <w:pPr>
        <w:spacing w:line="360" w:lineRule="auto"/>
        <w:jc w:val="right"/>
      </w:pPr>
      <w:r w:rsidRPr="00940B82">
        <w:t>Guilherme Carneiro Montes</w:t>
      </w:r>
    </w:p>
    <w:p w14:paraId="5C04020E" w14:textId="2B71BD1B" w:rsidR="00D266FC" w:rsidRPr="00940B82" w:rsidRDefault="00D266FC" w:rsidP="00D266FC">
      <w:pPr>
        <w:spacing w:line="360" w:lineRule="auto"/>
        <w:jc w:val="right"/>
        <w:rPr>
          <w:b/>
          <w:bCs/>
        </w:rPr>
      </w:pPr>
      <w:r w:rsidRPr="00940B82">
        <w:t>Thayane Araújo Lima</w:t>
      </w:r>
    </w:p>
    <w:p w14:paraId="20CFAB94" w14:textId="4EED81E4" w:rsidR="00D266FC" w:rsidRPr="00940B82" w:rsidRDefault="00940B82" w:rsidP="00D266FC">
      <w:pPr>
        <w:spacing w:line="360" w:lineRule="auto"/>
        <w:jc w:val="both"/>
        <w:rPr>
          <w:b/>
          <w:bCs/>
        </w:rPr>
      </w:pPr>
      <w:r w:rsidRPr="00940B82">
        <w:rPr>
          <w:b/>
          <w:bCs/>
        </w:rPr>
        <w:t>Introdução</w:t>
      </w:r>
    </w:p>
    <w:p w14:paraId="59F61419" w14:textId="77777777" w:rsidR="00D266FC" w:rsidRPr="00940B82" w:rsidRDefault="00D266FC" w:rsidP="00D266FC">
      <w:pPr>
        <w:spacing w:line="360" w:lineRule="auto"/>
        <w:ind w:firstLine="708"/>
        <w:jc w:val="both"/>
      </w:pPr>
      <w:r w:rsidRPr="00940B82">
        <w:t xml:space="preserve">A descoberta de fármacos pela indústria farmacêutica no último século mudou drasticamente a prática da medicina e gerou impacto em muitos aspectos da nossa cultura. Por muito tempo, a descoberta de princípios ativos era feita através de uma abordagem agnóstica de alvos e mecanismos baseados em conhecimentos etnobotânicos e que geralmente era alimentado ao acaso. Com o avanço nas metodologias da biologia molecular e no aprofundamento do genoma humano, a descoberta de fármacos tem ocorrido com uma larga mudança direcionada para uma abordagem baseada em alvo molecular através de levantamento de hipóteses que foi acompanhado por mudanças significativas na indústria farmacêutica. </w:t>
      </w:r>
    </w:p>
    <w:p w14:paraId="506DD9EC" w14:textId="0A36C6D4" w:rsidR="00D266FC" w:rsidRPr="00940B82" w:rsidRDefault="00D266FC" w:rsidP="00D266FC">
      <w:pPr>
        <w:spacing w:line="360" w:lineRule="auto"/>
        <w:ind w:firstLine="708"/>
        <w:jc w:val="both"/>
        <w:rPr>
          <w:color w:val="000000"/>
        </w:rPr>
      </w:pPr>
      <w:r w:rsidRPr="00940B82">
        <w:t>Os laboratórios tornaram-se cada vez mais informatizados e automatizados, e os locais de pesquisa, que antes eram mais dispersos, estão agora cada vez mais agrupados em grandes centros para capturar sinergias tecnológicas e biológicas. A incorporação de estratégias moleculares juntamente com avaliações computacionais para o desenvolvimento de fármacos em concomitante às abordagens de síntese orgânica, leva a um aumento acentuado na disponibilidade de dados biológicos, estruturais e químicos. Além disso, este cenário em evolução causa um aumento notável na complexidade do processo de Pesquisa e Desenvolvimento (P&amp;D) (</w:t>
      </w:r>
      <w:r w:rsidR="00940B82" w:rsidRPr="00940B82">
        <w:rPr>
          <w:rStyle w:val="fontstyle01"/>
        </w:rPr>
        <w:t>LOMBARDINO</w:t>
      </w:r>
      <w:r w:rsidR="00940B82">
        <w:rPr>
          <w:rStyle w:val="fontstyle01"/>
        </w:rPr>
        <w:t xml:space="preserve">; </w:t>
      </w:r>
      <w:r w:rsidR="00940B82" w:rsidRPr="00940B82">
        <w:rPr>
          <w:rStyle w:val="fontstyle01"/>
        </w:rPr>
        <w:t>LOWE</w:t>
      </w:r>
      <w:r w:rsidRPr="00940B82">
        <w:rPr>
          <w:rStyle w:val="fontstyle01"/>
        </w:rPr>
        <w:t>, 2004).</w:t>
      </w:r>
    </w:p>
    <w:p w14:paraId="214E2095" w14:textId="41EDD0F7" w:rsidR="00D266FC" w:rsidRPr="00940B82" w:rsidRDefault="00D266FC" w:rsidP="00D266FC">
      <w:pPr>
        <w:spacing w:line="360" w:lineRule="auto"/>
        <w:ind w:firstLine="708"/>
        <w:jc w:val="both"/>
      </w:pPr>
      <w:r w:rsidRPr="00940B82">
        <w:t>Pesquisa e desenvolvimento de fármacos é algo complexo, possui um longo caminho e alto custo. O impacto do uso de medicamentos na sociedade tem várias facetas. Se por um lado, medicamentos podem aumentar a expectativa de vida das pessoas, tratar determinadas doenças, gerando benefícios sociais e econômicos; entretanto, podem aumentar os custos da atenção à saúde se utilizados inadequadamente e/ou levar à ocorrência de reações adversas (</w:t>
      </w:r>
      <w:r w:rsidR="00940B82" w:rsidRPr="00940B82">
        <w:t>FERREIRA</w:t>
      </w:r>
      <w:r w:rsidRPr="00940B82">
        <w:t>, 2009).</w:t>
      </w:r>
    </w:p>
    <w:p w14:paraId="4D44B28B" w14:textId="40AB4271" w:rsidR="00D266FC" w:rsidRDefault="00D266FC" w:rsidP="00D266FC">
      <w:pPr>
        <w:spacing w:line="360" w:lineRule="auto"/>
        <w:jc w:val="both"/>
      </w:pPr>
      <w:r w:rsidRPr="00940B82">
        <w:t xml:space="preserve">    O planejamento de novos fármacos envolve vários bilhões de dólares e ocupa milhares de pesquisadores titulados, de diferentes áreas como universidades, agências regulatórias e a indústria farmacêutica que contribuem para a ciência a fim de descobrir novas substâncias bioativas e esses avanços estão diretamente ligados aos progressos da medicina e ciência relacionadas (</w:t>
      </w:r>
      <w:r w:rsidR="00940B82" w:rsidRPr="00940B82">
        <w:t>DREWS, 2000; SIMÕES</w:t>
      </w:r>
      <w:r w:rsidR="00940B82">
        <w:t>;</w:t>
      </w:r>
      <w:r w:rsidR="00940B82" w:rsidRPr="00940B82">
        <w:t xml:space="preserve"> SCHENKEL, </w:t>
      </w:r>
      <w:r w:rsidRPr="00940B82">
        <w:t>2002). O número crescente de medicamentos de primeira classe aprovado nos últimos anos reflete o impacto da mudança nas metodologias com mais abordagens molecular e estudo genômica, dando origem ao surgimento de novas tecnologias e de descoberta de medicamentos modernos. A obtenção de novos fármacos é uma atividade complexa e transversal, pois requer interdisciplinaridade entre várias ciências como a química, farmacologia e ciências clínicas, entre outras, pois as substâncias devem apresentar uma eficácia, seletividade e que possuam, ao mesmo tempo, baixa toxicidade, diminuindo dessa forma o risco de aparecimento de reações adversas ou efeitos indesejáveis (</w:t>
      </w:r>
      <w:r w:rsidR="00940B82" w:rsidRPr="00940B82">
        <w:t xml:space="preserve">MCKENNA, 1996, BUTLER, </w:t>
      </w:r>
      <w:r w:rsidRPr="00940B82">
        <w:t>2004).</w:t>
      </w:r>
    </w:p>
    <w:p w14:paraId="0520C2BE" w14:textId="77777777" w:rsidR="00A66D9B" w:rsidRPr="00940B82" w:rsidRDefault="00A66D9B" w:rsidP="00D266FC">
      <w:pPr>
        <w:spacing w:line="360" w:lineRule="auto"/>
        <w:jc w:val="both"/>
      </w:pPr>
    </w:p>
    <w:p w14:paraId="5F826419" w14:textId="49011D07" w:rsidR="00D266FC" w:rsidRPr="00940B82" w:rsidRDefault="007E47CB" w:rsidP="00D266FC">
      <w:pPr>
        <w:spacing w:line="360" w:lineRule="auto"/>
        <w:jc w:val="both"/>
        <w:rPr>
          <w:b/>
          <w:bCs/>
        </w:rPr>
      </w:pPr>
      <w:r w:rsidRPr="00940B82">
        <w:rPr>
          <w:b/>
          <w:bCs/>
        </w:rPr>
        <w:t xml:space="preserve">O que é </w:t>
      </w:r>
      <w:r w:rsidR="00D266FC" w:rsidRPr="00940B82">
        <w:rPr>
          <w:b/>
          <w:bCs/>
        </w:rPr>
        <w:t xml:space="preserve">Química </w:t>
      </w:r>
      <w:r w:rsidR="004974DB" w:rsidRPr="004974DB">
        <w:rPr>
          <w:b/>
          <w:bCs/>
          <w:lang w:val="pt-BR"/>
        </w:rPr>
        <w:t>M</w:t>
      </w:r>
      <w:r w:rsidR="00D266FC" w:rsidRPr="00940B82">
        <w:rPr>
          <w:b/>
          <w:bCs/>
        </w:rPr>
        <w:t>edicinal</w:t>
      </w:r>
      <w:r w:rsidRPr="00940B82">
        <w:rPr>
          <w:b/>
          <w:bCs/>
        </w:rPr>
        <w:t xml:space="preserve"> e a sua importância no desenvolvimento de fármacos</w:t>
      </w:r>
    </w:p>
    <w:p w14:paraId="2846F89D" w14:textId="6DED2137" w:rsidR="00D266FC" w:rsidRPr="00940B82" w:rsidRDefault="00D266FC" w:rsidP="00D266FC">
      <w:pPr>
        <w:spacing w:line="360" w:lineRule="auto"/>
        <w:ind w:firstLine="708"/>
        <w:jc w:val="both"/>
      </w:pPr>
      <w:r w:rsidRPr="00940B82">
        <w:t>A Química Medicinal, segundo definição da IUPAC, é uma disciplina baseada na química, envolvendo aspectos das ciências biológicas, médica e farmacêutica, cujo objetivo é o planejamento, descoberta, invenção, identificação e preparação de compostos biologicamente ativos (protótipos), o estudo do metabolismo, análise do mecanismo de ação a nível molecular para dispor das relações entre a estrutura química e a atividade farmacológica (</w:t>
      </w:r>
      <w:r w:rsidR="00940B82" w:rsidRPr="00940B82">
        <w:t xml:space="preserve">LIMA, </w:t>
      </w:r>
      <w:r w:rsidRPr="00940B82">
        <w:t xml:space="preserve">2007). </w:t>
      </w:r>
    </w:p>
    <w:p w14:paraId="45BC573B" w14:textId="32228FAE" w:rsidR="00D266FC" w:rsidRPr="00940B82" w:rsidRDefault="00D266FC" w:rsidP="00D266FC">
      <w:pPr>
        <w:spacing w:line="360" w:lineRule="auto"/>
        <w:ind w:firstLine="708"/>
        <w:jc w:val="both"/>
      </w:pPr>
      <w:r w:rsidRPr="00940B82">
        <w:t>Com a aproximação dos químicos medicinais com farmacologistas, bioquímicos, fisiologistas, físicos, geneticistas, entre outros criaram-se condições necessárias e essenciais para conduzir à descoberta de novos fármacos, inovações terapêuticas autênticas e com padrões moleculares originais, trazendo assim mecanismos moleculares antes não vistos (</w:t>
      </w:r>
      <w:r w:rsidR="00940B82" w:rsidRPr="00940B82">
        <w:t>BARREIRO</w:t>
      </w:r>
      <w:r w:rsidR="00940B82">
        <w:t>,</w:t>
      </w:r>
      <w:r w:rsidR="00940B82" w:rsidRPr="00940B82">
        <w:t xml:space="preserve"> 2001</w:t>
      </w:r>
      <w:r w:rsidR="00940B82">
        <w:t>;</w:t>
      </w:r>
      <w:r w:rsidR="00940B82" w:rsidRPr="00940B82">
        <w:t xml:space="preserve"> BARREIRO</w:t>
      </w:r>
      <w:r w:rsidR="00940B82">
        <w:t>,</w:t>
      </w:r>
      <w:r w:rsidR="00940B82" w:rsidRPr="00940B82">
        <w:t xml:space="preserve"> </w:t>
      </w:r>
      <w:r w:rsidRPr="00940B82">
        <w:t>2009). Houve também o desenvolvimento de dispositivos automatizados para a realização de ensaios biológicos de alta performance que possibilitaram a avaliação de uma grande quantidade de substâncias frente a estes novos alvos moleculares gerando uma demanda crescente por substâncias estruturalmente inovadoras para avaliação de suas propriedades farmacológicas e na otimização/desenvolvimento de protótipos já existentes (</w:t>
      </w:r>
      <w:r w:rsidR="00940B82" w:rsidRPr="00940B82">
        <w:t>DIAS</w:t>
      </w:r>
      <w:r w:rsidRPr="00940B82">
        <w:t xml:space="preserve"> et al., 2001).</w:t>
      </w:r>
    </w:p>
    <w:p w14:paraId="656B551D" w14:textId="2893293F" w:rsidR="00D266FC" w:rsidRPr="00940B82" w:rsidRDefault="00D266FC" w:rsidP="00D266FC">
      <w:pPr>
        <w:spacing w:line="360" w:lineRule="auto"/>
        <w:ind w:firstLine="708"/>
        <w:jc w:val="both"/>
        <w:rPr>
          <w:rStyle w:val="fontstyle01"/>
        </w:rPr>
      </w:pPr>
      <w:r w:rsidRPr="00940B82">
        <w:rPr>
          <w:rStyle w:val="fontstyle01"/>
        </w:rPr>
        <w:t>Um projeto de Química Medicinal compreende muitas etapas de descoberta, otimização e desenvolvimento do protótipo (</w:t>
      </w:r>
      <w:r w:rsidR="00940B82" w:rsidRPr="00940B82">
        <w:rPr>
          <w:rStyle w:val="fontstyle01"/>
        </w:rPr>
        <w:t xml:space="preserve">WERMUTH, </w:t>
      </w:r>
      <w:r w:rsidRPr="00940B82">
        <w:rPr>
          <w:rStyle w:val="fontstyle01"/>
        </w:rPr>
        <w:t xml:space="preserve">2003). Uma das estratégias é abordagem fisiológica que tem como base o mecanismo de ação farmacológico desejado e isso depende da escolha do alvo terapêutico pretendido </w:t>
      </w:r>
      <w:r w:rsidRPr="00940B82">
        <w:t>(</w:t>
      </w:r>
      <w:r w:rsidR="00940B82" w:rsidRPr="00940B82">
        <w:t>BARREIRO</w:t>
      </w:r>
      <w:r w:rsidR="00940B82">
        <w:t>,</w:t>
      </w:r>
      <w:r w:rsidR="00940B82" w:rsidRPr="00940B82">
        <w:t xml:space="preserve"> </w:t>
      </w:r>
      <w:r w:rsidRPr="00940B82">
        <w:t>2001</w:t>
      </w:r>
      <w:r w:rsidR="00940B82">
        <w:t>;</w:t>
      </w:r>
      <w:r w:rsidRPr="00940B82">
        <w:t xml:space="preserve"> B</w:t>
      </w:r>
      <w:r w:rsidR="00940B82" w:rsidRPr="00940B82">
        <w:t>ARREIRO</w:t>
      </w:r>
      <w:r w:rsidR="00940B82">
        <w:t>,</w:t>
      </w:r>
      <w:r w:rsidRPr="00940B82">
        <w:t xml:space="preserve"> 2009)</w:t>
      </w:r>
      <w:r w:rsidRPr="00940B82">
        <w:rPr>
          <w:rStyle w:val="fontstyle01"/>
        </w:rPr>
        <w:t>. Em relação a essa proposta, é preciso ter o conhecimento da fisiopatologia da doença e na escolha do alvo terapêutico, que pode ser uma enzima ou receptor. Uma característica importante é que esse alvo terapêutico pode ter a sua estrutura tridimensional conhecida ou não. Quando se conhece essa estrutura, pode-se desenhar ligantes os quais podem ter como função ativador/inibidor enzimático ou agonista/antagonista de receptor. Além disso pode-se identificar as interações químicas do tipo ligação reversível ou ligação covalente através de processos de complementariedade. Um exemplo desse caso é do Indinavir, um inibidor de protease viral. Inicialmente, foi identificado um ligante a partir do conhecimento da estrutura tridimensional (3D) da enzima aspartato-protease viral, que é alvo farmacológico para o tratamento da síndrome da imunodeficiência adquirida (AIDS). Modificações na estrutura de forma planejada a partir do ligante, gerou o descobrimento do indinavir (</w:t>
      </w:r>
      <w:r w:rsidR="00940B82" w:rsidRPr="00940B82">
        <w:rPr>
          <w:rStyle w:val="fontstyle01"/>
        </w:rPr>
        <w:t xml:space="preserve">LANGDON </w:t>
      </w:r>
      <w:r w:rsidRPr="00940B82">
        <w:rPr>
          <w:rStyle w:val="fontstyle01"/>
        </w:rPr>
        <w:t>et al</w:t>
      </w:r>
      <w:r w:rsidR="00940B82">
        <w:rPr>
          <w:rStyle w:val="fontstyle01"/>
        </w:rPr>
        <w:t>.</w:t>
      </w:r>
      <w:r w:rsidRPr="00940B82">
        <w:rPr>
          <w:rStyle w:val="fontstyle01"/>
        </w:rPr>
        <w:t xml:space="preserve">, 2010; </w:t>
      </w:r>
      <w:r w:rsidR="00940B82" w:rsidRPr="00940B82">
        <w:rPr>
          <w:rStyle w:val="fontstyle01"/>
        </w:rPr>
        <w:t>LIMA</w:t>
      </w:r>
      <w:r w:rsidR="00940B82">
        <w:rPr>
          <w:rStyle w:val="fontstyle01"/>
        </w:rPr>
        <w:t xml:space="preserve">; </w:t>
      </w:r>
      <w:r w:rsidR="00940B82" w:rsidRPr="00940B82">
        <w:rPr>
          <w:rStyle w:val="fontstyle01"/>
        </w:rPr>
        <w:t>BARREIRO</w:t>
      </w:r>
      <w:r w:rsidRPr="00940B82">
        <w:rPr>
          <w:rStyle w:val="fontstyle01"/>
        </w:rPr>
        <w:t xml:space="preserve">, 2005). Com isso, identificar um novo ligante com propriedades estruturais adequadas que vai reconhecer o seu sítio de ligação no alvo elegido, gerando assim as propriedades farmacodinâmicas da substância. Entretanto, a substância identificada em teste </w:t>
      </w:r>
      <w:r w:rsidRPr="00940B82">
        <w:rPr>
          <w:rStyle w:val="fontstyle01"/>
          <w:i/>
          <w:iCs/>
        </w:rPr>
        <w:t>in vitro</w:t>
      </w:r>
      <w:r w:rsidRPr="00940B82">
        <w:rPr>
          <w:rStyle w:val="fontstyle01"/>
        </w:rPr>
        <w:t xml:space="preserve"> nem sempre possui um perfil de biodisponibilidade compatível, logo é necessário que se faça modificações moleculares, ajustando assim as propriedades farmacocinéticas sem que não haja alteração em suas características farmacodinâmicas que são essenciais para promover a resposta terapêutica adequada e garantindo o uso para fins de tratamento no futuro como fármaco. O ajuste das propriedades farmacocinéticas através de modificação molecular exige conhecimento prévio das distintas unidades farmacofóricas dos diferentes grupos funcionais da substância descoberta deliberando assim o(s) grupamento(s) farmacofórico(s) e auxofórico(s) a fim de garanti-los, mantendo-se assim, o reconhecimento molecular pelo receptor biológico. Vale a pena lembrar que um farmacóforo é uma subunidade estrutural essencial à ação farmacológica observada em um composto. Esta subunidade pode ser um grupamento(s) funcional(is) ou um arranjo estrutural que quando alterado reduz, senão elimina, a atividade do agente terapêutico (</w:t>
      </w:r>
      <w:r w:rsidR="00940B82" w:rsidRPr="00940B82">
        <w:rPr>
          <w:rStyle w:val="fontstyle01"/>
        </w:rPr>
        <w:t>MAIN</w:t>
      </w:r>
      <w:r w:rsidRPr="00940B82">
        <w:rPr>
          <w:rStyle w:val="fontstyle01"/>
        </w:rPr>
        <w:t xml:space="preserve"> et al., 1985; </w:t>
      </w:r>
      <w:r w:rsidR="00940B82" w:rsidRPr="00940B82">
        <w:rPr>
          <w:rStyle w:val="fontstyle01"/>
        </w:rPr>
        <w:t>WERMUTH</w:t>
      </w:r>
      <w:r w:rsidR="00940B82">
        <w:rPr>
          <w:rStyle w:val="fontstyle01"/>
        </w:rPr>
        <w:t>,</w:t>
      </w:r>
      <w:r w:rsidR="00940B82" w:rsidRPr="00940B82">
        <w:rPr>
          <w:rStyle w:val="fontstyle01"/>
        </w:rPr>
        <w:t xml:space="preserve"> </w:t>
      </w:r>
      <w:r w:rsidRPr="00940B82">
        <w:rPr>
          <w:rStyle w:val="fontstyle01"/>
        </w:rPr>
        <w:t>1998, B</w:t>
      </w:r>
      <w:r w:rsidR="00940B82" w:rsidRPr="00940B82">
        <w:rPr>
          <w:rStyle w:val="fontstyle01"/>
        </w:rPr>
        <w:t>ARREIRO</w:t>
      </w:r>
      <w:r w:rsidR="00940B82">
        <w:rPr>
          <w:rStyle w:val="fontstyle01"/>
        </w:rPr>
        <w:t>,</w:t>
      </w:r>
      <w:r w:rsidRPr="00940B82">
        <w:rPr>
          <w:rStyle w:val="fontstyle01"/>
        </w:rPr>
        <w:t xml:space="preserve"> 2009).</w:t>
      </w:r>
    </w:p>
    <w:p w14:paraId="61AD1BD7" w14:textId="0CAFB643" w:rsidR="00D266FC" w:rsidRPr="00940B82" w:rsidRDefault="00D266FC" w:rsidP="00D266FC">
      <w:pPr>
        <w:spacing w:line="360" w:lineRule="auto"/>
        <w:ind w:firstLine="708"/>
        <w:jc w:val="both"/>
        <w:rPr>
          <w:rStyle w:val="fontstyle01"/>
        </w:rPr>
      </w:pPr>
      <w:r w:rsidRPr="00940B82">
        <w:rPr>
          <w:rStyle w:val="fontstyle01"/>
        </w:rPr>
        <w:t xml:space="preserve">Quando não se tem a estrutura 3D definida do alvo biológico, pode se iniciar os estudos a partir da estrutura da substância endógena envolvida na fisiopatologia, ou seja, o ponta pé inicial se dá através do substrato enzimático ou agonista natural do receptor eleito como alvo terapêutico. Após análise de uma substância endógena eleita, é desenhado uma molécula com um padrão estrutural inicial, tendo variação com o grau de similaridade molecular em relação à estrutura da substância endógena. A molécula desenhada pelo emprego de técnicas computacionais como a modelagem molecular é sintetizada e posteriormente realiza-se a determinação das atividades farmacológicas em ensaios </w:t>
      </w:r>
      <w:r w:rsidRPr="00940B82">
        <w:rPr>
          <w:rStyle w:val="fontstyle21"/>
        </w:rPr>
        <w:t xml:space="preserve">in vitro </w:t>
      </w:r>
      <w:r w:rsidRPr="00940B82">
        <w:rPr>
          <w:rStyle w:val="fontstyle01"/>
        </w:rPr>
        <w:t xml:space="preserve">e </w:t>
      </w:r>
      <w:r w:rsidRPr="00940B82">
        <w:rPr>
          <w:rStyle w:val="fontstyle21"/>
        </w:rPr>
        <w:t>in vivo</w:t>
      </w:r>
      <w:r w:rsidRPr="00940B82">
        <w:rPr>
          <w:rStyle w:val="fontstyle01"/>
        </w:rPr>
        <w:t xml:space="preserve">, assim como a descrição da eficácia em modelos animais de doença. O melhor composto selecionado nesta etapa </w:t>
      </w:r>
      <w:r w:rsidRPr="00940B82">
        <w:rPr>
          <w:rStyle w:val="fontstyle21"/>
        </w:rPr>
        <w:t xml:space="preserve">in vivo </w:t>
      </w:r>
      <w:r w:rsidRPr="00940B82">
        <w:rPr>
          <w:rStyle w:val="fontstyle01"/>
        </w:rPr>
        <w:t>é denominado de candidato ao novo fármaco desejado (composto-protótipo) (B</w:t>
      </w:r>
      <w:r w:rsidR="00940B82" w:rsidRPr="00940B82">
        <w:rPr>
          <w:rStyle w:val="fontstyle01"/>
        </w:rPr>
        <w:t>ARREIRO</w:t>
      </w:r>
      <w:r w:rsidR="00940B82">
        <w:rPr>
          <w:rStyle w:val="fontstyle01"/>
        </w:rPr>
        <w:t>,</w:t>
      </w:r>
      <w:r w:rsidRPr="00940B82">
        <w:rPr>
          <w:rStyle w:val="fontstyle01"/>
        </w:rPr>
        <w:t xml:space="preserve"> 2009). </w:t>
      </w:r>
    </w:p>
    <w:p w14:paraId="4911ECEF" w14:textId="336218C7" w:rsidR="00D266FC" w:rsidRPr="00940B82" w:rsidRDefault="00D266FC" w:rsidP="00D266FC">
      <w:pPr>
        <w:spacing w:line="360" w:lineRule="auto"/>
        <w:ind w:firstLine="708"/>
        <w:jc w:val="both"/>
        <w:rPr>
          <w:rStyle w:val="fontstyle01"/>
        </w:rPr>
      </w:pPr>
      <w:r w:rsidRPr="00940B82">
        <w:rPr>
          <w:rStyle w:val="fontstyle01"/>
        </w:rPr>
        <w:t xml:space="preserve">Esse composto-protótipo pode ter a sua eficácia melhorada através de modificações na molécula, sendo feito de uma forma bem planejada e que garanta as propriedades farmacodinâmicas observadas nos ensaios farmacológicos. Avaliação de série congênere é uma maneira que pode ser usada para verificar essas alterações no composto-protótipo. Verificar uma família de compostos organizacionalmente similar ao protótipo possibilitando inclusive a validação de grupamento(s) farmacofórico(s) nas moléculas. Para obter uma série congênere pode aplicar como estratégias de modificação molecular clássicas, tais como bioisosterismo, simplificação e hibridação molecular. Vale a pena lembrar que o bioisosterismo é uma estratégia usada a fim de alteração molecular de um composto-protótipo baseada no intercâmbio de determinadas partes moleculares, por exemplo, um grupamento funcional por outro que apresente propriedades físico-químicas semelhantes, como a acidez, </w:t>
      </w:r>
      <w:r w:rsidR="00647C4E" w:rsidRPr="00940B82">
        <w:rPr>
          <w:rStyle w:val="fontstyle01"/>
        </w:rPr>
        <w:t>solubilidade etc.</w:t>
      </w:r>
      <w:r w:rsidRPr="00940B82">
        <w:rPr>
          <w:rStyle w:val="fontstyle01"/>
        </w:rPr>
        <w:t xml:space="preserve"> Esta técnica pode ser introduzida visando uma melhor performance na fase farmacocinética (modulando as características de absorção, distribuição, metabolismo e eliminação), ou na farmacodinâmica que tornaria o composto mais atraente e promissor em termos terapêuticos. Hibridação vem </w:t>
      </w:r>
      <w:r w:rsidR="00647C4E" w:rsidRPr="00940B82">
        <w:rPr>
          <w:rStyle w:val="fontstyle01"/>
        </w:rPr>
        <w:t>sendo</w:t>
      </w:r>
      <w:r w:rsidRPr="00940B82">
        <w:rPr>
          <w:rStyle w:val="fontstyle01"/>
        </w:rPr>
        <w:t xml:space="preserve"> amplamente utilizadas em protótipos derivados de produtos naturais na descoberta de inúmeros fármacos de classes terapêuticas distintas. A simplificação molecular pode ser efetuada visando a eliminação de centros estereogênicos ou promover a introdução de isósteros funcionais (</w:t>
      </w:r>
      <w:r w:rsidR="00940B82" w:rsidRPr="00940B82">
        <w:rPr>
          <w:rStyle w:val="fontstyle01"/>
        </w:rPr>
        <w:t>BARREIRO</w:t>
      </w:r>
      <w:r w:rsidR="00940B82">
        <w:rPr>
          <w:rStyle w:val="fontstyle01"/>
        </w:rPr>
        <w:t>;</w:t>
      </w:r>
      <w:r w:rsidR="00940B82" w:rsidRPr="00940B82">
        <w:rPr>
          <w:rStyle w:val="fontstyle01"/>
        </w:rPr>
        <w:t xml:space="preserve"> FRAGA</w:t>
      </w:r>
      <w:r w:rsidR="00940B82">
        <w:rPr>
          <w:rStyle w:val="fontstyle01"/>
        </w:rPr>
        <w:t>,</w:t>
      </w:r>
      <w:r w:rsidR="00940B82" w:rsidRPr="00940B82">
        <w:rPr>
          <w:rStyle w:val="fontstyle01"/>
        </w:rPr>
        <w:t xml:space="preserve"> </w:t>
      </w:r>
      <w:r w:rsidRPr="00940B82">
        <w:rPr>
          <w:rStyle w:val="fontstyle01"/>
        </w:rPr>
        <w:t>2005;</w:t>
      </w:r>
      <w:r w:rsidR="00940B82" w:rsidRPr="00940B82">
        <w:rPr>
          <w:rStyle w:val="fontstyle01"/>
        </w:rPr>
        <w:t xml:space="preserve"> BARREIRO</w:t>
      </w:r>
      <w:r w:rsidR="00940B82">
        <w:rPr>
          <w:rStyle w:val="fontstyle01"/>
        </w:rPr>
        <w:t>;</w:t>
      </w:r>
      <w:r w:rsidR="00940B82" w:rsidRPr="00940B82">
        <w:rPr>
          <w:rStyle w:val="fontstyle01"/>
        </w:rPr>
        <w:t xml:space="preserve"> BOLZANI</w:t>
      </w:r>
      <w:r w:rsidRPr="00940B82">
        <w:rPr>
          <w:rStyle w:val="fontstyle01"/>
        </w:rPr>
        <w:t>, 2009; V</w:t>
      </w:r>
      <w:r w:rsidR="00940B82" w:rsidRPr="00940B82">
        <w:rPr>
          <w:rStyle w:val="fontstyle01"/>
        </w:rPr>
        <w:t>IEGAS</w:t>
      </w:r>
      <w:r w:rsidRPr="00940B82">
        <w:rPr>
          <w:rStyle w:val="fontstyle01"/>
        </w:rPr>
        <w:t xml:space="preserve"> et al., 2009).</w:t>
      </w:r>
    </w:p>
    <w:p w14:paraId="4FBB60E5" w14:textId="739997F8" w:rsidR="00D266FC" w:rsidRPr="00940B82" w:rsidRDefault="00D266FC" w:rsidP="00D266FC">
      <w:pPr>
        <w:spacing w:line="360" w:lineRule="auto"/>
        <w:ind w:firstLine="708"/>
        <w:jc w:val="both"/>
        <w:rPr>
          <w:rStyle w:val="fontstyle01"/>
        </w:rPr>
      </w:pPr>
      <w:r w:rsidRPr="00940B82">
        <w:rPr>
          <w:rStyle w:val="fontstyle01"/>
        </w:rPr>
        <w:t>Tendo em vista que uma boa parte dos fármacos são de origem orgânica e exista uma diversidade dos grupos funcionais que podem apresentar propriedades farmacocinéticas ideais, como solubilidade,</w:t>
      </w:r>
      <w:r w:rsidRPr="00940B82">
        <w:t xml:space="preserve"> </w:t>
      </w:r>
      <w:r w:rsidRPr="00940B82">
        <w:rPr>
          <w:rStyle w:val="fontstyle01"/>
        </w:rPr>
        <w:t>coeficiente de partição dos compostos teste são propriedades físico-químicas que devem ser consideradas. Hoje em dia, é amplamente aceito que a solubilidade dos fármacos, em especial sua solubilidade aquosa, é um indicador importante para a dissolução das moléculas em fluidos fisiológicos, que é uma etapa limitante para a absorção conferindo um padrão de biodisponibilidade adequado, logo diminui o risco de insucesso na busca de compostos-protótipos para alcançar atividade farmacológica desejada (</w:t>
      </w:r>
      <w:r w:rsidR="00940B82" w:rsidRPr="00940B82">
        <w:rPr>
          <w:rStyle w:val="fontstyle01"/>
        </w:rPr>
        <w:t>FITZGERALD</w:t>
      </w:r>
      <w:r w:rsidRPr="00940B82">
        <w:rPr>
          <w:rStyle w:val="fontstyle01"/>
        </w:rPr>
        <w:t>, 1979; R</w:t>
      </w:r>
      <w:r w:rsidR="00940B82" w:rsidRPr="00940B82">
        <w:rPr>
          <w:rStyle w:val="fontstyle01"/>
        </w:rPr>
        <w:t xml:space="preserve">EDSHAW </w:t>
      </w:r>
      <w:r w:rsidRPr="00940B82">
        <w:rPr>
          <w:rStyle w:val="fontstyle01"/>
        </w:rPr>
        <w:t>et al., 2003, F</w:t>
      </w:r>
      <w:r w:rsidR="00940B82" w:rsidRPr="00940B82">
        <w:rPr>
          <w:rStyle w:val="fontstyle01"/>
        </w:rPr>
        <w:t>ERREIRA</w:t>
      </w:r>
      <w:r w:rsidRPr="00940B82">
        <w:rPr>
          <w:rStyle w:val="fontstyle01"/>
        </w:rPr>
        <w:t>, 2009)</w:t>
      </w:r>
    </w:p>
    <w:p w14:paraId="62810363" w14:textId="7E9C5D4B" w:rsidR="00D266FC" w:rsidRPr="00940B82" w:rsidRDefault="00D266FC" w:rsidP="00D266FC">
      <w:pPr>
        <w:spacing w:line="360" w:lineRule="auto"/>
        <w:ind w:firstLine="708"/>
        <w:jc w:val="both"/>
        <w:rPr>
          <w:rStyle w:val="fontstyle01"/>
        </w:rPr>
      </w:pPr>
      <w:r w:rsidRPr="00940B82">
        <w:rPr>
          <w:rStyle w:val="fontstyle01"/>
        </w:rPr>
        <w:t>O desenho molecular do composto padrão usando abordagem fisiológica deve levar em consideração os aspectos toxicológicos de todas as subunidades que a estrutura molecular possa apresentar, com exceção a isso, são os grupos toxicofóricos formados nas células hepáticas devido as reações de fase 1 que as substâncias passam para se tornar um composto mais hidrofílico e assim ser eliminado do organismo. Isso vem chamando atenção dos pesquisadores devido aos riscos tóxicos que os compostos-protótipos promissores possam carregar devido aos grupamentos toxicofóricos e ter insucesso e abandono em uma pesquisa. Identificar perfis tóxicos em protótipos é uma das principais limitações do processo de descoberta/invenção de novos fármacos, além de perfis farmacocinéticos (</w:t>
      </w:r>
      <w:r w:rsidR="00A72C7A" w:rsidRPr="00940B82">
        <w:rPr>
          <w:rStyle w:val="fontstyle01"/>
        </w:rPr>
        <w:t>MAVROMOUSTAKOS</w:t>
      </w:r>
      <w:r w:rsidRPr="00940B82">
        <w:rPr>
          <w:rStyle w:val="fontstyle01"/>
        </w:rPr>
        <w:t xml:space="preserve"> et al., 2011; S</w:t>
      </w:r>
      <w:r w:rsidR="00A72C7A" w:rsidRPr="00940B82">
        <w:rPr>
          <w:rStyle w:val="fontstyle01"/>
        </w:rPr>
        <w:t>TEPAN</w:t>
      </w:r>
      <w:r w:rsidRPr="00940B82">
        <w:rPr>
          <w:rStyle w:val="fontstyle01"/>
        </w:rPr>
        <w:t xml:space="preserve"> et al., 2013).</w:t>
      </w:r>
    </w:p>
    <w:p w14:paraId="0A6BD0C6" w14:textId="61CE25A1" w:rsidR="00D266FC" w:rsidRPr="00940B82" w:rsidRDefault="00D266FC" w:rsidP="00D266FC">
      <w:pPr>
        <w:spacing w:line="360" w:lineRule="auto"/>
        <w:ind w:firstLine="708"/>
        <w:jc w:val="both"/>
        <w:rPr>
          <w:rStyle w:val="fontstyle01"/>
        </w:rPr>
      </w:pPr>
      <w:r w:rsidRPr="00940B82">
        <w:rPr>
          <w:rStyle w:val="fontstyle01"/>
        </w:rPr>
        <w:t>Sendo assim, a descoberta de novas moléculas com perfil de composto-protótipo deve apresentar características satisfatórias para atravessar as membranas celulares (coeficiente de partição óleo/água), um pKa e solubilidade (energia reticular da molécula vs força de hidratação) adequados para permitir a dissolução e absorção pela via oral por exemplo, grupamentos químicos que permita uma estabilidade da molécula e uma biotransformação favoráveis para que o via de administração não modifique o composto-protótipo demasiadamente em metabólitos inativos. A eliminação deve ser investigada a fim de dizer se o composto-protótipo está sendo excretado de forma inalterada ou através de metabólitos. O perfil de toxicidade do composto-protótipo será investigado de maneira que siga as normas, metodologias e recomendações das agências regulatórias e após a sua definição, poderá ser considerado uma nova entidade química, tornando-se, então, um candidato a novo fármaco. Feito essa investigação cabe outras análises tais como testes de controle de pureza, métodos sintéticos em escala, estudos de formulações galênicas e de adjuvantes farmacocinéticos, etc. Portanto, o químico medicinal dará a sua contribuição na elaboração de um dossiê para contribuir com conhecimentos gerais formulando um projeto desenhado, a fim de executar de maneira eticamente mais apropriada para se obter respaldos, e além disso testar e renovar conceitos ou contestar teorias e tratamentos em uso.</w:t>
      </w:r>
      <w:r w:rsidR="00193168">
        <w:rPr>
          <w:rStyle w:val="fontstyle01"/>
        </w:rPr>
        <w:t xml:space="preserve"> A figura 3 resume as etapas estabelecidas para a descoberta de novos fármacos pela Química Medicinal.</w:t>
      </w:r>
    </w:p>
    <w:p w14:paraId="6534ED4E" w14:textId="77777777" w:rsidR="00D266FC" w:rsidRPr="00940B82" w:rsidRDefault="00D266FC" w:rsidP="00D266FC">
      <w:pPr>
        <w:spacing w:line="360" w:lineRule="auto"/>
        <w:jc w:val="center"/>
        <w:rPr>
          <w:rStyle w:val="fontstyle01"/>
        </w:rPr>
      </w:pPr>
      <w:r w:rsidRPr="00940B82">
        <w:rPr>
          <w:rStyle w:val="fontstyle01"/>
          <w:noProof/>
        </w:rPr>
        <w:drawing>
          <wp:inline distT="0" distB="0" distL="0" distR="0" wp14:anchorId="6183CC69" wp14:editId="0C7805E2">
            <wp:extent cx="4253865" cy="3469021"/>
            <wp:effectExtent l="0" t="0" r="0" b="0"/>
            <wp:docPr id="1222070590" name="Imagem 122207059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70590" name="Imagem 1222070590" descr="Diagrama&#10;&#10;Descrição gerada automaticamente"/>
                    <pic:cNvPicPr/>
                  </pic:nvPicPr>
                  <pic:blipFill>
                    <a:blip r:embed="rId16"/>
                    <a:stretch>
                      <a:fillRect/>
                    </a:stretch>
                  </pic:blipFill>
                  <pic:spPr>
                    <a:xfrm>
                      <a:off x="0" y="0"/>
                      <a:ext cx="4262072" cy="3475714"/>
                    </a:xfrm>
                    <a:prstGeom prst="rect">
                      <a:avLst/>
                    </a:prstGeom>
                  </pic:spPr>
                </pic:pic>
              </a:graphicData>
            </a:graphic>
          </wp:inline>
        </w:drawing>
      </w:r>
    </w:p>
    <w:p w14:paraId="3A80BE13" w14:textId="2CECB030" w:rsidR="00D266FC" w:rsidRPr="00940B82" w:rsidRDefault="00D266FC" w:rsidP="00D266FC">
      <w:pPr>
        <w:spacing w:line="360" w:lineRule="auto"/>
        <w:jc w:val="both"/>
        <w:rPr>
          <w:rStyle w:val="fontstyle01"/>
        </w:rPr>
      </w:pPr>
      <w:r w:rsidRPr="00940B82">
        <w:rPr>
          <w:rStyle w:val="fontstyle01"/>
          <w:b/>
          <w:bCs/>
        </w:rPr>
        <w:t xml:space="preserve">Figura </w:t>
      </w:r>
      <w:r w:rsidR="00193168">
        <w:rPr>
          <w:rStyle w:val="fontstyle01"/>
          <w:b/>
          <w:bCs/>
        </w:rPr>
        <w:t>3</w:t>
      </w:r>
      <w:r w:rsidRPr="00940B82">
        <w:rPr>
          <w:rStyle w:val="fontstyle01"/>
        </w:rPr>
        <w:t xml:space="preserve"> </w:t>
      </w:r>
      <w:r w:rsidR="00193168">
        <w:rPr>
          <w:rStyle w:val="fontstyle01"/>
        </w:rPr>
        <w:t>–</w:t>
      </w:r>
      <w:r w:rsidRPr="00940B82">
        <w:rPr>
          <w:rStyle w:val="fontstyle01"/>
        </w:rPr>
        <w:t xml:space="preserve"> </w:t>
      </w:r>
      <w:r w:rsidR="00193168">
        <w:rPr>
          <w:rStyle w:val="fontstyle01"/>
        </w:rPr>
        <w:t>Etapas envolvidas na Química Medicinal para a descoberta de novos fármacos.</w:t>
      </w:r>
    </w:p>
    <w:p w14:paraId="7808B897" w14:textId="77777777" w:rsidR="00D266FC" w:rsidRPr="00940B82" w:rsidRDefault="00D266FC" w:rsidP="00D266FC">
      <w:pPr>
        <w:spacing w:line="360" w:lineRule="auto"/>
        <w:jc w:val="both"/>
        <w:rPr>
          <w:rStyle w:val="fontstyle01"/>
        </w:rPr>
      </w:pPr>
      <w:r w:rsidRPr="00940B82">
        <w:rPr>
          <w:rStyle w:val="fontstyle01"/>
        </w:rPr>
        <w:t>Fonte: Adaptado de Montes (2014).</w:t>
      </w:r>
    </w:p>
    <w:p w14:paraId="04893048" w14:textId="77777777" w:rsidR="000D390F" w:rsidRDefault="000D390F" w:rsidP="00D266FC">
      <w:pPr>
        <w:spacing w:line="360" w:lineRule="auto"/>
        <w:jc w:val="both"/>
        <w:rPr>
          <w:rStyle w:val="fontstyle01"/>
          <w:b/>
          <w:bCs/>
        </w:rPr>
      </w:pPr>
    </w:p>
    <w:p w14:paraId="019E62F5" w14:textId="61B1FECF" w:rsidR="00D266FC" w:rsidRPr="00940B82" w:rsidRDefault="00A72C7A" w:rsidP="00D266FC">
      <w:pPr>
        <w:spacing w:line="360" w:lineRule="auto"/>
        <w:jc w:val="both"/>
        <w:rPr>
          <w:rStyle w:val="fontstyle01"/>
          <w:b/>
          <w:bCs/>
        </w:rPr>
      </w:pPr>
      <w:r w:rsidRPr="00940B82">
        <w:rPr>
          <w:rStyle w:val="fontstyle01"/>
          <w:b/>
          <w:bCs/>
        </w:rPr>
        <w:t>R</w:t>
      </w:r>
      <w:r w:rsidR="00193168" w:rsidRPr="00940B82">
        <w:rPr>
          <w:rStyle w:val="fontstyle01"/>
          <w:b/>
          <w:bCs/>
        </w:rPr>
        <w:t>eferências</w:t>
      </w:r>
    </w:p>
    <w:p w14:paraId="34470C46" w14:textId="1EBA525A" w:rsidR="00D266FC" w:rsidRPr="00940B82" w:rsidRDefault="00D266FC" w:rsidP="004974DB">
      <w:pPr>
        <w:spacing w:before="100" w:beforeAutospacing="1" w:after="100" w:afterAutospacing="1" w:line="360" w:lineRule="auto"/>
        <w:jc w:val="both"/>
        <w:rPr>
          <w:rStyle w:val="fontstyle01"/>
        </w:rPr>
      </w:pPr>
      <w:r w:rsidRPr="00940B82">
        <w:rPr>
          <w:rStyle w:val="fontstyle01"/>
        </w:rPr>
        <w:t>BARREIRO, E.J.; FRAGA, C.A.M.; RODRIGUES, C.R.; MIRANDA, A.L.P. Estratégias em química medicinal para a planejamento de fármacos</w:t>
      </w:r>
      <w:r w:rsidRPr="00193168">
        <w:rPr>
          <w:rStyle w:val="fontstyle01"/>
          <w:b/>
          <w:bCs/>
        </w:rPr>
        <w:t>. Revista Brasileira de Ciências Farmacêuticas</w:t>
      </w:r>
      <w:r w:rsidR="00193168">
        <w:rPr>
          <w:rStyle w:val="fontstyle01"/>
          <w:b/>
          <w:bCs/>
        </w:rPr>
        <w:t>,</w:t>
      </w:r>
      <w:r w:rsidRPr="00940B82">
        <w:rPr>
          <w:rStyle w:val="fontstyle01"/>
        </w:rPr>
        <w:t xml:space="preserve"> </w:t>
      </w:r>
      <w:r w:rsidR="00193168">
        <w:rPr>
          <w:rStyle w:val="fontstyle01"/>
        </w:rPr>
        <w:t xml:space="preserve">v. </w:t>
      </w:r>
      <w:r w:rsidRPr="00940B82">
        <w:rPr>
          <w:rStyle w:val="fontstyle01"/>
        </w:rPr>
        <w:t>37</w:t>
      </w:r>
      <w:r w:rsidR="00193168">
        <w:rPr>
          <w:rStyle w:val="fontstyle01"/>
        </w:rPr>
        <w:t xml:space="preserve">, p. </w:t>
      </w:r>
      <w:r w:rsidRPr="00940B82">
        <w:rPr>
          <w:rStyle w:val="fontstyle01"/>
        </w:rPr>
        <w:t>269-92, 2001,</w:t>
      </w:r>
    </w:p>
    <w:p w14:paraId="24AEA6E9" w14:textId="1F438AAF" w:rsidR="00D266FC" w:rsidRPr="00940B82" w:rsidRDefault="00D266FC" w:rsidP="004974DB">
      <w:pPr>
        <w:spacing w:before="100" w:beforeAutospacing="1" w:after="100" w:afterAutospacing="1" w:line="360" w:lineRule="auto"/>
        <w:jc w:val="both"/>
        <w:rPr>
          <w:rStyle w:val="fontstyle01"/>
        </w:rPr>
      </w:pPr>
      <w:r w:rsidRPr="00940B82">
        <w:rPr>
          <w:rStyle w:val="fontstyle01"/>
        </w:rPr>
        <w:t xml:space="preserve">BARREIRO, E. J.; FRAGA, C.A.M. A questão da inovação em fármacos no Brasil: proposta de criação do programa nacional de fármacos (PORNFAR). </w:t>
      </w:r>
      <w:r w:rsidRPr="00193168">
        <w:rPr>
          <w:rStyle w:val="fontstyle01"/>
          <w:b/>
          <w:bCs/>
        </w:rPr>
        <w:t>Revista Química Nova</w:t>
      </w:r>
      <w:r w:rsidR="00193168">
        <w:rPr>
          <w:rStyle w:val="fontstyle01"/>
        </w:rPr>
        <w:t xml:space="preserve">, </w:t>
      </w:r>
      <w:r w:rsidRPr="00940B82">
        <w:rPr>
          <w:rStyle w:val="fontstyle01"/>
        </w:rPr>
        <w:t>v.</w:t>
      </w:r>
      <w:r w:rsidR="00193168">
        <w:rPr>
          <w:rStyle w:val="fontstyle01"/>
        </w:rPr>
        <w:t xml:space="preserve"> </w:t>
      </w:r>
      <w:r w:rsidRPr="00940B82">
        <w:rPr>
          <w:rStyle w:val="fontstyle01"/>
        </w:rPr>
        <w:t>28, suplemento S56-S63, 2005.</w:t>
      </w:r>
    </w:p>
    <w:p w14:paraId="5B45F094" w14:textId="56693BCA" w:rsidR="00D266FC" w:rsidRPr="00940B82" w:rsidRDefault="00D266FC" w:rsidP="004974DB">
      <w:pPr>
        <w:spacing w:before="100" w:beforeAutospacing="1" w:after="100" w:afterAutospacing="1" w:line="360" w:lineRule="auto"/>
        <w:jc w:val="both"/>
        <w:rPr>
          <w:rStyle w:val="fontstyle01"/>
          <w:lang w:val="en-US"/>
        </w:rPr>
      </w:pPr>
      <w:r w:rsidRPr="00940B82">
        <w:rPr>
          <w:rStyle w:val="fontstyle01"/>
        </w:rPr>
        <w:t xml:space="preserve">BARREIRO, E.J. A Química Medicinal e o paradigma do composto‐protótipo. </w:t>
      </w:r>
      <w:r w:rsidRPr="00193168">
        <w:rPr>
          <w:rStyle w:val="fontstyle01"/>
          <w:b/>
          <w:bCs/>
          <w:lang w:val="en-US"/>
        </w:rPr>
        <w:t>Revista Virtual Química</w:t>
      </w:r>
      <w:r w:rsidRPr="00940B82">
        <w:rPr>
          <w:rStyle w:val="fontstyle01"/>
          <w:lang w:val="en-US"/>
        </w:rPr>
        <w:t>, v. 1</w:t>
      </w:r>
      <w:r w:rsidR="00193168">
        <w:rPr>
          <w:rStyle w:val="fontstyle01"/>
          <w:lang w:val="en-US"/>
        </w:rPr>
        <w:t xml:space="preserve">, n. </w:t>
      </w:r>
      <w:r w:rsidRPr="00940B82">
        <w:rPr>
          <w:rStyle w:val="fontstyle01"/>
          <w:lang w:val="en-US"/>
        </w:rPr>
        <w:t>1, p. 26‐34, 2009.</w:t>
      </w:r>
    </w:p>
    <w:p w14:paraId="252B3B3E" w14:textId="77777777" w:rsidR="00D266FC" w:rsidRPr="00940B82" w:rsidRDefault="00D266FC" w:rsidP="004974DB">
      <w:pPr>
        <w:spacing w:before="100" w:beforeAutospacing="1" w:after="100" w:afterAutospacing="1" w:line="360" w:lineRule="auto"/>
        <w:jc w:val="both"/>
        <w:rPr>
          <w:rStyle w:val="fontstyle01"/>
        </w:rPr>
      </w:pPr>
      <w:r w:rsidRPr="00940B82">
        <w:rPr>
          <w:rStyle w:val="fontstyle01"/>
          <w:lang w:val="en-US"/>
        </w:rPr>
        <w:t xml:space="preserve">BUTLER, M.S. The Role of Natural Product Chemistry in Drug Discovery. </w:t>
      </w:r>
      <w:r w:rsidRPr="00193168">
        <w:rPr>
          <w:rStyle w:val="fontstyle01"/>
          <w:b/>
          <w:bCs/>
        </w:rPr>
        <w:t>Journal of Natural Products</w:t>
      </w:r>
      <w:r w:rsidRPr="00940B82">
        <w:rPr>
          <w:rStyle w:val="fontstyle01"/>
        </w:rPr>
        <w:t>, v. 67, p. 2141-2153, 2004.</w:t>
      </w:r>
    </w:p>
    <w:p w14:paraId="068C70AD" w14:textId="77777777" w:rsidR="00D266FC" w:rsidRPr="00940B82" w:rsidRDefault="00D266FC" w:rsidP="004974DB">
      <w:pPr>
        <w:spacing w:before="100" w:beforeAutospacing="1" w:after="100" w:afterAutospacing="1" w:line="360" w:lineRule="auto"/>
        <w:jc w:val="both"/>
        <w:rPr>
          <w:rStyle w:val="fontstyle01"/>
        </w:rPr>
      </w:pPr>
      <w:r w:rsidRPr="00940B82">
        <w:rPr>
          <w:rStyle w:val="fontstyle01"/>
        </w:rPr>
        <w:t xml:space="preserve">DIAS, R.L.A.; CORRÊA, A. G. Aplicações da química combinatória no desenvolvimento de fármacos. </w:t>
      </w:r>
      <w:r w:rsidRPr="00193168">
        <w:rPr>
          <w:rStyle w:val="fontstyle01"/>
          <w:b/>
          <w:bCs/>
        </w:rPr>
        <w:t>Química Nova</w:t>
      </w:r>
      <w:r w:rsidRPr="00940B82">
        <w:rPr>
          <w:rStyle w:val="fontstyle01"/>
        </w:rPr>
        <w:t>, v. 24, p. 236-242, 2001.</w:t>
      </w:r>
    </w:p>
    <w:p w14:paraId="54CB4455" w14:textId="77777777" w:rsidR="00D266FC" w:rsidRPr="00940B82" w:rsidRDefault="00D266FC" w:rsidP="004974DB">
      <w:pPr>
        <w:spacing w:before="100" w:beforeAutospacing="1" w:after="100" w:afterAutospacing="1" w:line="360" w:lineRule="auto"/>
        <w:jc w:val="both"/>
        <w:rPr>
          <w:rStyle w:val="fontstyle01"/>
        </w:rPr>
      </w:pPr>
      <w:r w:rsidRPr="00940B82">
        <w:rPr>
          <w:rStyle w:val="fontstyle01"/>
        </w:rPr>
        <w:t xml:space="preserve">DREWS, J. </w:t>
      </w:r>
      <w:r w:rsidRPr="00193168">
        <w:rPr>
          <w:rStyle w:val="fontstyle01"/>
          <w:b/>
          <w:bCs/>
        </w:rPr>
        <w:t>Drug Discovery: A Historical Perspective.</w:t>
      </w:r>
      <w:r w:rsidRPr="00940B82">
        <w:rPr>
          <w:rStyle w:val="fontstyle01"/>
        </w:rPr>
        <w:t xml:space="preserve"> Science, v. 287, p. 1960-1964, 2000</w:t>
      </w:r>
    </w:p>
    <w:p w14:paraId="15096685" w14:textId="4BF7EB47" w:rsidR="00D266FC" w:rsidRPr="00940B82" w:rsidRDefault="00D266FC" w:rsidP="004974DB">
      <w:pPr>
        <w:spacing w:before="100" w:beforeAutospacing="1" w:after="100" w:afterAutospacing="1" w:line="360" w:lineRule="auto"/>
        <w:jc w:val="both"/>
        <w:rPr>
          <w:rStyle w:val="fontstyle01"/>
        </w:rPr>
      </w:pPr>
      <w:r w:rsidRPr="00940B82">
        <w:rPr>
          <w:rStyle w:val="fontstyle01"/>
        </w:rPr>
        <w:t xml:space="preserve">FERREIRA, F. G.; POLLI, M. C.; OSHIMA FRANCO, Y.; FRACETO, L. F. Fármacos: do desenvolvimento à retirada do mercado. </w:t>
      </w:r>
      <w:r w:rsidRPr="00193168">
        <w:rPr>
          <w:rStyle w:val="fontstyle01"/>
          <w:b/>
          <w:bCs/>
        </w:rPr>
        <w:t>Revista Eletrônica de Farmácia</w:t>
      </w:r>
      <w:r w:rsidRPr="00940B82">
        <w:rPr>
          <w:rStyle w:val="fontstyle01"/>
        </w:rPr>
        <w:t>, v.</w:t>
      </w:r>
      <w:r w:rsidR="00193168">
        <w:rPr>
          <w:rStyle w:val="fontstyle01"/>
        </w:rPr>
        <w:t xml:space="preserve">  </w:t>
      </w:r>
      <w:r w:rsidRPr="00940B82">
        <w:rPr>
          <w:rStyle w:val="fontstyle01"/>
        </w:rPr>
        <w:t>6, n.1, p.</w:t>
      </w:r>
      <w:r w:rsidR="00193168">
        <w:rPr>
          <w:rStyle w:val="fontstyle01"/>
        </w:rPr>
        <w:t xml:space="preserve"> </w:t>
      </w:r>
      <w:r w:rsidRPr="00940B82">
        <w:rPr>
          <w:rStyle w:val="fontstyle01"/>
        </w:rPr>
        <w:t xml:space="preserve">14-24, 2009. </w:t>
      </w:r>
    </w:p>
    <w:p w14:paraId="24AEB68A" w14:textId="77777777" w:rsidR="00D266FC" w:rsidRPr="00940B82" w:rsidRDefault="00D266FC" w:rsidP="004974DB">
      <w:pPr>
        <w:spacing w:before="100" w:beforeAutospacing="1" w:after="100" w:afterAutospacing="1" w:line="360" w:lineRule="auto"/>
        <w:jc w:val="both"/>
        <w:rPr>
          <w:rStyle w:val="fontstyle01"/>
          <w:lang w:val="en-US"/>
        </w:rPr>
      </w:pPr>
      <w:r w:rsidRPr="00940B82">
        <w:rPr>
          <w:rStyle w:val="fontstyle01"/>
        </w:rPr>
        <w:t xml:space="preserve">FITZGERALD, J.D. Atenolol. </w:t>
      </w:r>
      <w:r w:rsidRPr="00940B82">
        <w:rPr>
          <w:rStyle w:val="fontstyle01"/>
          <w:lang w:val="en-US"/>
        </w:rPr>
        <w:t xml:space="preserve">In: Goldberg ME, editor. </w:t>
      </w:r>
      <w:r w:rsidRPr="00193168">
        <w:rPr>
          <w:rStyle w:val="fontstyle01"/>
          <w:b/>
          <w:bCs/>
          <w:lang w:val="en-US"/>
        </w:rPr>
        <w:t>Pharmacological and biochemical properties of drug substances</w:t>
      </w:r>
      <w:r w:rsidRPr="00940B82">
        <w:rPr>
          <w:rStyle w:val="fontstyle01"/>
          <w:lang w:val="en-US"/>
        </w:rPr>
        <w:t>. Washington: American Pharmaceutical; v. 2, p.98-147, 1979.</w:t>
      </w:r>
    </w:p>
    <w:p w14:paraId="5D9D84C7" w14:textId="456CD53E" w:rsidR="00D266FC" w:rsidRPr="00940B82" w:rsidRDefault="00D266FC" w:rsidP="004974DB">
      <w:pPr>
        <w:spacing w:before="100" w:beforeAutospacing="1" w:after="100" w:afterAutospacing="1" w:line="360" w:lineRule="auto"/>
        <w:jc w:val="both"/>
        <w:rPr>
          <w:rStyle w:val="fontstyle01"/>
          <w:lang w:val="en-US"/>
        </w:rPr>
      </w:pPr>
      <w:r w:rsidRPr="00940B82">
        <w:rPr>
          <w:rStyle w:val="fontstyle01"/>
          <w:lang w:val="en-US"/>
        </w:rPr>
        <w:t xml:space="preserve">LANGDON, S.R.; ERTL, P.; BROWN, N. Bioisosteric replacement and scaffold hopping in lead generation and optimization. </w:t>
      </w:r>
      <w:r w:rsidRPr="00193168">
        <w:rPr>
          <w:rStyle w:val="fontstyle01"/>
          <w:b/>
          <w:bCs/>
          <w:lang w:val="en-US"/>
        </w:rPr>
        <w:t>Mol Inform.</w:t>
      </w:r>
      <w:r w:rsidR="00193168">
        <w:rPr>
          <w:rStyle w:val="fontstyle01"/>
          <w:lang w:val="en-US"/>
        </w:rPr>
        <w:t xml:space="preserve">, v. </w:t>
      </w:r>
      <w:r w:rsidRPr="00940B82">
        <w:rPr>
          <w:rStyle w:val="fontstyle01"/>
          <w:lang w:val="en-US"/>
        </w:rPr>
        <w:t>29</w:t>
      </w:r>
      <w:r w:rsidR="00193168">
        <w:rPr>
          <w:rStyle w:val="fontstyle01"/>
          <w:lang w:val="en-US"/>
        </w:rPr>
        <w:t xml:space="preserve">, n. </w:t>
      </w:r>
      <w:r w:rsidRPr="00940B82">
        <w:rPr>
          <w:rStyle w:val="fontstyle01"/>
          <w:lang w:val="en-US"/>
        </w:rPr>
        <w:t>5</w:t>
      </w:r>
      <w:r w:rsidR="00193168">
        <w:rPr>
          <w:rStyle w:val="fontstyle01"/>
          <w:lang w:val="en-US"/>
        </w:rPr>
        <w:t xml:space="preserve">, p. </w:t>
      </w:r>
      <w:r w:rsidRPr="00940B82">
        <w:rPr>
          <w:rStyle w:val="fontstyle01"/>
          <w:lang w:val="en-US"/>
        </w:rPr>
        <w:t>366-85, 2010.</w:t>
      </w:r>
    </w:p>
    <w:p w14:paraId="7EFBAC6B" w14:textId="2FF078AC" w:rsidR="00D266FC" w:rsidRPr="00940B82" w:rsidRDefault="00D266FC" w:rsidP="004974DB">
      <w:pPr>
        <w:spacing w:before="100" w:beforeAutospacing="1" w:after="100" w:afterAutospacing="1" w:line="360" w:lineRule="auto"/>
        <w:jc w:val="both"/>
        <w:rPr>
          <w:rStyle w:val="fontstyle01"/>
        </w:rPr>
      </w:pPr>
      <w:r w:rsidRPr="00940B82">
        <w:rPr>
          <w:rStyle w:val="fontstyle01"/>
          <w:lang w:val="en-US"/>
        </w:rPr>
        <w:t xml:space="preserve">LIMA, L.M.; BARREIRO, E.J. Bioisosterism: an useful strategy for molecular modification and drug design. </w:t>
      </w:r>
      <w:r w:rsidRPr="00193168">
        <w:rPr>
          <w:rStyle w:val="fontstyle01"/>
          <w:b/>
          <w:bCs/>
        </w:rPr>
        <w:t>Curr Med Chem.</w:t>
      </w:r>
      <w:r w:rsidR="00193168">
        <w:rPr>
          <w:rStyle w:val="fontstyle01"/>
          <w:b/>
          <w:bCs/>
        </w:rPr>
        <w:t>,</w:t>
      </w:r>
      <w:r w:rsidRPr="00940B82">
        <w:rPr>
          <w:rStyle w:val="fontstyle01"/>
        </w:rPr>
        <w:t xml:space="preserve"> </w:t>
      </w:r>
      <w:r w:rsidR="00193168">
        <w:rPr>
          <w:rStyle w:val="fontstyle01"/>
        </w:rPr>
        <w:t xml:space="preserve">v. </w:t>
      </w:r>
      <w:r w:rsidRPr="00940B82">
        <w:rPr>
          <w:rStyle w:val="fontstyle01"/>
        </w:rPr>
        <w:t>12</w:t>
      </w:r>
      <w:r w:rsidR="00193168">
        <w:rPr>
          <w:rStyle w:val="fontstyle01"/>
        </w:rPr>
        <w:t xml:space="preserve">, n. </w:t>
      </w:r>
      <w:r w:rsidRPr="00940B82">
        <w:rPr>
          <w:rStyle w:val="fontstyle01"/>
        </w:rPr>
        <w:t>1</w:t>
      </w:r>
      <w:r w:rsidR="00193168">
        <w:rPr>
          <w:rStyle w:val="fontstyle01"/>
        </w:rPr>
        <w:t>, p.</w:t>
      </w:r>
      <w:r w:rsidRPr="00940B82">
        <w:rPr>
          <w:rStyle w:val="fontstyle01"/>
        </w:rPr>
        <w:t>23-49, 2005.</w:t>
      </w:r>
    </w:p>
    <w:p w14:paraId="181274D1" w14:textId="3A1A0054" w:rsidR="00D266FC" w:rsidRPr="00940B82" w:rsidRDefault="00D266FC" w:rsidP="004974DB">
      <w:pPr>
        <w:spacing w:before="100" w:beforeAutospacing="1" w:after="100" w:afterAutospacing="1" w:line="360" w:lineRule="auto"/>
        <w:jc w:val="both"/>
        <w:rPr>
          <w:rStyle w:val="fontstyle01"/>
        </w:rPr>
      </w:pPr>
      <w:r w:rsidRPr="00940B82">
        <w:rPr>
          <w:rStyle w:val="fontstyle01"/>
        </w:rPr>
        <w:t>LIMA, L.M Química Medicinal Moderna: desafios e contribuição brasileira</w:t>
      </w:r>
      <w:r w:rsidR="00193168">
        <w:rPr>
          <w:rStyle w:val="fontstyle01"/>
        </w:rPr>
        <w:t xml:space="preserve">. </w:t>
      </w:r>
      <w:r w:rsidRPr="00193168">
        <w:rPr>
          <w:rStyle w:val="fontstyle01"/>
          <w:b/>
          <w:bCs/>
        </w:rPr>
        <w:t>Química Nova</w:t>
      </w:r>
      <w:r w:rsidRPr="00940B82">
        <w:rPr>
          <w:rStyle w:val="fontstyle01"/>
        </w:rPr>
        <w:t>, v. 30, p. 1456-1468, 2007.</w:t>
      </w:r>
    </w:p>
    <w:p w14:paraId="171837CA" w14:textId="77777777" w:rsidR="00D266FC" w:rsidRPr="00940B82" w:rsidRDefault="00D266FC" w:rsidP="004974DB">
      <w:pPr>
        <w:spacing w:before="100" w:beforeAutospacing="1" w:after="100" w:afterAutospacing="1" w:line="360" w:lineRule="auto"/>
        <w:jc w:val="both"/>
        <w:rPr>
          <w:rStyle w:val="fontstyle01"/>
          <w:lang w:val="en-US"/>
        </w:rPr>
      </w:pPr>
      <w:r w:rsidRPr="00940B82">
        <w:rPr>
          <w:rStyle w:val="fontstyle01"/>
          <w:lang w:val="en-US"/>
        </w:rPr>
        <w:t xml:space="preserve">LOMBARDINO, J.G.; LOWE, J.A. The role of the medicinal chemist in drug Discovery – then and now. </w:t>
      </w:r>
      <w:r w:rsidRPr="00193168">
        <w:rPr>
          <w:rStyle w:val="fontstyle01"/>
          <w:b/>
          <w:bCs/>
          <w:lang w:val="en-US"/>
        </w:rPr>
        <w:t>Nature Reviews Drug Discovery</w:t>
      </w:r>
      <w:r w:rsidRPr="00940B82">
        <w:rPr>
          <w:rStyle w:val="fontstyle01"/>
          <w:lang w:val="en-US"/>
        </w:rPr>
        <w:t>, v.3, n.10, p.853-862, 2004.</w:t>
      </w:r>
    </w:p>
    <w:p w14:paraId="17210D43" w14:textId="77777777" w:rsidR="00D266FC" w:rsidRPr="00940B82" w:rsidRDefault="00D266FC" w:rsidP="004974DB">
      <w:pPr>
        <w:spacing w:before="100" w:beforeAutospacing="1" w:after="100" w:afterAutospacing="1" w:line="360" w:lineRule="auto"/>
        <w:jc w:val="both"/>
        <w:rPr>
          <w:rStyle w:val="fontstyle01"/>
          <w:lang w:val="en-US"/>
        </w:rPr>
      </w:pPr>
      <w:r w:rsidRPr="00940B82">
        <w:rPr>
          <w:rStyle w:val="fontstyle01"/>
          <w:lang w:val="en-US"/>
        </w:rPr>
        <w:t xml:space="preserve">MAVROMOUSTAKOS, T.; DURDAGI, S.; KOUKOULITSA, C.; SIMCIC, M.; PAPADOPOULOS M.G.; HODOSCEK, M. Strategies in the rational drug design. </w:t>
      </w:r>
      <w:r w:rsidRPr="003D6BAF">
        <w:rPr>
          <w:rStyle w:val="fontstyle01"/>
          <w:b/>
          <w:bCs/>
          <w:lang w:val="en-US"/>
        </w:rPr>
        <w:t>Curr Med Chem</w:t>
      </w:r>
      <w:r w:rsidRPr="00940B82">
        <w:rPr>
          <w:rStyle w:val="fontstyle01"/>
          <w:lang w:val="en-US"/>
        </w:rPr>
        <w:t>., v. 18, p. 2517-30, 2011.</w:t>
      </w:r>
    </w:p>
    <w:p w14:paraId="6A0684C0" w14:textId="0369B79C" w:rsidR="00D266FC" w:rsidRPr="00940B82" w:rsidRDefault="00D266FC" w:rsidP="004974DB">
      <w:pPr>
        <w:spacing w:before="100" w:beforeAutospacing="1" w:after="100" w:afterAutospacing="1" w:line="360" w:lineRule="auto"/>
        <w:jc w:val="both"/>
        <w:rPr>
          <w:rStyle w:val="fontstyle01"/>
        </w:rPr>
      </w:pPr>
      <w:r w:rsidRPr="00940B82">
        <w:rPr>
          <w:rStyle w:val="fontstyle01"/>
          <w:lang w:val="en-US"/>
        </w:rPr>
        <w:t xml:space="preserve">MAIN, </w:t>
      </w:r>
      <w:r w:rsidR="00647C4E" w:rsidRPr="00940B82">
        <w:rPr>
          <w:rStyle w:val="fontstyle01"/>
          <w:lang w:val="en-US"/>
        </w:rPr>
        <w:t>B.G.; TUCKER</w:t>
      </w:r>
      <w:r w:rsidRPr="00940B82">
        <w:rPr>
          <w:rStyle w:val="fontstyle01"/>
          <w:lang w:val="en-US"/>
        </w:rPr>
        <w:t xml:space="preserve">, H. </w:t>
      </w:r>
      <w:r w:rsidRPr="003D6BAF">
        <w:rPr>
          <w:rStyle w:val="fontstyle01"/>
          <w:b/>
          <w:bCs/>
          <w:lang w:val="en-US"/>
        </w:rPr>
        <w:t>Beta blockers</w:t>
      </w:r>
      <w:r w:rsidRPr="00940B82">
        <w:rPr>
          <w:rStyle w:val="fontstyle01"/>
          <w:lang w:val="en-US"/>
        </w:rPr>
        <w:t xml:space="preserve">. In: Roberts SM, Price BJ, editors. Medicinal chemistry: the role of organic chemistry in drug research. </w:t>
      </w:r>
      <w:r w:rsidRPr="00940B82">
        <w:rPr>
          <w:rStyle w:val="fontstyle01"/>
        </w:rPr>
        <w:t>London: Academic. p. 69-92, 1985.</w:t>
      </w:r>
    </w:p>
    <w:p w14:paraId="171FA98C" w14:textId="77777777" w:rsidR="00D266FC" w:rsidRPr="00940B82" w:rsidRDefault="00D266FC" w:rsidP="004974DB">
      <w:pPr>
        <w:spacing w:before="100" w:beforeAutospacing="1" w:after="100" w:afterAutospacing="1" w:line="360" w:lineRule="auto"/>
        <w:jc w:val="both"/>
        <w:rPr>
          <w:rStyle w:val="fontstyle01"/>
        </w:rPr>
      </w:pPr>
      <w:r w:rsidRPr="00940B82">
        <w:rPr>
          <w:rStyle w:val="fontstyle01"/>
        </w:rPr>
        <w:t xml:space="preserve">MONTES, G. C. </w:t>
      </w:r>
      <w:r w:rsidRPr="00940B82">
        <w:rPr>
          <w:rStyle w:val="fontstyle01"/>
          <w:b/>
          <w:bCs/>
        </w:rPr>
        <w:t>Derivado N-metil-acilidrazônico (LASSBio-1359) reduz dor e inflamação em modelo de monoartrite</w:t>
      </w:r>
      <w:r w:rsidRPr="00940B82">
        <w:rPr>
          <w:rStyle w:val="fontstyle01"/>
        </w:rPr>
        <w:t>. Tese (Doutorado em Ciência Biológicas) – Universidade Federal do Rio de Janeiro, Rio de Janeiro, 2014.</w:t>
      </w:r>
    </w:p>
    <w:p w14:paraId="34B813A3" w14:textId="77777777" w:rsidR="00D266FC" w:rsidRPr="00940B82" w:rsidRDefault="00D266FC" w:rsidP="004974DB">
      <w:pPr>
        <w:spacing w:before="100" w:beforeAutospacing="1" w:after="100" w:afterAutospacing="1" w:line="360" w:lineRule="auto"/>
        <w:jc w:val="both"/>
        <w:rPr>
          <w:rStyle w:val="fontstyle01"/>
        </w:rPr>
      </w:pPr>
      <w:r w:rsidRPr="00940B82">
        <w:rPr>
          <w:rStyle w:val="fontstyle01"/>
          <w:lang w:val="en-US"/>
        </w:rPr>
        <w:t xml:space="preserve">REDSHAW, S. </w:t>
      </w:r>
      <w:r w:rsidRPr="003D6BAF">
        <w:rPr>
          <w:rStyle w:val="fontstyle01"/>
          <w:b/>
          <w:bCs/>
          <w:lang w:val="en-US"/>
        </w:rPr>
        <w:t>Angiotensin-converting enzyme (ACE) inhibitors and the design of cilazapril</w:t>
      </w:r>
      <w:r w:rsidRPr="00940B82">
        <w:rPr>
          <w:rStyle w:val="fontstyle01"/>
          <w:lang w:val="en-US"/>
        </w:rPr>
        <w:t xml:space="preserve">. In: Ganellin CR, Roberts SM, editors. In: Medicinal chemistry the role of the organic chemistry in drug research. </w:t>
      </w:r>
      <w:r w:rsidRPr="00940B82">
        <w:rPr>
          <w:rStyle w:val="fontstyle01"/>
        </w:rPr>
        <w:t>2nd ed. London: Academic; p. 163-86, 1993.</w:t>
      </w:r>
    </w:p>
    <w:p w14:paraId="14D61B66" w14:textId="77777777" w:rsidR="00D266FC" w:rsidRPr="00940B82" w:rsidRDefault="00D266FC" w:rsidP="004974DB">
      <w:pPr>
        <w:spacing w:before="100" w:beforeAutospacing="1" w:after="100" w:afterAutospacing="1" w:line="360" w:lineRule="auto"/>
        <w:jc w:val="both"/>
        <w:rPr>
          <w:rStyle w:val="fontstyle01"/>
        </w:rPr>
      </w:pPr>
      <w:r w:rsidRPr="00940B82">
        <w:rPr>
          <w:rStyle w:val="fontstyle01"/>
        </w:rPr>
        <w:t xml:space="preserve">SIMÕES, C.M.O.; SCHENKEL, E.P. A pesquisa e a produção brasileira de medicamentos a partir de plantas medicinais: a necessária interação da indústria com a academia. </w:t>
      </w:r>
      <w:r w:rsidRPr="003D6BAF">
        <w:rPr>
          <w:rStyle w:val="fontstyle01"/>
          <w:b/>
          <w:bCs/>
        </w:rPr>
        <w:t>Revista Brasileira de Farmacognosia</w:t>
      </w:r>
      <w:r w:rsidRPr="00940B82">
        <w:rPr>
          <w:rStyle w:val="fontstyle01"/>
        </w:rPr>
        <w:t>, v. 12, p. 35-40, 2002.</w:t>
      </w:r>
    </w:p>
    <w:p w14:paraId="74E5E0F5" w14:textId="77777777" w:rsidR="00D266FC" w:rsidRPr="00940B82" w:rsidRDefault="00D266FC" w:rsidP="004974DB">
      <w:pPr>
        <w:spacing w:before="100" w:beforeAutospacing="1" w:after="100" w:afterAutospacing="1" w:line="360" w:lineRule="auto"/>
        <w:jc w:val="both"/>
        <w:rPr>
          <w:rStyle w:val="fontstyle01"/>
          <w:lang w:val="en-US"/>
        </w:rPr>
      </w:pPr>
      <w:r w:rsidRPr="00940B82">
        <w:rPr>
          <w:rStyle w:val="fontstyle01"/>
        </w:rPr>
        <w:t xml:space="preserve">STEPAN, A.F.; MASCITTI, V.; BEAUMONT, K.; KALGUTKAR, A.S. Metabolism-guided drug design. </w:t>
      </w:r>
      <w:r w:rsidRPr="003D6BAF">
        <w:rPr>
          <w:rStyle w:val="fontstyle01"/>
          <w:b/>
          <w:bCs/>
          <w:lang w:val="en-US"/>
        </w:rPr>
        <w:t>Med Chem Commun</w:t>
      </w:r>
      <w:r w:rsidRPr="00940B82">
        <w:rPr>
          <w:rStyle w:val="fontstyle01"/>
          <w:lang w:val="en-US"/>
        </w:rPr>
        <w:t>., v. 4, p. 631-52, 2013.</w:t>
      </w:r>
    </w:p>
    <w:p w14:paraId="31F40D18" w14:textId="565333CC" w:rsidR="00D266FC" w:rsidRPr="00940B82" w:rsidRDefault="00D266FC" w:rsidP="004974DB">
      <w:pPr>
        <w:spacing w:before="100" w:beforeAutospacing="1" w:after="100" w:afterAutospacing="1" w:line="360" w:lineRule="auto"/>
        <w:jc w:val="both"/>
        <w:rPr>
          <w:rStyle w:val="fontstyle01"/>
          <w:lang w:val="en-US"/>
        </w:rPr>
      </w:pPr>
      <w:r w:rsidRPr="00940B82">
        <w:rPr>
          <w:rStyle w:val="fontstyle01"/>
          <w:lang w:val="en-US"/>
        </w:rPr>
        <w:t xml:space="preserve">WERMUTH, C. G. </w:t>
      </w:r>
      <w:r w:rsidRPr="003D6BAF">
        <w:rPr>
          <w:rStyle w:val="fontstyle01"/>
          <w:b/>
          <w:bCs/>
          <w:lang w:val="en-US"/>
        </w:rPr>
        <w:t>The Practice of Medicinal Chemistry</w:t>
      </w:r>
      <w:r w:rsidR="003D6BAF">
        <w:rPr>
          <w:rStyle w:val="fontstyle01"/>
          <w:lang w:val="en-US"/>
        </w:rPr>
        <w:t>.</w:t>
      </w:r>
      <w:r w:rsidRPr="00940B82">
        <w:rPr>
          <w:rStyle w:val="fontstyle01"/>
          <w:lang w:val="en-US"/>
        </w:rPr>
        <w:t xml:space="preserve"> 2ª ed., p.624. Academic Press, 2003.</w:t>
      </w:r>
    </w:p>
    <w:p w14:paraId="7AA70F62" w14:textId="77777777" w:rsidR="00D266FC" w:rsidRPr="00940B82" w:rsidRDefault="00D266FC" w:rsidP="004974DB">
      <w:pPr>
        <w:spacing w:before="100" w:beforeAutospacing="1" w:after="100" w:afterAutospacing="1" w:line="360" w:lineRule="auto"/>
        <w:jc w:val="both"/>
        <w:rPr>
          <w:rStyle w:val="fontstyle01"/>
        </w:rPr>
      </w:pPr>
      <w:r w:rsidRPr="00940B82">
        <w:rPr>
          <w:rStyle w:val="fontstyle01"/>
          <w:lang w:val="en-US"/>
        </w:rPr>
        <w:t xml:space="preserve">WERMUTH, C.G.; GANELLIN, C.R.; LINDBERG, P.; MITSCHER, L.A. Glossary of terms used in medicinal chemistry (IUPAC recommendations 1998). </w:t>
      </w:r>
      <w:r w:rsidRPr="003D6BAF">
        <w:rPr>
          <w:rStyle w:val="fontstyle01"/>
          <w:b/>
          <w:bCs/>
        </w:rPr>
        <w:t>Pure Appl Chem</w:t>
      </w:r>
      <w:r w:rsidRPr="00940B82">
        <w:rPr>
          <w:rStyle w:val="fontstyle01"/>
        </w:rPr>
        <w:t>, v. 70, p. 1129-43, 1998.</w:t>
      </w:r>
    </w:p>
    <w:p w14:paraId="76060F3F" w14:textId="77777777" w:rsidR="00D266FC" w:rsidRPr="00940B82" w:rsidRDefault="00D266FC" w:rsidP="00D266FC">
      <w:pPr>
        <w:spacing w:line="360" w:lineRule="auto"/>
        <w:jc w:val="both"/>
        <w:rPr>
          <w:rFonts w:ascii="Arial" w:hAnsi="Arial" w:cs="Arial"/>
          <w:color w:val="000000"/>
        </w:rPr>
      </w:pPr>
    </w:p>
    <w:p w14:paraId="6F7C1793" w14:textId="2B740008" w:rsidR="004974DB" w:rsidRDefault="004974DB">
      <w:pPr>
        <w:spacing w:after="200" w:line="276" w:lineRule="auto"/>
        <w:rPr>
          <w:rFonts w:ascii="Arial" w:hAnsi="Arial" w:cs="Arial"/>
          <w:color w:val="000000"/>
        </w:rPr>
      </w:pPr>
      <w:r>
        <w:rPr>
          <w:rFonts w:ascii="Arial" w:hAnsi="Arial" w:cs="Arial"/>
          <w:color w:val="000000"/>
        </w:rPr>
        <w:br w:type="page"/>
      </w:r>
    </w:p>
    <w:p w14:paraId="1D71800F" w14:textId="4582DF01" w:rsidR="007E47CB" w:rsidRDefault="007E47CB" w:rsidP="007E47CB">
      <w:pPr>
        <w:rPr>
          <w:rFonts w:cstheme="minorHAnsi"/>
          <w:b/>
          <w:bCs/>
          <w:sz w:val="32"/>
        </w:rPr>
      </w:pPr>
      <w:r>
        <w:rPr>
          <w:rFonts w:cstheme="minorHAnsi"/>
          <w:b/>
          <w:bCs/>
          <w:sz w:val="32"/>
        </w:rPr>
        <w:t xml:space="preserve">Capítulo </w:t>
      </w:r>
      <w:r w:rsidR="0096461D">
        <w:rPr>
          <w:rFonts w:cstheme="minorHAnsi"/>
          <w:b/>
          <w:bCs/>
          <w:sz w:val="32"/>
        </w:rPr>
        <w:t>3</w:t>
      </w:r>
    </w:p>
    <w:p w14:paraId="6E2C3F37" w14:textId="1EFF72B6" w:rsidR="00647C4E" w:rsidRDefault="004974DB" w:rsidP="00647C4E">
      <w:pPr>
        <w:pStyle w:val="Normal1"/>
        <w:spacing w:line="360" w:lineRule="auto"/>
        <w:jc w:val="both"/>
        <w:rPr>
          <w:rFonts w:ascii="Times New Roman" w:eastAsia="Times New Roman" w:hAnsi="Times New Roman" w:cs="Times New Roman"/>
          <w:b/>
          <w:i/>
          <w:iCs/>
          <w:sz w:val="24"/>
          <w:szCs w:val="24"/>
        </w:rPr>
      </w:pPr>
      <w:r w:rsidRPr="00AC1FFE">
        <w:rPr>
          <w:rFonts w:ascii="Times New Roman" w:eastAsia="Times New Roman" w:hAnsi="Times New Roman" w:cs="Times New Roman"/>
          <w:b/>
          <w:sz w:val="24"/>
          <w:szCs w:val="24"/>
        </w:rPr>
        <w:t xml:space="preserve">Biotecnologia </w:t>
      </w:r>
      <w:r>
        <w:rPr>
          <w:rFonts w:ascii="Times New Roman" w:eastAsia="Times New Roman" w:hAnsi="Times New Roman" w:cs="Times New Roman"/>
          <w:b/>
          <w:sz w:val="24"/>
          <w:szCs w:val="24"/>
        </w:rPr>
        <w:t>e</w:t>
      </w:r>
      <w:r w:rsidRPr="00AC1FFE">
        <w:rPr>
          <w:rFonts w:ascii="Times New Roman" w:eastAsia="Times New Roman" w:hAnsi="Times New Roman" w:cs="Times New Roman"/>
          <w:b/>
          <w:sz w:val="24"/>
          <w:szCs w:val="24"/>
        </w:rPr>
        <w:t xml:space="preserve"> Descoberta </w:t>
      </w:r>
      <w:r>
        <w:rPr>
          <w:rFonts w:ascii="Times New Roman" w:eastAsia="Times New Roman" w:hAnsi="Times New Roman" w:cs="Times New Roman"/>
          <w:b/>
          <w:sz w:val="24"/>
          <w:szCs w:val="24"/>
        </w:rPr>
        <w:t>d</w:t>
      </w:r>
      <w:r w:rsidRPr="00AC1FFE">
        <w:rPr>
          <w:rFonts w:ascii="Times New Roman" w:eastAsia="Times New Roman" w:hAnsi="Times New Roman" w:cs="Times New Roman"/>
          <w:b/>
          <w:sz w:val="24"/>
          <w:szCs w:val="24"/>
        </w:rPr>
        <w:t>e Novos Fármaco</w:t>
      </w:r>
      <w:r w:rsidRPr="00AC1FFE">
        <w:rPr>
          <w:rFonts w:ascii="Times New Roman" w:eastAsia="Times New Roman" w:hAnsi="Times New Roman" w:cs="Times New Roman"/>
          <w:b/>
          <w:i/>
          <w:iCs/>
          <w:sz w:val="24"/>
          <w:szCs w:val="24"/>
        </w:rPr>
        <w:t>s</w:t>
      </w:r>
    </w:p>
    <w:p w14:paraId="440D8C3B" w14:textId="4793DAE7" w:rsidR="00647C4E" w:rsidRPr="000D390F" w:rsidRDefault="00647C4E" w:rsidP="00647C4E">
      <w:pPr>
        <w:pStyle w:val="Normal1"/>
        <w:spacing w:line="480" w:lineRule="auto"/>
        <w:jc w:val="right"/>
        <w:rPr>
          <w:rFonts w:ascii="Times New Roman" w:hAnsi="Times New Roman" w:cs="Times New Roman"/>
          <w:sz w:val="24"/>
          <w:szCs w:val="24"/>
        </w:rPr>
      </w:pPr>
      <w:r w:rsidRPr="00AC1FFE">
        <w:rPr>
          <w:rFonts w:ascii="Times New Roman" w:eastAsia="Times New Roman" w:hAnsi="Times New Roman" w:cs="Times New Roman"/>
          <w:sz w:val="24"/>
          <w:szCs w:val="24"/>
        </w:rPr>
        <w:tab/>
      </w:r>
      <w:r w:rsidR="004F72B9" w:rsidRPr="000D390F">
        <w:rPr>
          <w:rFonts w:ascii="Times New Roman" w:hAnsi="Times New Roman" w:cs="Times New Roman"/>
          <w:sz w:val="24"/>
          <w:szCs w:val="24"/>
        </w:rPr>
        <w:t>Valdelena Alessandra da Silva</w:t>
      </w:r>
    </w:p>
    <w:p w14:paraId="42FB76E8" w14:textId="77777777" w:rsidR="00647C4E" w:rsidRDefault="00647C4E" w:rsidP="00647C4E">
      <w:pPr>
        <w:pStyle w:val="Normal1"/>
        <w:spacing w:line="360" w:lineRule="auto"/>
        <w:jc w:val="both"/>
        <w:rPr>
          <w:rFonts w:ascii="Times New Roman" w:hAnsi="Times New Roman" w:cs="Times New Roman"/>
          <w:sz w:val="24"/>
          <w:szCs w:val="24"/>
          <w:shd w:val="clear" w:color="auto" w:fill="FFFFFF"/>
        </w:rPr>
      </w:pPr>
    </w:p>
    <w:p w14:paraId="38B613B3" w14:textId="77777777" w:rsidR="00647C4E" w:rsidRPr="00D44B98" w:rsidRDefault="00647C4E" w:rsidP="00647C4E">
      <w:pPr>
        <w:pStyle w:val="Normal1"/>
        <w:spacing w:line="360" w:lineRule="auto"/>
        <w:jc w:val="both"/>
        <w:rPr>
          <w:rFonts w:ascii="Times New Roman" w:hAnsi="Times New Roman" w:cs="Times New Roman"/>
          <w:b/>
          <w:bCs/>
          <w:sz w:val="24"/>
          <w:szCs w:val="24"/>
          <w:shd w:val="clear" w:color="auto" w:fill="FFFFFF"/>
        </w:rPr>
      </w:pPr>
      <w:r w:rsidRPr="00D44B98">
        <w:rPr>
          <w:rFonts w:ascii="Times New Roman" w:hAnsi="Times New Roman" w:cs="Times New Roman"/>
          <w:b/>
          <w:bCs/>
          <w:sz w:val="24"/>
          <w:szCs w:val="24"/>
          <w:shd w:val="clear" w:color="auto" w:fill="FFFFFF"/>
        </w:rPr>
        <w:t>Introdução</w:t>
      </w:r>
    </w:p>
    <w:p w14:paraId="45C9D39D" w14:textId="22188B97" w:rsidR="00647C4E" w:rsidRPr="00D15F2B" w:rsidRDefault="00647C4E" w:rsidP="00647C4E">
      <w:pPr>
        <w:pStyle w:val="Normal1"/>
        <w:spacing w:line="360" w:lineRule="auto"/>
        <w:ind w:firstLine="708"/>
        <w:jc w:val="both"/>
        <w:rPr>
          <w:rFonts w:ascii="Times New Roman" w:eastAsia="Times New Roman" w:hAnsi="Times New Roman" w:cs="Times New Roman"/>
          <w:sz w:val="24"/>
          <w:szCs w:val="24"/>
        </w:rPr>
      </w:pPr>
      <w:r w:rsidRPr="00D15F2B">
        <w:rPr>
          <w:rFonts w:ascii="Times New Roman" w:hAnsi="Times New Roman" w:cs="Times New Roman"/>
          <w:sz w:val="24"/>
          <w:szCs w:val="24"/>
          <w:shd w:val="clear" w:color="auto" w:fill="FFFFFF"/>
        </w:rPr>
        <w:t>De acordo com a Convenção sobre Diversidade Biológica da ONU, em 1992, a Biotecnologia é definida como uma aplicação tecnológica qualquer que use sistemas biológicos, organismos vivos ou derivados destes, para fazer ou modificar produtos ou processos para usos específicos. É um termo que inclui processos utilizados desde o século passado na fermentação</w:t>
      </w:r>
      <w:r w:rsidRPr="00D15F2B">
        <w:rPr>
          <w:rFonts w:ascii="Times New Roman" w:eastAsia="Times New Roman" w:hAnsi="Times New Roman" w:cs="Times New Roman"/>
          <w:sz w:val="24"/>
          <w:szCs w:val="24"/>
        </w:rPr>
        <w:t xml:space="preserve"> e em descobertas mais recentes como a engenharia genética (</w:t>
      </w:r>
      <w:r w:rsidRPr="00D15F2B">
        <w:rPr>
          <w:rFonts w:ascii="Times New Roman" w:hAnsi="Times New Roman" w:cs="Times New Roman"/>
          <w:sz w:val="24"/>
          <w:szCs w:val="24"/>
        </w:rPr>
        <w:t>L</w:t>
      </w:r>
      <w:r w:rsidR="00D44B98">
        <w:rPr>
          <w:rFonts w:ascii="Times New Roman" w:hAnsi="Times New Roman" w:cs="Times New Roman"/>
          <w:sz w:val="24"/>
          <w:szCs w:val="24"/>
        </w:rPr>
        <w:t>U</w:t>
      </w:r>
      <w:r w:rsidR="004F72B9">
        <w:rPr>
          <w:rFonts w:ascii="Times New Roman" w:hAnsi="Times New Roman" w:cs="Times New Roman"/>
          <w:sz w:val="24"/>
          <w:szCs w:val="24"/>
        </w:rPr>
        <w:t>BINIECKI</w:t>
      </w:r>
      <w:r w:rsidRPr="00D15F2B">
        <w:rPr>
          <w:rFonts w:ascii="Times New Roman" w:hAnsi="Times New Roman" w:cs="Times New Roman"/>
          <w:sz w:val="24"/>
          <w:szCs w:val="24"/>
        </w:rPr>
        <w:t xml:space="preserve">, 1997; </w:t>
      </w:r>
      <w:r w:rsidR="004F72B9" w:rsidRPr="00D15F2B">
        <w:rPr>
          <w:rFonts w:ascii="Times New Roman" w:hAnsi="Times New Roman" w:cs="Times New Roman"/>
          <w:sz w:val="24"/>
          <w:szCs w:val="24"/>
        </w:rPr>
        <w:t>W</w:t>
      </w:r>
      <w:r w:rsidR="004F72B9">
        <w:rPr>
          <w:rFonts w:ascii="Times New Roman" w:hAnsi="Times New Roman" w:cs="Times New Roman"/>
          <w:sz w:val="24"/>
          <w:szCs w:val="24"/>
        </w:rPr>
        <w:t>ALSH</w:t>
      </w:r>
      <w:r w:rsidR="004F72B9" w:rsidRPr="00D15F2B">
        <w:rPr>
          <w:rFonts w:ascii="Times New Roman" w:hAnsi="Times New Roman" w:cs="Times New Roman"/>
          <w:sz w:val="24"/>
          <w:szCs w:val="24"/>
        </w:rPr>
        <w:t xml:space="preserve">, </w:t>
      </w:r>
      <w:r w:rsidRPr="00D15F2B">
        <w:rPr>
          <w:rFonts w:ascii="Times New Roman" w:hAnsi="Times New Roman" w:cs="Times New Roman"/>
          <w:sz w:val="24"/>
          <w:szCs w:val="24"/>
        </w:rPr>
        <w:t>2000)</w:t>
      </w:r>
      <w:r w:rsidRPr="00D15F2B">
        <w:rPr>
          <w:rFonts w:ascii="Times New Roman" w:eastAsia="Times New Roman" w:hAnsi="Times New Roman" w:cs="Times New Roman"/>
          <w:sz w:val="24"/>
          <w:szCs w:val="24"/>
        </w:rPr>
        <w:t xml:space="preserve">. </w:t>
      </w:r>
    </w:p>
    <w:p w14:paraId="6AC80865" w14:textId="6B56DC4A" w:rsidR="00647C4E" w:rsidRDefault="00647C4E" w:rsidP="00647C4E">
      <w:pPr>
        <w:pStyle w:val="Normal1"/>
        <w:spacing w:line="360" w:lineRule="auto"/>
        <w:ind w:firstLine="708"/>
        <w:jc w:val="both"/>
        <w:rPr>
          <w:rFonts w:ascii="Times New Roman" w:hAnsi="Times New Roman" w:cs="Times New Roman"/>
          <w:sz w:val="24"/>
          <w:szCs w:val="24"/>
          <w:shd w:val="clear" w:color="auto" w:fill="FFFFFF"/>
        </w:rPr>
      </w:pPr>
      <w:r w:rsidRPr="00D15F2B">
        <w:rPr>
          <w:rFonts w:ascii="Times New Roman" w:eastAsia="Times New Roman" w:hAnsi="Times New Roman" w:cs="Times New Roman"/>
          <w:sz w:val="24"/>
          <w:szCs w:val="24"/>
        </w:rPr>
        <w:t xml:space="preserve">A </w:t>
      </w:r>
      <w:r w:rsidR="004F72B9">
        <w:rPr>
          <w:rFonts w:ascii="Times New Roman" w:hAnsi="Times New Roman" w:cs="Times New Roman"/>
          <w:sz w:val="24"/>
          <w:szCs w:val="24"/>
          <w:shd w:val="clear" w:color="auto" w:fill="FFFFFF"/>
        </w:rPr>
        <w:t>B</w:t>
      </w:r>
      <w:r w:rsidRPr="00D15F2B">
        <w:rPr>
          <w:rFonts w:ascii="Times New Roman" w:hAnsi="Times New Roman" w:cs="Times New Roman"/>
          <w:sz w:val="24"/>
          <w:szCs w:val="24"/>
          <w:shd w:val="clear" w:color="auto" w:fill="FFFFFF"/>
        </w:rPr>
        <w:t xml:space="preserve">iotecnologia </w:t>
      </w:r>
      <w:r w:rsidR="004F72B9">
        <w:rPr>
          <w:rFonts w:ascii="Times New Roman" w:hAnsi="Times New Roman" w:cs="Times New Roman"/>
          <w:sz w:val="24"/>
          <w:szCs w:val="24"/>
          <w:shd w:val="clear" w:color="auto" w:fill="FFFFFF"/>
        </w:rPr>
        <w:t>F</w:t>
      </w:r>
      <w:r w:rsidRPr="00D15F2B">
        <w:rPr>
          <w:rFonts w:ascii="Times New Roman" w:hAnsi="Times New Roman" w:cs="Times New Roman"/>
          <w:sz w:val="24"/>
          <w:szCs w:val="24"/>
          <w:shd w:val="clear" w:color="auto" w:fill="FFFFFF"/>
        </w:rPr>
        <w:t>armacêutica é iniciada pela produção de compostos biossintéticos de baixo peso molecular, como por exemplo, a descoberta da penicilina no século XX por Alexander Fleming</w:t>
      </w:r>
      <w:r>
        <w:rPr>
          <w:rFonts w:ascii="Times New Roman" w:hAnsi="Times New Roman" w:cs="Times New Roman"/>
          <w:sz w:val="24"/>
          <w:szCs w:val="24"/>
          <w:shd w:val="clear" w:color="auto" w:fill="FFFFFF"/>
        </w:rPr>
        <w:t>. São produzidos medicamentos originados a partir de processos biotecnológicos (Biofármacos), onde o princípio ativo é obtido de microorganismos ou células modificadas geneticamente, como proteínas terapêuticas, hemoderivados, soros e vacinas (imunológicos), antibióticos e alérgenos</w:t>
      </w:r>
      <w:r w:rsidRPr="00D15F2B">
        <w:rPr>
          <w:rFonts w:ascii="Times New Roman" w:hAnsi="Times New Roman" w:cs="Times New Roman"/>
          <w:sz w:val="24"/>
          <w:szCs w:val="24"/>
          <w:shd w:val="clear" w:color="auto" w:fill="FFFFFF"/>
        </w:rPr>
        <w:t xml:space="preserve"> (</w:t>
      </w:r>
      <w:r w:rsidR="004F72B9" w:rsidRPr="00D15F2B">
        <w:rPr>
          <w:rFonts w:ascii="Times New Roman" w:hAnsi="Times New Roman" w:cs="Times New Roman"/>
          <w:sz w:val="24"/>
          <w:szCs w:val="24"/>
          <w:shd w:val="clear" w:color="auto" w:fill="FFFFFF"/>
        </w:rPr>
        <w:t>S</w:t>
      </w:r>
      <w:r w:rsidR="004F72B9">
        <w:rPr>
          <w:rFonts w:ascii="Times New Roman" w:hAnsi="Times New Roman" w:cs="Times New Roman"/>
          <w:sz w:val="24"/>
          <w:szCs w:val="24"/>
          <w:shd w:val="clear" w:color="auto" w:fill="FFFFFF"/>
        </w:rPr>
        <w:t>TRYJEWSKA</w:t>
      </w:r>
      <w:r w:rsidRPr="00D15F2B">
        <w:rPr>
          <w:rFonts w:ascii="Times New Roman" w:hAnsi="Times New Roman" w:cs="Times New Roman"/>
          <w:sz w:val="24"/>
          <w:szCs w:val="24"/>
          <w:shd w:val="clear" w:color="auto" w:fill="FFFFFF"/>
        </w:rPr>
        <w:t xml:space="preserve"> </w:t>
      </w:r>
      <w:r w:rsidRPr="004F72B9">
        <w:rPr>
          <w:rFonts w:ascii="Times New Roman" w:hAnsi="Times New Roman" w:cs="Times New Roman"/>
          <w:sz w:val="24"/>
          <w:szCs w:val="24"/>
          <w:shd w:val="clear" w:color="auto" w:fill="FFFFFF"/>
        </w:rPr>
        <w:t>et al.,</w:t>
      </w:r>
      <w:r w:rsidRPr="00D15F2B">
        <w:rPr>
          <w:rFonts w:ascii="Times New Roman" w:hAnsi="Times New Roman" w:cs="Times New Roman"/>
          <w:sz w:val="24"/>
          <w:szCs w:val="24"/>
          <w:shd w:val="clear" w:color="auto" w:fill="FFFFFF"/>
        </w:rPr>
        <w:t xml:space="preserve"> 2013; B</w:t>
      </w:r>
      <w:r w:rsidR="004F72B9">
        <w:rPr>
          <w:rFonts w:ascii="Times New Roman" w:hAnsi="Times New Roman" w:cs="Times New Roman"/>
          <w:sz w:val="24"/>
          <w:szCs w:val="24"/>
          <w:shd w:val="clear" w:color="auto" w:fill="FFFFFF"/>
        </w:rPr>
        <w:t>ARLOW</w:t>
      </w:r>
      <w:r w:rsidRPr="00D15F2B">
        <w:rPr>
          <w:rFonts w:ascii="Times New Roman" w:hAnsi="Times New Roman" w:cs="Times New Roman"/>
          <w:sz w:val="24"/>
          <w:szCs w:val="24"/>
          <w:shd w:val="clear" w:color="auto" w:fill="FFFFFF"/>
        </w:rPr>
        <w:t xml:space="preserve"> </w:t>
      </w:r>
      <w:r w:rsidRPr="004F72B9">
        <w:rPr>
          <w:rFonts w:ascii="Times New Roman" w:hAnsi="Times New Roman" w:cs="Times New Roman"/>
          <w:sz w:val="24"/>
          <w:szCs w:val="24"/>
          <w:shd w:val="clear" w:color="auto" w:fill="FFFFFF"/>
        </w:rPr>
        <w:t>et al.,</w:t>
      </w:r>
      <w:r w:rsidRPr="00D15F2B">
        <w:rPr>
          <w:rFonts w:ascii="Times New Roman" w:hAnsi="Times New Roman" w:cs="Times New Roman"/>
          <w:sz w:val="24"/>
          <w:szCs w:val="24"/>
          <w:shd w:val="clear" w:color="auto" w:fill="FFFFFF"/>
        </w:rPr>
        <w:t xml:space="preserve"> 1995). </w:t>
      </w:r>
    </w:p>
    <w:p w14:paraId="16F70D25" w14:textId="045E53EC" w:rsidR="00647C4E" w:rsidRDefault="00647C4E" w:rsidP="00647C4E">
      <w:pPr>
        <w:pStyle w:val="Normal1"/>
        <w:spacing w:line="360" w:lineRule="auto"/>
        <w:ind w:firstLine="708"/>
        <w:jc w:val="both"/>
        <w:rPr>
          <w:rFonts w:ascii="Times New Roman" w:hAnsi="Times New Roman" w:cs="Times New Roman"/>
          <w:sz w:val="24"/>
          <w:szCs w:val="24"/>
        </w:rPr>
      </w:pPr>
      <w:r w:rsidRPr="00D15F2B">
        <w:rPr>
          <w:rFonts w:ascii="Times New Roman" w:hAnsi="Times New Roman" w:cs="Times New Roman"/>
          <w:sz w:val="24"/>
          <w:szCs w:val="24"/>
        </w:rPr>
        <w:t xml:space="preserve">Atualmente, a </w:t>
      </w:r>
      <w:r w:rsidR="004F72B9">
        <w:rPr>
          <w:rFonts w:ascii="Times New Roman" w:hAnsi="Times New Roman" w:cs="Times New Roman"/>
          <w:sz w:val="24"/>
          <w:szCs w:val="24"/>
        </w:rPr>
        <w:t>B</w:t>
      </w:r>
      <w:r w:rsidRPr="00D15F2B">
        <w:rPr>
          <w:rFonts w:ascii="Times New Roman" w:hAnsi="Times New Roman" w:cs="Times New Roman"/>
          <w:sz w:val="24"/>
          <w:szCs w:val="24"/>
        </w:rPr>
        <w:t xml:space="preserve">iotecnologia </w:t>
      </w:r>
      <w:r w:rsidR="004F72B9">
        <w:rPr>
          <w:rFonts w:ascii="Times New Roman" w:hAnsi="Times New Roman" w:cs="Times New Roman"/>
          <w:sz w:val="24"/>
          <w:szCs w:val="24"/>
        </w:rPr>
        <w:t>F</w:t>
      </w:r>
      <w:r w:rsidRPr="00D15F2B">
        <w:rPr>
          <w:rFonts w:ascii="Times New Roman" w:hAnsi="Times New Roman" w:cs="Times New Roman"/>
          <w:sz w:val="24"/>
          <w:szCs w:val="24"/>
        </w:rPr>
        <w:t xml:space="preserve">armacêutica está avançada, redesenhando os processos e pesquisa, desenvolvimento, produção e comercialização de medicamentos </w:t>
      </w:r>
      <w:r w:rsidRPr="00D15F2B">
        <w:rPr>
          <w:rFonts w:ascii="Times New Roman" w:hAnsi="Times New Roman" w:cs="Times New Roman"/>
          <w:sz w:val="24"/>
          <w:szCs w:val="24"/>
          <w:shd w:val="clear" w:color="auto" w:fill="FFFFFF"/>
        </w:rPr>
        <w:t>(S</w:t>
      </w:r>
      <w:r w:rsidR="004F72B9">
        <w:rPr>
          <w:rFonts w:ascii="Times New Roman" w:hAnsi="Times New Roman" w:cs="Times New Roman"/>
          <w:sz w:val="24"/>
          <w:szCs w:val="24"/>
          <w:shd w:val="clear" w:color="auto" w:fill="FFFFFF"/>
        </w:rPr>
        <w:t>TRYJEWSKA</w:t>
      </w:r>
      <w:r w:rsidRPr="00D15F2B">
        <w:rPr>
          <w:rFonts w:ascii="Times New Roman" w:hAnsi="Times New Roman" w:cs="Times New Roman"/>
          <w:sz w:val="24"/>
          <w:szCs w:val="24"/>
          <w:shd w:val="clear" w:color="auto" w:fill="FFFFFF"/>
        </w:rPr>
        <w:t xml:space="preserve"> </w:t>
      </w:r>
      <w:r w:rsidRPr="004F72B9">
        <w:rPr>
          <w:rFonts w:ascii="Times New Roman" w:hAnsi="Times New Roman" w:cs="Times New Roman"/>
          <w:sz w:val="24"/>
          <w:szCs w:val="24"/>
          <w:shd w:val="clear" w:color="auto" w:fill="FFFFFF"/>
        </w:rPr>
        <w:t>et al</w:t>
      </w:r>
      <w:r w:rsidRPr="00D15F2B">
        <w:rPr>
          <w:rFonts w:ascii="Times New Roman" w:hAnsi="Times New Roman" w:cs="Times New Roman"/>
          <w:i/>
          <w:iCs/>
          <w:sz w:val="24"/>
          <w:szCs w:val="24"/>
          <w:shd w:val="clear" w:color="auto" w:fill="FFFFFF"/>
        </w:rPr>
        <w:t>.,</w:t>
      </w:r>
      <w:r w:rsidRPr="00D15F2B">
        <w:rPr>
          <w:rFonts w:ascii="Times New Roman" w:hAnsi="Times New Roman" w:cs="Times New Roman"/>
          <w:sz w:val="24"/>
          <w:szCs w:val="24"/>
          <w:shd w:val="clear" w:color="auto" w:fill="FFFFFF"/>
        </w:rPr>
        <w:t xml:space="preserve"> 2013)</w:t>
      </w:r>
      <w:r w:rsidRPr="00D15F2B">
        <w:rPr>
          <w:rFonts w:ascii="Times New Roman" w:hAnsi="Times New Roman" w:cs="Times New Roman"/>
          <w:sz w:val="24"/>
          <w:szCs w:val="24"/>
        </w:rPr>
        <w:t>. Isso se deve a novas descobertas científicas e de instrumentos, como a genômica, proteômica, metabolômica e citômica, que permitem pesquisar o comportamento de moléculas e proteínas. Assim como, permitem observar uma variedade de aplicações por meio do monitoramento de indicadores celulares ou bioquímicos, desde as etapas de identificação de alterações fisiológicas e/ou metabólicas induzidas pelo estado de doença até a avaliação dos efeitos dos fármacos sobre o organismo humano (G</w:t>
      </w:r>
      <w:r w:rsidR="004F72B9">
        <w:rPr>
          <w:rFonts w:ascii="Times New Roman" w:hAnsi="Times New Roman" w:cs="Times New Roman"/>
          <w:sz w:val="24"/>
          <w:szCs w:val="24"/>
        </w:rPr>
        <w:t>UIDO</w:t>
      </w:r>
      <w:r w:rsidRPr="00D15F2B">
        <w:rPr>
          <w:rFonts w:ascii="Times New Roman" w:hAnsi="Times New Roman" w:cs="Times New Roman"/>
          <w:sz w:val="24"/>
          <w:szCs w:val="24"/>
        </w:rPr>
        <w:t xml:space="preserve"> </w:t>
      </w:r>
      <w:r w:rsidRPr="004F72B9">
        <w:rPr>
          <w:rFonts w:ascii="Times New Roman" w:hAnsi="Times New Roman" w:cs="Times New Roman"/>
          <w:sz w:val="24"/>
          <w:szCs w:val="24"/>
        </w:rPr>
        <w:t xml:space="preserve">et al., </w:t>
      </w:r>
      <w:r w:rsidRPr="00D15F2B">
        <w:rPr>
          <w:rFonts w:ascii="Times New Roman" w:hAnsi="Times New Roman" w:cs="Times New Roman"/>
          <w:sz w:val="24"/>
          <w:szCs w:val="24"/>
        </w:rPr>
        <w:t xml:space="preserve">2010). </w:t>
      </w:r>
    </w:p>
    <w:p w14:paraId="1EC00110" w14:textId="30810608" w:rsidR="00647C4E" w:rsidRDefault="00647C4E" w:rsidP="00647C4E">
      <w:pPr>
        <w:pStyle w:val="Normal1"/>
        <w:spacing w:line="360" w:lineRule="auto"/>
        <w:ind w:firstLine="708"/>
        <w:jc w:val="both"/>
        <w:rPr>
          <w:rFonts w:ascii="Times New Roman" w:eastAsia="Times New Roman" w:hAnsi="Times New Roman" w:cs="Times New Roman"/>
          <w:sz w:val="24"/>
          <w:szCs w:val="24"/>
        </w:rPr>
      </w:pPr>
      <w:r w:rsidRPr="0027459B">
        <w:rPr>
          <w:rFonts w:ascii="Times New Roman" w:eastAsia="Times New Roman" w:hAnsi="Times New Roman" w:cs="Times New Roman"/>
          <w:sz w:val="24"/>
          <w:szCs w:val="24"/>
        </w:rPr>
        <w:t xml:space="preserve">A proteômica que por espectroscopia de massa, eletroforese em gel, </w:t>
      </w:r>
      <w:r w:rsidRPr="0027459B">
        <w:rPr>
          <w:rFonts w:ascii="Times New Roman" w:eastAsia="Times New Roman" w:hAnsi="Times New Roman" w:cs="Times New Roman"/>
          <w:i/>
          <w:iCs/>
          <w:sz w:val="24"/>
          <w:szCs w:val="24"/>
        </w:rPr>
        <w:t>chips</w:t>
      </w:r>
      <w:r w:rsidRPr="0027459B">
        <w:rPr>
          <w:rFonts w:ascii="Times New Roman" w:eastAsia="Times New Roman" w:hAnsi="Times New Roman" w:cs="Times New Roman"/>
          <w:sz w:val="24"/>
          <w:szCs w:val="24"/>
        </w:rPr>
        <w:t xml:space="preserve"> de proteínas e arranjos de anticorpos, sequenciam aminoácidos e suas modificações pós-traducionais. Assim, dados são gerados em média-escala com relevantes indicações para a descoberta de novos alvos. Porém, como limitação, tem baixa eficiência de dados com ruído associado</w:t>
      </w:r>
      <w:r>
        <w:rPr>
          <w:rFonts w:ascii="Times New Roman" w:eastAsia="Times New Roman" w:hAnsi="Times New Roman" w:cs="Times New Roman"/>
          <w:sz w:val="24"/>
          <w:szCs w:val="24"/>
        </w:rPr>
        <w:t>.</w:t>
      </w:r>
      <w:r w:rsidRPr="0027459B">
        <w:rPr>
          <w:rFonts w:ascii="Times New Roman" w:eastAsia="Times New Roman" w:hAnsi="Times New Roman" w:cs="Times New Roman"/>
          <w:sz w:val="24"/>
          <w:szCs w:val="24"/>
        </w:rPr>
        <w:t xml:space="preserve"> Enquanto a metabolômica, utilizam as moléculas que constituem os metabólitos permitindo uma triagem em alta escala com significativa capacidade de transferência para estudos, possuindo também limitações devido as misturas complexas, ruído associado e reprodutibilidade. Já a citômica, utilizam os fótons alcançados de imagem digital, fluorescência e imuno-histoquímica, para otimizar a visualização temporal e espacial dos efeitos celulares dos fármacos, porém ainda encontra dificuldade em obter biomarcadores relevantes</w:t>
      </w:r>
      <w:r>
        <w:rPr>
          <w:rFonts w:ascii="Times New Roman" w:eastAsia="Times New Roman" w:hAnsi="Times New Roman" w:cs="Times New Roman"/>
          <w:sz w:val="24"/>
          <w:szCs w:val="24"/>
        </w:rPr>
        <w:t xml:space="preserve"> </w:t>
      </w:r>
      <w:r w:rsidRPr="0027459B">
        <w:rPr>
          <w:rFonts w:ascii="Times New Roman" w:hAnsi="Times New Roman" w:cs="Times New Roman"/>
          <w:sz w:val="24"/>
          <w:szCs w:val="24"/>
        </w:rPr>
        <w:t>(G</w:t>
      </w:r>
      <w:r w:rsidR="00364EE1">
        <w:rPr>
          <w:rFonts w:ascii="Times New Roman" w:hAnsi="Times New Roman" w:cs="Times New Roman"/>
          <w:sz w:val="24"/>
          <w:szCs w:val="24"/>
        </w:rPr>
        <w:t>UIDO</w:t>
      </w:r>
      <w:r w:rsidRPr="0027459B">
        <w:rPr>
          <w:rFonts w:ascii="Times New Roman" w:hAnsi="Times New Roman" w:cs="Times New Roman"/>
          <w:sz w:val="24"/>
          <w:szCs w:val="24"/>
        </w:rPr>
        <w:t xml:space="preserve"> </w:t>
      </w:r>
      <w:r w:rsidRPr="00364EE1">
        <w:rPr>
          <w:rFonts w:ascii="Times New Roman" w:hAnsi="Times New Roman" w:cs="Times New Roman"/>
          <w:sz w:val="24"/>
          <w:szCs w:val="24"/>
        </w:rPr>
        <w:t>et al.,</w:t>
      </w:r>
      <w:r w:rsidRPr="0027459B">
        <w:rPr>
          <w:rFonts w:ascii="Times New Roman" w:hAnsi="Times New Roman" w:cs="Times New Roman"/>
          <w:sz w:val="24"/>
          <w:szCs w:val="24"/>
        </w:rPr>
        <w:t xml:space="preserve"> 2010).</w:t>
      </w:r>
    </w:p>
    <w:p w14:paraId="517A2A0C" w14:textId="53059925" w:rsidR="00647C4E" w:rsidRDefault="00647C4E" w:rsidP="00647C4E">
      <w:pPr>
        <w:pStyle w:val="Normal1"/>
        <w:spacing w:line="360" w:lineRule="auto"/>
        <w:ind w:firstLine="708"/>
        <w:jc w:val="both"/>
        <w:rPr>
          <w:rFonts w:ascii="Times New Roman" w:hAnsi="Times New Roman" w:cs="Times New Roman"/>
          <w:sz w:val="24"/>
          <w:szCs w:val="24"/>
        </w:rPr>
      </w:pPr>
      <w:r w:rsidRPr="00D15F2B">
        <w:rPr>
          <w:rFonts w:ascii="Times New Roman" w:hAnsi="Times New Roman" w:cs="Times New Roman"/>
          <w:sz w:val="24"/>
          <w:szCs w:val="24"/>
        </w:rPr>
        <w:t xml:space="preserve">No início da década de 70 foi descoberta a tecnologia do DNA Recombinante, que compreende a engenharia genética, proteica e metabólica, que permite a transferência de material genético entre organismos vivos e a produção de uma extensa sequência de peptídeos, proteínas, e bioquímicos de células naturalmente não produtoras. </w:t>
      </w:r>
      <w:r w:rsidRPr="00D15F2B">
        <w:rPr>
          <w:rFonts w:ascii="Times New Roman" w:eastAsia="Times New Roman" w:hAnsi="Times New Roman" w:cs="Times New Roman"/>
          <w:sz w:val="24"/>
          <w:szCs w:val="24"/>
        </w:rPr>
        <w:t xml:space="preserve">Foi a tecnologia do DNA recombinante, também conhecida como engenharia genética, que até hoje é a base de muitos processos biotecnológicos. </w:t>
      </w:r>
      <w:r w:rsidRPr="00D15F2B">
        <w:rPr>
          <w:rFonts w:ascii="Times New Roman" w:hAnsi="Times New Roman" w:cs="Times New Roman"/>
          <w:sz w:val="24"/>
          <w:szCs w:val="24"/>
        </w:rPr>
        <w:t xml:space="preserve">Foi a tecnologia do DNA Recombinante que permitiu a produção dos primeiros produtos biotecnológicos na indústria farmacêutica </w:t>
      </w:r>
      <w:r w:rsidRPr="00D15F2B">
        <w:rPr>
          <w:rFonts w:ascii="Times New Roman" w:hAnsi="Times New Roman" w:cs="Times New Roman"/>
          <w:sz w:val="24"/>
          <w:szCs w:val="24"/>
          <w:shd w:val="clear" w:color="auto" w:fill="FFFFFF"/>
        </w:rPr>
        <w:t>(S</w:t>
      </w:r>
      <w:r w:rsidR="00364EE1">
        <w:rPr>
          <w:rFonts w:ascii="Times New Roman" w:hAnsi="Times New Roman" w:cs="Times New Roman"/>
          <w:sz w:val="24"/>
          <w:szCs w:val="24"/>
          <w:shd w:val="clear" w:color="auto" w:fill="FFFFFF"/>
        </w:rPr>
        <w:t>TRYJEWSKA</w:t>
      </w:r>
      <w:r w:rsidR="00364EE1" w:rsidRPr="00D15F2B">
        <w:rPr>
          <w:rFonts w:ascii="Times New Roman" w:hAnsi="Times New Roman" w:cs="Times New Roman"/>
          <w:sz w:val="24"/>
          <w:szCs w:val="24"/>
          <w:shd w:val="clear" w:color="auto" w:fill="FFFFFF"/>
        </w:rPr>
        <w:t xml:space="preserve"> </w:t>
      </w:r>
      <w:r w:rsidRPr="00364EE1">
        <w:rPr>
          <w:rFonts w:ascii="Times New Roman" w:hAnsi="Times New Roman" w:cs="Times New Roman"/>
          <w:sz w:val="24"/>
          <w:szCs w:val="24"/>
          <w:shd w:val="clear" w:color="auto" w:fill="FFFFFF"/>
        </w:rPr>
        <w:t>et al.,</w:t>
      </w:r>
      <w:r w:rsidRPr="00D15F2B">
        <w:rPr>
          <w:rFonts w:ascii="Times New Roman" w:hAnsi="Times New Roman" w:cs="Times New Roman"/>
          <w:sz w:val="24"/>
          <w:szCs w:val="24"/>
          <w:shd w:val="clear" w:color="auto" w:fill="FFFFFF"/>
        </w:rPr>
        <w:t xml:space="preserve"> 2013; </w:t>
      </w:r>
      <w:r w:rsidR="00364EE1" w:rsidRPr="00D15F2B">
        <w:rPr>
          <w:rFonts w:ascii="Times New Roman" w:hAnsi="Times New Roman" w:cs="Times New Roman"/>
          <w:sz w:val="24"/>
          <w:szCs w:val="24"/>
        </w:rPr>
        <w:t>C</w:t>
      </w:r>
      <w:r w:rsidR="00364EE1">
        <w:rPr>
          <w:rFonts w:ascii="Times New Roman" w:hAnsi="Times New Roman" w:cs="Times New Roman"/>
          <w:sz w:val="24"/>
          <w:szCs w:val="24"/>
        </w:rPr>
        <w:t>OMBETTES</w:t>
      </w:r>
      <w:r w:rsidR="00364EE1" w:rsidRPr="00D15F2B">
        <w:rPr>
          <w:rFonts w:ascii="Times New Roman" w:hAnsi="Times New Roman" w:cs="Times New Roman"/>
          <w:sz w:val="24"/>
          <w:szCs w:val="24"/>
        </w:rPr>
        <w:t>-S</w:t>
      </w:r>
      <w:r w:rsidR="00364EE1">
        <w:rPr>
          <w:rFonts w:ascii="Times New Roman" w:hAnsi="Times New Roman" w:cs="Times New Roman"/>
          <w:sz w:val="24"/>
          <w:szCs w:val="24"/>
        </w:rPr>
        <w:t>OUVERAIN</w:t>
      </w:r>
      <w:r w:rsidR="00364EE1" w:rsidRPr="00D15F2B">
        <w:rPr>
          <w:rFonts w:ascii="Times New Roman" w:hAnsi="Times New Roman" w:cs="Times New Roman"/>
          <w:sz w:val="24"/>
          <w:szCs w:val="24"/>
        </w:rPr>
        <w:t xml:space="preserve">, </w:t>
      </w:r>
      <w:r w:rsidRPr="00D15F2B">
        <w:rPr>
          <w:rFonts w:ascii="Times New Roman" w:hAnsi="Times New Roman" w:cs="Times New Roman"/>
          <w:sz w:val="24"/>
          <w:szCs w:val="24"/>
        </w:rPr>
        <w:t>1998</w:t>
      </w:r>
      <w:r w:rsidRPr="00D15F2B">
        <w:rPr>
          <w:rFonts w:ascii="Times New Roman" w:hAnsi="Times New Roman" w:cs="Times New Roman"/>
          <w:sz w:val="24"/>
          <w:szCs w:val="24"/>
          <w:shd w:val="clear" w:color="auto" w:fill="FFFFFF"/>
        </w:rPr>
        <w:t>)</w:t>
      </w:r>
      <w:r w:rsidRPr="00D15F2B">
        <w:rPr>
          <w:rFonts w:ascii="Times New Roman" w:hAnsi="Times New Roman" w:cs="Times New Roman"/>
          <w:sz w:val="24"/>
          <w:szCs w:val="24"/>
        </w:rPr>
        <w:t xml:space="preserve">. A tecnologia do DNA Recombinante utiliza a técnica de PCR </w:t>
      </w:r>
      <w:r w:rsidRPr="00D15F2B">
        <w:rPr>
          <w:rFonts w:ascii="Times New Roman" w:eastAsia="Times New Roman" w:hAnsi="Times New Roman" w:cs="Times New Roman"/>
          <w:sz w:val="24"/>
          <w:szCs w:val="24"/>
        </w:rPr>
        <w:t>(Reação em Cadeia da Polimerase)</w:t>
      </w:r>
      <w:r w:rsidRPr="00D15F2B">
        <w:rPr>
          <w:rFonts w:ascii="Times New Roman" w:hAnsi="Times New Roman" w:cs="Times New Roman"/>
          <w:sz w:val="24"/>
          <w:szCs w:val="24"/>
        </w:rPr>
        <w:t xml:space="preserve">, descoberta em 1985 por Kary B. Mullis, que possibilita a amplificação do DNA </w:t>
      </w:r>
      <w:r w:rsidRPr="00D15F2B">
        <w:rPr>
          <w:rFonts w:ascii="Times New Roman" w:hAnsi="Times New Roman" w:cs="Times New Roman"/>
          <w:i/>
          <w:iCs/>
          <w:sz w:val="24"/>
          <w:szCs w:val="24"/>
        </w:rPr>
        <w:t>in vitro</w:t>
      </w:r>
      <w:r>
        <w:rPr>
          <w:rFonts w:ascii="Times New Roman" w:hAnsi="Times New Roman" w:cs="Times New Roman"/>
          <w:i/>
          <w:iCs/>
          <w:sz w:val="24"/>
          <w:szCs w:val="24"/>
        </w:rPr>
        <w:t xml:space="preserve"> </w:t>
      </w:r>
      <w:r>
        <w:rPr>
          <w:rFonts w:ascii="Times New Roman" w:hAnsi="Times New Roman" w:cs="Times New Roman"/>
          <w:sz w:val="24"/>
          <w:szCs w:val="24"/>
        </w:rPr>
        <w:t>(</w:t>
      </w:r>
      <w:r w:rsidR="00364EE1" w:rsidRPr="00D15F2B">
        <w:rPr>
          <w:rFonts w:ascii="Times New Roman" w:hAnsi="Times New Roman" w:cs="Times New Roman"/>
          <w:sz w:val="24"/>
          <w:szCs w:val="24"/>
        </w:rPr>
        <w:t>C</w:t>
      </w:r>
      <w:r w:rsidR="00364EE1">
        <w:rPr>
          <w:rFonts w:ascii="Times New Roman" w:hAnsi="Times New Roman" w:cs="Times New Roman"/>
          <w:sz w:val="24"/>
          <w:szCs w:val="24"/>
        </w:rPr>
        <w:t>OMBETTES</w:t>
      </w:r>
      <w:r w:rsidR="00364EE1" w:rsidRPr="00D15F2B">
        <w:rPr>
          <w:rFonts w:ascii="Times New Roman" w:hAnsi="Times New Roman" w:cs="Times New Roman"/>
          <w:sz w:val="24"/>
          <w:szCs w:val="24"/>
        </w:rPr>
        <w:t>-S</w:t>
      </w:r>
      <w:r w:rsidR="00364EE1">
        <w:rPr>
          <w:rFonts w:ascii="Times New Roman" w:hAnsi="Times New Roman" w:cs="Times New Roman"/>
          <w:sz w:val="24"/>
          <w:szCs w:val="24"/>
        </w:rPr>
        <w:t>OUVERAIN</w:t>
      </w:r>
      <w:r w:rsidRPr="00D15F2B">
        <w:rPr>
          <w:rFonts w:ascii="Times New Roman" w:hAnsi="Times New Roman" w:cs="Times New Roman"/>
          <w:sz w:val="24"/>
          <w:szCs w:val="24"/>
        </w:rPr>
        <w:t>, 1998</w:t>
      </w:r>
      <w:r>
        <w:rPr>
          <w:rFonts w:ascii="Times New Roman" w:hAnsi="Times New Roman" w:cs="Times New Roman"/>
          <w:sz w:val="24"/>
          <w:szCs w:val="24"/>
        </w:rPr>
        <w:t>).</w:t>
      </w:r>
    </w:p>
    <w:p w14:paraId="56ABE3ED" w14:textId="26F88CFB" w:rsidR="00647C4E" w:rsidRDefault="00647C4E" w:rsidP="00647C4E">
      <w:pPr>
        <w:pStyle w:val="Normal1"/>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Em geral, as diferentes estratégias biotecnológicas discutidas produzem grandes quantidades de dados que devem ser analisados de forma rápida e eficaz. As análises </w:t>
      </w:r>
      <w:r>
        <w:rPr>
          <w:rFonts w:ascii="Times New Roman" w:eastAsia="Times New Roman" w:hAnsi="Times New Roman" w:cs="Times New Roman"/>
          <w:i/>
          <w:iCs/>
          <w:sz w:val="24"/>
          <w:szCs w:val="24"/>
          <w:highlight w:val="white"/>
        </w:rPr>
        <w:t xml:space="preserve">in </w:t>
      </w:r>
      <w:r>
        <w:rPr>
          <w:rFonts w:ascii="Times New Roman" w:eastAsia="Times New Roman" w:hAnsi="Times New Roman" w:cs="Times New Roman"/>
          <w:sz w:val="24"/>
          <w:szCs w:val="24"/>
          <w:highlight w:val="white"/>
        </w:rPr>
        <w:t xml:space="preserve">sílico têm um papel fundamental, possibilitando a organização, o gerenciamento, a visualização e a interpretação da informação gerada. A bioinformática estabelece padrões de correlação </w:t>
      </w:r>
      <w:r w:rsidRPr="00EE26B3">
        <w:rPr>
          <w:rFonts w:ascii="Times New Roman" w:eastAsia="Times New Roman" w:hAnsi="Times New Roman" w:cs="Times New Roman"/>
          <w:sz w:val="24"/>
          <w:szCs w:val="24"/>
          <w:highlight w:val="white"/>
        </w:rPr>
        <w:t>entre</w:t>
      </w:r>
      <w:r>
        <w:rPr>
          <w:rFonts w:ascii="Times New Roman" w:eastAsia="Times New Roman" w:hAnsi="Times New Roman" w:cs="Times New Roman"/>
          <w:sz w:val="24"/>
          <w:szCs w:val="24"/>
          <w:highlight w:val="white"/>
        </w:rPr>
        <w:t xml:space="preserve"> os diversos eventos bioquímicos e celulares envolvidos no estado de doença, ou durante o tratamento de um candidato a </w:t>
      </w:r>
      <w:r w:rsidRPr="007613C8">
        <w:rPr>
          <w:rFonts w:ascii="Times New Roman" w:eastAsia="Times New Roman" w:hAnsi="Times New Roman" w:cs="Times New Roman"/>
          <w:sz w:val="24"/>
          <w:szCs w:val="24"/>
          <w:highlight w:val="white"/>
        </w:rPr>
        <w:t>fármaco</w:t>
      </w:r>
      <w:r w:rsidRPr="007613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Bem</w:t>
      </w:r>
      <w:r w:rsidRPr="007613C8">
        <w:rPr>
          <w:rFonts w:ascii="Times New Roman" w:eastAsia="Times New Roman" w:hAnsi="Times New Roman" w:cs="Times New Roman"/>
          <w:sz w:val="24"/>
          <w:szCs w:val="24"/>
        </w:rPr>
        <w:t xml:space="preserve"> como, a análise exploratória </w:t>
      </w:r>
      <w:r w:rsidRPr="007613C8">
        <w:rPr>
          <w:rFonts w:ascii="Times New Roman" w:eastAsia="Times New Roman" w:hAnsi="Times New Roman" w:cs="Times New Roman"/>
          <w:i/>
          <w:iCs/>
          <w:sz w:val="24"/>
          <w:szCs w:val="24"/>
        </w:rPr>
        <w:t>in</w:t>
      </w:r>
      <w:r>
        <w:rPr>
          <w:rFonts w:ascii="Times New Roman" w:eastAsia="Times New Roman" w:hAnsi="Times New Roman" w:cs="Times New Roman"/>
          <w:i/>
          <w:iCs/>
          <w:sz w:val="24"/>
          <w:szCs w:val="24"/>
        </w:rPr>
        <w:t xml:space="preserve"> </w:t>
      </w:r>
      <w:r w:rsidRPr="007613C8">
        <w:rPr>
          <w:rFonts w:ascii="Times New Roman" w:eastAsia="Times New Roman" w:hAnsi="Times New Roman" w:cs="Times New Roman"/>
          <w:i/>
          <w:iCs/>
          <w:sz w:val="24"/>
          <w:szCs w:val="24"/>
        </w:rPr>
        <w:t xml:space="preserve">sílico </w:t>
      </w:r>
      <w:r w:rsidRPr="007613C8">
        <w:rPr>
          <w:rFonts w:ascii="Times New Roman" w:hAnsi="Times New Roman" w:cs="Times New Roman"/>
          <w:sz w:val="24"/>
          <w:szCs w:val="24"/>
          <w:shd w:val="clear" w:color="auto" w:fill="FFFFFF"/>
        </w:rPr>
        <w:t>de sequências genômicas de regiões CRISPR</w:t>
      </w:r>
      <w:r>
        <w:rPr>
          <w:rFonts w:ascii="Times New Roman" w:eastAsia="Times New Roman" w:hAnsi="Times New Roman" w:cs="Times New Roman"/>
          <w:sz w:val="24"/>
          <w:szCs w:val="24"/>
        </w:rPr>
        <w:t xml:space="preserve"> (G</w:t>
      </w:r>
      <w:r w:rsidR="00364EE1">
        <w:rPr>
          <w:rFonts w:ascii="Times New Roman" w:eastAsia="Times New Roman" w:hAnsi="Times New Roman" w:cs="Times New Roman"/>
          <w:sz w:val="24"/>
          <w:szCs w:val="24"/>
        </w:rPr>
        <w:t>UIDO</w:t>
      </w:r>
      <w:r>
        <w:rPr>
          <w:rFonts w:ascii="Times New Roman" w:eastAsia="Times New Roman" w:hAnsi="Times New Roman" w:cs="Times New Roman"/>
          <w:i/>
          <w:sz w:val="24"/>
          <w:szCs w:val="24"/>
        </w:rPr>
        <w:t xml:space="preserve"> </w:t>
      </w:r>
      <w:r w:rsidRPr="00364EE1">
        <w:rPr>
          <w:rFonts w:ascii="Times New Roman" w:eastAsia="Times New Roman" w:hAnsi="Times New Roman" w:cs="Times New Roman"/>
          <w:iCs/>
          <w:sz w:val="24"/>
          <w:szCs w:val="24"/>
        </w:rPr>
        <w:t>et al.,</w:t>
      </w:r>
      <w:r>
        <w:rPr>
          <w:rFonts w:ascii="Times New Roman" w:eastAsia="Times New Roman" w:hAnsi="Times New Roman" w:cs="Times New Roman"/>
          <w:sz w:val="24"/>
          <w:szCs w:val="24"/>
        </w:rPr>
        <w:t xml:space="preserve"> 2010)</w:t>
      </w:r>
      <w:r>
        <w:rPr>
          <w:rFonts w:ascii="Times New Roman" w:eastAsia="Times New Roman" w:hAnsi="Times New Roman" w:cs="Times New Roman"/>
          <w:sz w:val="24"/>
          <w:szCs w:val="24"/>
          <w:highlight w:val="white"/>
        </w:rPr>
        <w:t xml:space="preserve">. </w:t>
      </w:r>
    </w:p>
    <w:p w14:paraId="1B53E593" w14:textId="0906EBE7" w:rsidR="00647C4E" w:rsidRPr="00D15F2B" w:rsidRDefault="00647C4E" w:rsidP="00647C4E">
      <w:pPr>
        <w:pStyle w:val="Normal1"/>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A</w:t>
      </w:r>
      <w:r w:rsidRPr="002A460B">
        <w:rPr>
          <w:rFonts w:ascii="Times New Roman" w:eastAsia="Times New Roman" w:hAnsi="Times New Roman" w:cs="Times New Roman"/>
          <w:sz w:val="24"/>
          <w:szCs w:val="24"/>
        </w:rPr>
        <w:t xml:space="preserve"> tecnologia CRISPR que permite a manipulação de genes e vias em células de mamíferos, fornecendo ferramentas poderosas estudos de identificação e validação de alvos. São tecnologias de edição de genoma que oferecem ferramentas para estabelecer sistemas celulares para estudar o efeito de um polimorfismo de um nucleotídeo simples específico em uma doença relevante fenótipo. Os resultados desses estudos genéticos reversos e avançados forneceriam evidência sobre se o sistema celular pode recapitular parte da doença fenótipo, por isso a relevância biológica para uso como modelo celular para a doença (</w:t>
      </w:r>
      <w:r w:rsidR="00364EE1" w:rsidRPr="002A460B">
        <w:rPr>
          <w:rFonts w:ascii="Times New Roman" w:eastAsia="Times New Roman" w:hAnsi="Times New Roman" w:cs="Times New Roman"/>
          <w:sz w:val="24"/>
          <w:szCs w:val="24"/>
        </w:rPr>
        <w:t>L</w:t>
      </w:r>
      <w:r w:rsidR="00364EE1">
        <w:rPr>
          <w:rFonts w:ascii="Times New Roman" w:eastAsia="Times New Roman" w:hAnsi="Times New Roman" w:cs="Times New Roman"/>
          <w:sz w:val="24"/>
          <w:szCs w:val="24"/>
        </w:rPr>
        <w:t>U</w:t>
      </w:r>
      <w:r w:rsidRPr="002A460B">
        <w:rPr>
          <w:rFonts w:ascii="Times New Roman" w:eastAsia="Times New Roman" w:hAnsi="Times New Roman" w:cs="Times New Roman"/>
          <w:sz w:val="24"/>
          <w:szCs w:val="24"/>
        </w:rPr>
        <w:t xml:space="preserve"> et al., 2017).</w:t>
      </w:r>
    </w:p>
    <w:p w14:paraId="7C9AF025" w14:textId="7DF7113B" w:rsidR="00647C4E" w:rsidRPr="005B50C1" w:rsidRDefault="00647C4E" w:rsidP="00647C4E">
      <w:pPr>
        <w:pStyle w:val="Normal1"/>
        <w:spacing w:line="360" w:lineRule="auto"/>
        <w:ind w:firstLine="708"/>
        <w:jc w:val="both"/>
        <w:rPr>
          <w:rFonts w:ascii="Times New Roman" w:hAnsi="Times New Roman" w:cs="Times New Roman"/>
          <w:b/>
          <w:bCs/>
          <w:color w:val="244061" w:themeColor="accent1" w:themeShade="80"/>
          <w:sz w:val="24"/>
          <w:szCs w:val="24"/>
          <w:shd w:val="clear" w:color="auto" w:fill="FFFFFF"/>
        </w:rPr>
      </w:pPr>
      <w:r w:rsidRPr="00934F31">
        <w:rPr>
          <w:rFonts w:ascii="Times New Roman" w:eastAsia="Times New Roman" w:hAnsi="Times New Roman" w:cs="Times New Roman"/>
          <w:sz w:val="24"/>
          <w:szCs w:val="24"/>
        </w:rPr>
        <w:t>Os processos biotecnológicos mais utilizados</w:t>
      </w:r>
      <w:r>
        <w:rPr>
          <w:rFonts w:ascii="Times New Roman" w:eastAsia="Times New Roman" w:hAnsi="Times New Roman" w:cs="Times New Roman"/>
          <w:sz w:val="24"/>
          <w:szCs w:val="24"/>
        </w:rPr>
        <w:t xml:space="preserve"> </w:t>
      </w:r>
      <w:r w:rsidRPr="00934F31">
        <w:rPr>
          <w:rFonts w:ascii="Times New Roman" w:eastAsia="Times New Roman" w:hAnsi="Times New Roman" w:cs="Times New Roman"/>
          <w:sz w:val="24"/>
          <w:szCs w:val="24"/>
        </w:rPr>
        <w:t>amplamente na indústria farmacêutica, além da tecnologia de DNA recombina</w:t>
      </w:r>
      <w:r>
        <w:rPr>
          <w:rFonts w:ascii="Times New Roman" w:eastAsia="Times New Roman" w:hAnsi="Times New Roman" w:cs="Times New Roman"/>
          <w:sz w:val="24"/>
          <w:szCs w:val="24"/>
        </w:rPr>
        <w:t>nte</w:t>
      </w:r>
      <w:r w:rsidRPr="00934F31">
        <w:rPr>
          <w:rFonts w:ascii="Times New Roman" w:eastAsia="Times New Roman" w:hAnsi="Times New Roman" w:cs="Times New Roman"/>
          <w:sz w:val="24"/>
          <w:szCs w:val="24"/>
        </w:rPr>
        <w:t>, e incluindo dentro deste</w:t>
      </w:r>
      <w:r>
        <w:rPr>
          <w:rFonts w:ascii="Times New Roman" w:eastAsia="Times New Roman" w:hAnsi="Times New Roman" w:cs="Times New Roman"/>
          <w:sz w:val="24"/>
          <w:szCs w:val="24"/>
        </w:rPr>
        <w:t xml:space="preserve"> </w:t>
      </w:r>
      <w:r w:rsidRPr="00934F31">
        <w:rPr>
          <w:rFonts w:ascii="Times New Roman" w:eastAsia="Times New Roman" w:hAnsi="Times New Roman" w:cs="Times New Roman"/>
          <w:sz w:val="24"/>
          <w:szCs w:val="24"/>
        </w:rPr>
        <w:t>mutagênese dirigida, são bio</w:t>
      </w:r>
      <w:r>
        <w:rPr>
          <w:rFonts w:ascii="Times New Roman" w:eastAsia="Times New Roman" w:hAnsi="Times New Roman" w:cs="Times New Roman"/>
          <w:sz w:val="24"/>
          <w:szCs w:val="24"/>
        </w:rPr>
        <w:t>ssensores</w:t>
      </w:r>
      <w:r w:rsidRPr="00934F31">
        <w:rPr>
          <w:rFonts w:ascii="Times New Roman" w:eastAsia="Times New Roman" w:hAnsi="Times New Roman" w:cs="Times New Roman"/>
          <w:sz w:val="24"/>
          <w:szCs w:val="24"/>
        </w:rPr>
        <w:t>, tecnologia de</w:t>
      </w:r>
      <w:r>
        <w:rPr>
          <w:rFonts w:ascii="Times New Roman" w:eastAsia="Times New Roman" w:hAnsi="Times New Roman" w:cs="Times New Roman"/>
          <w:sz w:val="24"/>
          <w:szCs w:val="24"/>
        </w:rPr>
        <w:t xml:space="preserve"> </w:t>
      </w:r>
      <w:r w:rsidRPr="00934F31">
        <w:rPr>
          <w:rFonts w:ascii="Times New Roman" w:eastAsia="Times New Roman" w:hAnsi="Times New Roman" w:cs="Times New Roman"/>
          <w:sz w:val="24"/>
          <w:szCs w:val="24"/>
        </w:rPr>
        <w:t xml:space="preserve">anticorpos monoclonais, tecnologia de vacinas, </w:t>
      </w:r>
      <w:r w:rsidRPr="00D66F54">
        <w:rPr>
          <w:rFonts w:ascii="Times New Roman" w:eastAsia="Times New Roman" w:hAnsi="Times New Roman" w:cs="Times New Roman"/>
          <w:i/>
          <w:iCs/>
          <w:sz w:val="24"/>
          <w:szCs w:val="24"/>
        </w:rPr>
        <w:t>human-on-chip</w:t>
      </w:r>
      <w:r>
        <w:rPr>
          <w:rFonts w:ascii="Times New Roman" w:eastAsia="Times New Roman" w:hAnsi="Times New Roman" w:cs="Times New Roman"/>
          <w:sz w:val="24"/>
          <w:szCs w:val="24"/>
        </w:rPr>
        <w:t xml:space="preserve">, impressão de órgãos, medicina de precisão, antibióticos, hemocomponentes e lipossomas, farmacogenética e farmacogenômica, </w:t>
      </w:r>
      <w:r w:rsidRPr="00934F31">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mais </w:t>
      </w:r>
      <w:r w:rsidRPr="00934F31">
        <w:rPr>
          <w:rFonts w:ascii="Times New Roman" w:eastAsia="Times New Roman" w:hAnsi="Times New Roman" w:cs="Times New Roman"/>
          <w:sz w:val="24"/>
          <w:szCs w:val="24"/>
        </w:rPr>
        <w:t>recente,</w:t>
      </w:r>
      <w:r>
        <w:rPr>
          <w:rFonts w:ascii="Times New Roman" w:eastAsia="Times New Roman" w:hAnsi="Times New Roman" w:cs="Times New Roman"/>
          <w:sz w:val="24"/>
          <w:szCs w:val="24"/>
        </w:rPr>
        <w:t xml:space="preserve"> a</w:t>
      </w:r>
      <w:r w:rsidRPr="00934F31">
        <w:rPr>
          <w:rFonts w:ascii="Times New Roman" w:eastAsia="Times New Roman" w:hAnsi="Times New Roman" w:cs="Times New Roman"/>
          <w:sz w:val="24"/>
          <w:szCs w:val="24"/>
        </w:rPr>
        <w:t xml:space="preserve"> terapia gênica</w:t>
      </w:r>
      <w:r>
        <w:rPr>
          <w:rFonts w:ascii="Times New Roman" w:eastAsia="Times New Roman" w:hAnsi="Times New Roman" w:cs="Times New Roman"/>
          <w:sz w:val="24"/>
          <w:szCs w:val="24"/>
        </w:rPr>
        <w:t xml:space="preserve">. As principais ferramentas utilizadas são PCR, Enzimas de restrição, Eletroforese, Eletroporação e </w:t>
      </w:r>
      <w:r w:rsidRPr="005B50C1">
        <w:rPr>
          <w:rFonts w:ascii="Times New Roman" w:hAnsi="Times New Roman" w:cs="Times New Roman"/>
          <w:sz w:val="24"/>
          <w:szCs w:val="24"/>
          <w:shd w:val="clear" w:color="auto" w:fill="FFFFFF"/>
        </w:rPr>
        <w:t>Sistema X-gal/lacZ</w:t>
      </w:r>
      <w:r w:rsidRPr="005B50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364EE1" w:rsidRPr="00D15F2B">
        <w:rPr>
          <w:rFonts w:ascii="Times New Roman" w:hAnsi="Times New Roman" w:cs="Times New Roman"/>
          <w:sz w:val="24"/>
          <w:szCs w:val="24"/>
          <w:shd w:val="clear" w:color="auto" w:fill="FFFFFF"/>
        </w:rPr>
        <w:t>S</w:t>
      </w:r>
      <w:r w:rsidR="00364EE1">
        <w:rPr>
          <w:rFonts w:ascii="Times New Roman" w:hAnsi="Times New Roman" w:cs="Times New Roman"/>
          <w:sz w:val="24"/>
          <w:szCs w:val="24"/>
          <w:shd w:val="clear" w:color="auto" w:fill="FFFFFF"/>
        </w:rPr>
        <w:t>TRYJEWSKA</w:t>
      </w:r>
      <w:r w:rsidR="00364EE1" w:rsidRPr="00D15F2B">
        <w:rPr>
          <w:rFonts w:ascii="Times New Roman" w:hAnsi="Times New Roman" w:cs="Times New Roman"/>
          <w:sz w:val="24"/>
          <w:szCs w:val="24"/>
          <w:shd w:val="clear" w:color="auto" w:fill="FFFFFF"/>
        </w:rPr>
        <w:t xml:space="preserve"> </w:t>
      </w:r>
      <w:r w:rsidRPr="00364EE1">
        <w:rPr>
          <w:rFonts w:ascii="Times New Roman" w:hAnsi="Times New Roman" w:cs="Times New Roman"/>
          <w:sz w:val="24"/>
          <w:szCs w:val="24"/>
          <w:shd w:val="clear" w:color="auto" w:fill="FFFFFF"/>
        </w:rPr>
        <w:t>et al.,</w:t>
      </w:r>
      <w:r w:rsidRPr="00D15F2B">
        <w:rPr>
          <w:rFonts w:ascii="Times New Roman" w:hAnsi="Times New Roman" w:cs="Times New Roman"/>
          <w:sz w:val="24"/>
          <w:szCs w:val="24"/>
          <w:shd w:val="clear" w:color="auto" w:fill="FFFFFF"/>
        </w:rPr>
        <w:t xml:space="preserve"> 2013</w:t>
      </w:r>
      <w:r>
        <w:rPr>
          <w:rFonts w:ascii="Times New Roman" w:hAnsi="Times New Roman" w:cs="Times New Roman"/>
          <w:sz w:val="24"/>
          <w:szCs w:val="24"/>
          <w:shd w:val="clear" w:color="auto" w:fill="FFFFFF"/>
        </w:rPr>
        <w:t>)</w:t>
      </w:r>
      <w:r w:rsidRPr="00934F31">
        <w:rPr>
          <w:rFonts w:ascii="Times New Roman" w:eastAsia="Times New Roman" w:hAnsi="Times New Roman" w:cs="Times New Roman"/>
          <w:sz w:val="24"/>
          <w:szCs w:val="24"/>
        </w:rPr>
        <w:t>.</w:t>
      </w:r>
    </w:p>
    <w:p w14:paraId="140685FF" w14:textId="5130D398" w:rsidR="00647C4E" w:rsidRPr="00647C4E" w:rsidRDefault="00647C4E" w:rsidP="00647C4E">
      <w:pPr>
        <w:pStyle w:val="Normal1"/>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Atualmente, a biotecnologia tem impacto na indústria farmacêutica, contribuindo com a produção de novos fármacos, em adição às tecnologias tradicionais, fornecendo medicamentos com maior </w:t>
      </w:r>
      <w:r w:rsidRPr="005A7F50">
        <w:rPr>
          <w:rFonts w:ascii="Times New Roman" w:eastAsia="Times New Roman" w:hAnsi="Times New Roman" w:cs="Times New Roman"/>
          <w:sz w:val="24"/>
          <w:szCs w:val="24"/>
        </w:rPr>
        <w:t>especificidade e menos efeitos adversos.</w:t>
      </w:r>
    </w:p>
    <w:p w14:paraId="190AE2CA" w14:textId="77777777" w:rsidR="00647C4E" w:rsidRDefault="00647C4E" w:rsidP="00647C4E">
      <w:pPr>
        <w:pStyle w:val="Normal1"/>
        <w:spacing w:line="360" w:lineRule="auto"/>
        <w:jc w:val="both"/>
        <w:rPr>
          <w:rFonts w:ascii="Times New Roman" w:hAnsi="Times New Roman" w:cs="Times New Roman"/>
          <w:b/>
          <w:bCs/>
          <w:sz w:val="24"/>
          <w:szCs w:val="24"/>
          <w:shd w:val="clear" w:color="auto" w:fill="FFFFFF"/>
        </w:rPr>
      </w:pPr>
    </w:p>
    <w:p w14:paraId="408AE484" w14:textId="2F8D053A" w:rsidR="00647C4E" w:rsidRPr="00364EE1" w:rsidRDefault="00647C4E" w:rsidP="00647C4E">
      <w:pPr>
        <w:pStyle w:val="Normal1"/>
        <w:spacing w:line="360" w:lineRule="auto"/>
        <w:jc w:val="both"/>
        <w:rPr>
          <w:rFonts w:ascii="Times New Roman" w:hAnsi="Times New Roman" w:cs="Times New Roman"/>
          <w:b/>
          <w:bCs/>
          <w:sz w:val="24"/>
          <w:szCs w:val="24"/>
          <w:shd w:val="clear" w:color="auto" w:fill="FFFFFF"/>
        </w:rPr>
      </w:pPr>
      <w:r w:rsidRPr="00364EE1">
        <w:rPr>
          <w:rFonts w:ascii="Times New Roman" w:hAnsi="Times New Roman" w:cs="Times New Roman"/>
          <w:b/>
          <w:bCs/>
          <w:sz w:val="24"/>
          <w:szCs w:val="24"/>
          <w:shd w:val="clear" w:color="auto" w:fill="FFFFFF"/>
        </w:rPr>
        <w:t>Principais inovações da Biotecnologia na produção de novos fármacos</w:t>
      </w:r>
    </w:p>
    <w:p w14:paraId="53AEE850" w14:textId="7F57E52E" w:rsidR="00647C4E" w:rsidRDefault="00647C4E" w:rsidP="00647C4E">
      <w:pPr>
        <w:pStyle w:val="Normal1"/>
        <w:spacing w:line="360" w:lineRule="auto"/>
        <w:jc w:val="both"/>
        <w:rPr>
          <w:rFonts w:ascii="Times New Roman" w:hAnsi="Times New Roman" w:cs="Times New Roman"/>
          <w:sz w:val="24"/>
          <w:szCs w:val="24"/>
          <w:shd w:val="clear" w:color="auto" w:fill="FFFFFF"/>
        </w:rPr>
      </w:pPr>
      <w:r w:rsidRPr="00364EE1">
        <w:rPr>
          <w:rFonts w:ascii="Times New Roman" w:hAnsi="Times New Roman" w:cs="Times New Roman"/>
          <w:b/>
          <w:bCs/>
          <w:color w:val="000000" w:themeColor="text1"/>
          <w:sz w:val="24"/>
          <w:szCs w:val="24"/>
          <w:shd w:val="clear" w:color="auto" w:fill="FFFFFF"/>
        </w:rPr>
        <w:t xml:space="preserve">Biossensores. </w:t>
      </w:r>
      <w:r w:rsidR="007422E9">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ão dispositivos médicos implantados utilizados na medicina de precisão. A medicina de precisão trata o indivíduo com as suas particularidades, individualizando o tratamento, prevenção e investigação, considerando a variabilidade individual </w:t>
      </w:r>
      <w:r w:rsidRPr="00224498">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o paciente</w:t>
      </w:r>
      <w:r w:rsidRPr="00224498">
        <w:rPr>
          <w:rFonts w:ascii="Times New Roman" w:hAnsi="Times New Roman" w:cs="Times New Roman"/>
          <w:sz w:val="24"/>
          <w:szCs w:val="24"/>
          <w:shd w:val="clear" w:color="auto" w:fill="FFFFFF"/>
        </w:rPr>
        <w:t xml:space="preserve"> (G</w:t>
      </w:r>
      <w:r w:rsidR="00364EE1" w:rsidRPr="00224498">
        <w:rPr>
          <w:rFonts w:ascii="Times New Roman" w:hAnsi="Times New Roman" w:cs="Times New Roman"/>
          <w:sz w:val="24"/>
          <w:szCs w:val="24"/>
          <w:shd w:val="clear" w:color="auto" w:fill="FFFFFF"/>
        </w:rPr>
        <w:t xml:space="preserve">HASEMI </w:t>
      </w:r>
      <w:r w:rsidRPr="00224498">
        <w:rPr>
          <w:rFonts w:ascii="Times New Roman" w:hAnsi="Times New Roman" w:cs="Times New Roman"/>
          <w:sz w:val="24"/>
          <w:szCs w:val="24"/>
          <w:shd w:val="clear" w:color="auto" w:fill="FFFFFF"/>
        </w:rPr>
        <w:t>et al., 2016)</w:t>
      </w:r>
      <w:r>
        <w:rPr>
          <w:rFonts w:ascii="Times New Roman" w:hAnsi="Times New Roman" w:cs="Times New Roman"/>
          <w:sz w:val="24"/>
          <w:szCs w:val="24"/>
          <w:shd w:val="clear" w:color="auto" w:fill="FFFFFF"/>
        </w:rPr>
        <w:t xml:space="preserve">. </w:t>
      </w:r>
      <w:r w:rsidR="00364EE1">
        <w:rPr>
          <w:rFonts w:ascii="Times New Roman" w:hAnsi="Times New Roman" w:cs="Times New Roman"/>
          <w:sz w:val="24"/>
          <w:szCs w:val="24"/>
          <w:shd w:val="clear" w:color="auto" w:fill="FFFFFF"/>
        </w:rPr>
        <w:t xml:space="preserve"> </w:t>
      </w:r>
      <w:r w:rsidR="007422E9">
        <w:rPr>
          <w:rFonts w:ascii="Times New Roman" w:hAnsi="Times New Roman" w:cs="Times New Roman"/>
          <w:sz w:val="24"/>
          <w:szCs w:val="24"/>
          <w:shd w:val="clear" w:color="auto" w:fill="FFFFFF"/>
        </w:rPr>
        <w:t>Compreende como</w:t>
      </w:r>
      <w:r>
        <w:rPr>
          <w:rFonts w:ascii="Times New Roman" w:hAnsi="Times New Roman" w:cs="Times New Roman"/>
          <w:sz w:val="24"/>
          <w:szCs w:val="24"/>
          <w:shd w:val="clear" w:color="auto" w:fill="FFFFFF"/>
        </w:rPr>
        <w:t xml:space="preserve"> dispositivos analíticos contendo um sensor biológico que transforma a resposta biológica em sinais elétricos, compostos por bioreconhecimento (identifica o alvo) e um transdutor (converte o sinal de reconhecimento molecular em sinal elétrico). Podem ser utilizados diferentes elementos de reconhecimento molecular, como, anticorpos, proteínas, enzimas, peptídeos e ácidos nucleicos </w:t>
      </w:r>
      <w:r w:rsidRPr="00CE4289">
        <w:rPr>
          <w:rFonts w:ascii="Times New Roman" w:hAnsi="Times New Roman" w:cs="Times New Roman"/>
          <w:sz w:val="24"/>
          <w:szCs w:val="24"/>
          <w:shd w:val="clear" w:color="auto" w:fill="FFFFFF"/>
        </w:rPr>
        <w:t>(</w:t>
      </w:r>
      <w:r w:rsidR="00364EE1" w:rsidRPr="00CE4289">
        <w:rPr>
          <w:rFonts w:ascii="Times New Roman" w:hAnsi="Times New Roman" w:cs="Times New Roman"/>
          <w:sz w:val="24"/>
          <w:szCs w:val="24"/>
          <w:shd w:val="clear" w:color="auto" w:fill="FFFFFF"/>
        </w:rPr>
        <w:t xml:space="preserve">THÉVENOT et </w:t>
      </w:r>
      <w:r w:rsidRPr="00CE4289">
        <w:rPr>
          <w:rFonts w:ascii="Times New Roman" w:hAnsi="Times New Roman" w:cs="Times New Roman"/>
          <w:sz w:val="24"/>
          <w:szCs w:val="24"/>
          <w:shd w:val="clear" w:color="auto" w:fill="FFFFFF"/>
        </w:rPr>
        <w:t>al., 2001)</w:t>
      </w:r>
      <w:r>
        <w:rPr>
          <w:rFonts w:ascii="Times New Roman" w:hAnsi="Times New Roman" w:cs="Times New Roman"/>
          <w:sz w:val="24"/>
          <w:szCs w:val="24"/>
          <w:shd w:val="clear" w:color="auto" w:fill="FFFFFF"/>
        </w:rPr>
        <w:t>.</w:t>
      </w:r>
      <w:r w:rsidR="00364EE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São utilizados para diagnósticos, gestão, monitorização e tratamentos de diversas doenças. Alguns requisitos são importantes para os biossensores: capacidade de ação dentro da faixa terapêutica de uma substância ativa na presença de soluções como sangue ou fluido intersticial, portanto, deve ter sensibilidade e especificidade; biocompatibilidade e bioestabilidade, ser funcional diante de reações imunológicas negativas; ter autossuficiência e transmissão, no fornecimento de energia e controle externo (G</w:t>
      </w:r>
      <w:r w:rsidR="00364EE1">
        <w:rPr>
          <w:rFonts w:ascii="Times New Roman" w:hAnsi="Times New Roman" w:cs="Times New Roman"/>
          <w:sz w:val="24"/>
          <w:szCs w:val="24"/>
          <w:shd w:val="clear" w:color="auto" w:fill="FFFFFF"/>
        </w:rPr>
        <w:t xml:space="preserve">RAY </w:t>
      </w:r>
      <w:r w:rsidRPr="00364EE1">
        <w:rPr>
          <w:rFonts w:ascii="Times New Roman" w:hAnsi="Times New Roman" w:cs="Times New Roman"/>
          <w:sz w:val="24"/>
          <w:szCs w:val="24"/>
          <w:shd w:val="clear" w:color="auto" w:fill="FFFFFF"/>
        </w:rPr>
        <w:t>et al</w:t>
      </w:r>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 xml:space="preserve">2018). </w:t>
      </w:r>
    </w:p>
    <w:p w14:paraId="781333F4" w14:textId="314EAC30" w:rsidR="00647C4E" w:rsidRDefault="00647C4E" w:rsidP="00647C4E">
      <w:pPr>
        <w:pStyle w:val="Normal1"/>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Estes dispositivos são aplicados nas doenças metabólicas, como por exemplo na diabetes </w:t>
      </w:r>
      <w:r w:rsidRPr="00E4452B">
        <w:rPr>
          <w:rFonts w:ascii="Times New Roman" w:hAnsi="Times New Roman" w:cs="Times New Roman"/>
          <w:i/>
          <w:iCs/>
          <w:sz w:val="24"/>
          <w:szCs w:val="24"/>
          <w:shd w:val="clear" w:color="auto" w:fill="FFFFFF"/>
        </w:rPr>
        <w:t>mellitus</w:t>
      </w:r>
      <w:r>
        <w:rPr>
          <w:rFonts w:ascii="Times New Roman" w:hAnsi="Times New Roman" w:cs="Times New Roman"/>
          <w:sz w:val="24"/>
          <w:szCs w:val="24"/>
          <w:shd w:val="clear" w:color="auto" w:fill="FFFFFF"/>
        </w:rPr>
        <w:t xml:space="preserve">, </w:t>
      </w:r>
      <w:r w:rsidRPr="00E4452B">
        <w:rPr>
          <w:rFonts w:ascii="Times New Roman" w:hAnsi="Times New Roman" w:cs="Times New Roman"/>
          <w:sz w:val="24"/>
          <w:szCs w:val="24"/>
          <w:shd w:val="clear" w:color="auto" w:fill="FFFFFF"/>
        </w:rPr>
        <w:t>(Home, 2012)</w:t>
      </w:r>
      <w:r>
        <w:rPr>
          <w:rFonts w:ascii="Times New Roman" w:hAnsi="Times New Roman" w:cs="Times New Roman"/>
          <w:sz w:val="24"/>
          <w:szCs w:val="24"/>
          <w:shd w:val="clear" w:color="auto" w:fill="FFFFFF"/>
        </w:rPr>
        <w:t>. Biossensores também são utilizados nas investigações forenses. Alguns biossensores de enzimas também estão em fase experimental na neurociência com o objetivo de investigação de distúrbios regulatórios no metabolismo energético cerebral para a cognição e memória (</w:t>
      </w:r>
      <w:r w:rsidR="00364EE1" w:rsidRPr="00B26E2C">
        <w:rPr>
          <w:rFonts w:ascii="Times New Roman" w:hAnsi="Times New Roman" w:cs="Times New Roman"/>
          <w:sz w:val="24"/>
          <w:szCs w:val="24"/>
          <w:shd w:val="clear" w:color="auto" w:fill="FFFFFF"/>
        </w:rPr>
        <w:t>HERTZ</w:t>
      </w:r>
      <w:r w:rsidR="00364EE1">
        <w:rPr>
          <w:rFonts w:ascii="Times New Roman" w:hAnsi="Times New Roman" w:cs="Times New Roman"/>
          <w:sz w:val="24"/>
          <w:szCs w:val="24"/>
          <w:shd w:val="clear" w:color="auto" w:fill="FFFFFF"/>
        </w:rPr>
        <w:t>;</w:t>
      </w:r>
      <w:r w:rsidR="00364EE1" w:rsidRPr="00B26E2C">
        <w:rPr>
          <w:rFonts w:ascii="Times New Roman" w:hAnsi="Times New Roman" w:cs="Times New Roman"/>
          <w:sz w:val="24"/>
          <w:szCs w:val="24"/>
          <w:shd w:val="clear" w:color="auto" w:fill="FFFFFF"/>
        </w:rPr>
        <w:t xml:space="preserve"> GIBBS</w:t>
      </w:r>
      <w:r w:rsidRPr="00B26E2C">
        <w:rPr>
          <w:rFonts w:ascii="Times New Roman" w:hAnsi="Times New Roman" w:cs="Times New Roman"/>
          <w:sz w:val="24"/>
          <w:szCs w:val="24"/>
          <w:shd w:val="clear" w:color="auto" w:fill="FFFFFF"/>
        </w:rPr>
        <w:t>, 2009</w:t>
      </w:r>
      <w:r>
        <w:rPr>
          <w:rFonts w:ascii="Times New Roman" w:hAnsi="Times New Roman" w:cs="Times New Roman"/>
          <w:sz w:val="24"/>
          <w:szCs w:val="24"/>
          <w:shd w:val="clear" w:color="auto" w:fill="FFFFFF"/>
        </w:rPr>
        <w:t xml:space="preserve">). </w:t>
      </w:r>
    </w:p>
    <w:p w14:paraId="574B9698" w14:textId="652A871C" w:rsidR="00647C4E" w:rsidRDefault="00647C4E" w:rsidP="00647C4E">
      <w:pPr>
        <w:pStyle w:val="Normal1"/>
        <w:spacing w:line="360" w:lineRule="auto"/>
        <w:jc w:val="both"/>
        <w:rPr>
          <w:rFonts w:ascii="Times New Roman" w:hAnsi="Times New Roman" w:cs="Times New Roman"/>
          <w:sz w:val="24"/>
          <w:szCs w:val="24"/>
          <w:shd w:val="clear" w:color="auto" w:fill="FFFFFF"/>
        </w:rPr>
      </w:pPr>
      <w:r w:rsidRPr="00364EE1">
        <w:rPr>
          <w:rFonts w:ascii="Times New Roman" w:hAnsi="Times New Roman" w:cs="Times New Roman"/>
          <w:b/>
          <w:bCs/>
          <w:color w:val="000000" w:themeColor="text1"/>
          <w:sz w:val="24"/>
          <w:szCs w:val="24"/>
          <w:shd w:val="clear" w:color="auto" w:fill="FFFFFF"/>
        </w:rPr>
        <w:t xml:space="preserve">Anticorpos monoclonais terapêuticos. </w:t>
      </w:r>
      <w:r w:rsidRPr="009A4CC6">
        <w:rPr>
          <w:rFonts w:ascii="Times New Roman" w:hAnsi="Times New Roman" w:cs="Times New Roman"/>
          <w:sz w:val="24"/>
          <w:szCs w:val="24"/>
          <w:shd w:val="clear" w:color="auto" w:fill="FFFFFF"/>
        </w:rPr>
        <w:t>Anticorpos monoclonais terapêuticos</w:t>
      </w:r>
      <w:r>
        <w:rPr>
          <w:rFonts w:ascii="Times New Roman" w:hAnsi="Times New Roman" w:cs="Times New Roman"/>
          <w:sz w:val="24"/>
          <w:szCs w:val="24"/>
          <w:shd w:val="clear" w:color="auto" w:fill="FFFFFF"/>
        </w:rPr>
        <w:t xml:space="preserve"> são produtos biofarmacêuticos </w:t>
      </w:r>
      <w:r w:rsidRPr="006A0ED8">
        <w:rPr>
          <w:rFonts w:ascii="Times New Roman" w:hAnsi="Times New Roman" w:cs="Times New Roman"/>
          <w:sz w:val="24"/>
          <w:szCs w:val="24"/>
          <w:shd w:val="clear" w:color="auto" w:fill="FFFFFF"/>
        </w:rPr>
        <w:t>à base de imunoglobulinas modificadas, que exercem um efeito específico e controlado sobre um determinado alvo</w:t>
      </w:r>
      <w:r>
        <w:rPr>
          <w:rFonts w:ascii="Times New Roman" w:hAnsi="Times New Roman" w:cs="Times New Roman"/>
          <w:sz w:val="24"/>
          <w:szCs w:val="24"/>
          <w:shd w:val="clear" w:color="auto" w:fill="FFFFFF"/>
        </w:rPr>
        <w:t xml:space="preserve">.  </w:t>
      </w:r>
      <w:r w:rsidRPr="009A4C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Originam-se de um único clone de células do linfócito B </w:t>
      </w:r>
      <w:r w:rsidRPr="006A0ED8">
        <w:rPr>
          <w:rFonts w:ascii="Times New Roman" w:hAnsi="Times New Roman" w:cs="Times New Roman"/>
          <w:sz w:val="24"/>
          <w:szCs w:val="24"/>
          <w:shd w:val="clear" w:color="auto" w:fill="FFFFFF"/>
        </w:rPr>
        <w:t>selecionado artificialmente</w:t>
      </w:r>
      <w:r>
        <w:rPr>
          <w:rFonts w:ascii="Times New Roman" w:hAnsi="Times New Roman" w:cs="Times New Roman"/>
          <w:sz w:val="24"/>
          <w:szCs w:val="24"/>
          <w:shd w:val="clear" w:color="auto" w:fill="FFFFFF"/>
        </w:rPr>
        <w:t xml:space="preserve">, </w:t>
      </w:r>
      <w:r w:rsidRPr="001577DB">
        <w:rPr>
          <w:rFonts w:ascii="Times New Roman" w:hAnsi="Times New Roman" w:cs="Times New Roman"/>
          <w:sz w:val="24"/>
          <w:szCs w:val="24"/>
          <w:shd w:val="clear" w:color="auto" w:fill="FFFFFF"/>
        </w:rPr>
        <w:t>característica que os torna monoespecíficos e homogêneos</w:t>
      </w:r>
      <w:r>
        <w:rPr>
          <w:rFonts w:ascii="Times New Roman" w:hAnsi="Times New Roman" w:cs="Times New Roman"/>
          <w:sz w:val="24"/>
          <w:szCs w:val="24"/>
          <w:shd w:val="clear" w:color="auto" w:fill="FFFFFF"/>
        </w:rPr>
        <w:t>.</w:t>
      </w:r>
      <w:r w:rsidRPr="001577DB">
        <w:rPr>
          <w:rFonts w:ascii="Times New Roman" w:hAnsi="Times New Roman" w:cs="Times New Roman"/>
          <w:sz w:val="24"/>
          <w:szCs w:val="24"/>
          <w:shd w:val="clear" w:color="auto" w:fill="FFFFFF"/>
        </w:rPr>
        <w:t xml:space="preserve"> </w:t>
      </w:r>
      <w:r w:rsidRPr="006A0ED8">
        <w:rPr>
          <w:rFonts w:ascii="Times New Roman" w:hAnsi="Times New Roman" w:cs="Times New Roman"/>
          <w:sz w:val="24"/>
          <w:szCs w:val="24"/>
          <w:shd w:val="clear" w:color="auto" w:fill="FFFFFF"/>
        </w:rPr>
        <w:t>Desta forma, este anticorpo liga somente a um epítopo</w:t>
      </w:r>
      <w:r>
        <w:rPr>
          <w:rFonts w:ascii="Times New Roman" w:hAnsi="Times New Roman" w:cs="Times New Roman"/>
          <w:sz w:val="24"/>
          <w:szCs w:val="24"/>
          <w:shd w:val="clear" w:color="auto" w:fill="FFFFFF"/>
        </w:rPr>
        <w:t xml:space="preserve">, apresentando diferenciação da especificidade deste epítopo para cada anticorpo. Características que explicam o seu potencial diante de anticorpos policlonais produzidos </w:t>
      </w:r>
      <w:r>
        <w:rPr>
          <w:rFonts w:ascii="Times New Roman" w:hAnsi="Times New Roman" w:cs="Times New Roman"/>
          <w:i/>
          <w:iCs/>
          <w:sz w:val="24"/>
          <w:szCs w:val="24"/>
          <w:shd w:val="clear" w:color="auto" w:fill="FFFFFF"/>
        </w:rPr>
        <w:t>in vivo</w:t>
      </w:r>
      <w:r>
        <w:rPr>
          <w:rFonts w:ascii="Times New Roman" w:hAnsi="Times New Roman" w:cs="Times New Roman"/>
          <w:sz w:val="24"/>
          <w:szCs w:val="24"/>
          <w:shd w:val="clear" w:color="auto" w:fill="FFFFFF"/>
        </w:rPr>
        <w:t>, que embora tenham alta afinidade pelo alvo imunizante, integram uma mistura de anticorpos neutralizantes e não neutralizantes com diferentes afinidades (</w:t>
      </w:r>
      <w:r w:rsidR="00364EE1" w:rsidRPr="005923EC">
        <w:rPr>
          <w:rFonts w:ascii="Times New Roman" w:hAnsi="Times New Roman" w:cs="Times New Roman"/>
          <w:sz w:val="24"/>
          <w:szCs w:val="24"/>
          <w:shd w:val="clear" w:color="auto" w:fill="FFFFFF"/>
        </w:rPr>
        <w:t>LEVENE</w:t>
      </w:r>
      <w:r>
        <w:rPr>
          <w:rFonts w:ascii="Times New Roman" w:hAnsi="Times New Roman" w:cs="Times New Roman"/>
          <w:sz w:val="24"/>
          <w:szCs w:val="24"/>
          <w:shd w:val="clear" w:color="auto" w:fill="FFFFFF"/>
        </w:rPr>
        <w:t xml:space="preserve"> </w:t>
      </w:r>
      <w:r w:rsidRPr="00364EE1">
        <w:rPr>
          <w:rFonts w:ascii="Times New Roman" w:hAnsi="Times New Roman" w:cs="Times New Roman"/>
          <w:sz w:val="24"/>
          <w:szCs w:val="24"/>
          <w:shd w:val="clear" w:color="auto" w:fill="FFFFFF"/>
        </w:rPr>
        <w:t>et al.,</w:t>
      </w:r>
      <w:r>
        <w:rPr>
          <w:rFonts w:ascii="Times New Roman" w:hAnsi="Times New Roman" w:cs="Times New Roman"/>
          <w:i/>
          <w:iCs/>
          <w:sz w:val="24"/>
          <w:szCs w:val="24"/>
          <w:shd w:val="clear" w:color="auto" w:fill="FFFFFF"/>
        </w:rPr>
        <w:t xml:space="preserve"> </w:t>
      </w:r>
      <w:r w:rsidRPr="005923EC">
        <w:rPr>
          <w:rFonts w:ascii="Times New Roman" w:hAnsi="Times New Roman" w:cs="Times New Roman"/>
          <w:sz w:val="24"/>
          <w:szCs w:val="24"/>
          <w:shd w:val="clear" w:color="auto" w:fill="FFFFFF"/>
        </w:rPr>
        <w:t>2005).</w:t>
      </w:r>
      <w:r>
        <w:rPr>
          <w:rFonts w:ascii="Times New Roman" w:hAnsi="Times New Roman" w:cs="Times New Roman"/>
          <w:sz w:val="24"/>
          <w:szCs w:val="24"/>
          <w:shd w:val="clear" w:color="auto" w:fill="FFFFFF"/>
        </w:rPr>
        <w:t xml:space="preserve"> </w:t>
      </w:r>
    </w:p>
    <w:p w14:paraId="09DD36F7" w14:textId="4DF28860" w:rsidR="00647C4E" w:rsidRDefault="00647C4E" w:rsidP="00647C4E">
      <w:pPr>
        <w:pStyle w:val="Normal1"/>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Anticorpos monoclonais terapêuticos são produzidos à partir de imunização de animais, seguido da seleção das células B candidatas pela colheita de células do baço do animal. O sistema imunológico do animal gera e otimiza essas células candidatas, por meio da técnica do hibridoma por</w:t>
      </w:r>
      <w:r w:rsidRPr="00A81E4D">
        <w:rPr>
          <w:rFonts w:ascii="Times New Roman" w:hAnsi="Times New Roman" w:cs="Times New Roman"/>
          <w:sz w:val="24"/>
          <w:szCs w:val="24"/>
          <w:shd w:val="clear" w:color="auto" w:fill="FFFFFF"/>
        </w:rPr>
        <w:t xml:space="preserve"> Kohler e Milstein em 1975</w:t>
      </w:r>
      <w:r>
        <w:rPr>
          <w:rFonts w:ascii="Times New Roman" w:hAnsi="Times New Roman" w:cs="Times New Roman"/>
          <w:sz w:val="24"/>
          <w:szCs w:val="24"/>
          <w:shd w:val="clear" w:color="auto" w:fill="FFFFFF"/>
        </w:rPr>
        <w:t xml:space="preserve"> (</w:t>
      </w:r>
      <w:r w:rsidRPr="008C1130">
        <w:rPr>
          <w:rFonts w:ascii="Times New Roman" w:hAnsi="Times New Roman" w:cs="Times New Roman"/>
          <w:sz w:val="24"/>
          <w:szCs w:val="24"/>
          <w:shd w:val="clear" w:color="auto" w:fill="FFFFFF"/>
        </w:rPr>
        <w:t>K</w:t>
      </w:r>
      <w:r w:rsidR="00364EE1" w:rsidRPr="008C1130">
        <w:rPr>
          <w:rFonts w:ascii="Times New Roman" w:hAnsi="Times New Roman" w:cs="Times New Roman"/>
          <w:sz w:val="24"/>
          <w:szCs w:val="24"/>
          <w:shd w:val="clear" w:color="auto" w:fill="FFFFFF"/>
        </w:rPr>
        <w:t>OHLER</w:t>
      </w:r>
      <w:r>
        <w:rPr>
          <w:rFonts w:ascii="Times New Roman" w:hAnsi="Times New Roman" w:cs="Times New Roman"/>
          <w:sz w:val="24"/>
          <w:szCs w:val="24"/>
          <w:shd w:val="clear" w:color="auto" w:fill="FFFFFF"/>
        </w:rPr>
        <w:t xml:space="preserve"> </w:t>
      </w:r>
      <w:r w:rsidRPr="00364EE1">
        <w:rPr>
          <w:rFonts w:ascii="Times New Roman" w:hAnsi="Times New Roman" w:cs="Times New Roman"/>
          <w:sz w:val="24"/>
          <w:szCs w:val="24"/>
          <w:shd w:val="clear" w:color="auto" w:fill="FFFFFF"/>
        </w:rPr>
        <w:t>et al.,</w:t>
      </w:r>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1976). A técnica do hibridoma é caracterizada pela</w:t>
      </w:r>
      <w:r w:rsidRPr="00A81E4D">
        <w:rPr>
          <w:rFonts w:ascii="Times New Roman" w:hAnsi="Times New Roman" w:cs="Times New Roman"/>
          <w:sz w:val="24"/>
          <w:szCs w:val="24"/>
          <w:shd w:val="clear" w:color="auto" w:fill="FFFFFF"/>
        </w:rPr>
        <w:t xml:space="preserve"> fusão de células linfócitos-mieloma</w:t>
      </w:r>
      <w:r>
        <w:rPr>
          <w:rFonts w:ascii="Times New Roman" w:hAnsi="Times New Roman" w:cs="Times New Roman"/>
          <w:sz w:val="24"/>
          <w:szCs w:val="24"/>
          <w:shd w:val="clear" w:color="auto" w:fill="FFFFFF"/>
        </w:rPr>
        <w:t>, gerando clo</w:t>
      </w:r>
      <w:r w:rsidRPr="00A81E4D">
        <w:rPr>
          <w:rFonts w:ascii="Times New Roman" w:hAnsi="Times New Roman" w:cs="Times New Roman"/>
          <w:sz w:val="24"/>
          <w:szCs w:val="24"/>
          <w:shd w:val="clear" w:color="auto" w:fill="FFFFFF"/>
        </w:rPr>
        <w:t>nes imortais de células B que pode</w:t>
      </w:r>
      <w:r>
        <w:rPr>
          <w:rFonts w:ascii="Times New Roman" w:hAnsi="Times New Roman" w:cs="Times New Roman"/>
          <w:sz w:val="24"/>
          <w:szCs w:val="24"/>
          <w:shd w:val="clear" w:color="auto" w:fill="FFFFFF"/>
        </w:rPr>
        <w:t>m</w:t>
      </w:r>
      <w:r w:rsidRPr="00A81E4D">
        <w:rPr>
          <w:rFonts w:ascii="Times New Roman" w:hAnsi="Times New Roman" w:cs="Times New Roman"/>
          <w:sz w:val="24"/>
          <w:szCs w:val="24"/>
          <w:shd w:val="clear" w:color="auto" w:fill="FFFFFF"/>
        </w:rPr>
        <w:t xml:space="preserve"> ser rastreados com base na afinidade de ligação de seu produto, permitindo a seleção de</w:t>
      </w:r>
      <w:r>
        <w:rPr>
          <w:rFonts w:ascii="Times New Roman" w:hAnsi="Times New Roman" w:cs="Times New Roman"/>
          <w:sz w:val="24"/>
          <w:szCs w:val="24"/>
          <w:shd w:val="clear" w:color="auto" w:fill="FFFFFF"/>
        </w:rPr>
        <w:t xml:space="preserve"> anticorpos monoclonais </w:t>
      </w:r>
      <w:r w:rsidRPr="00A81E4D">
        <w:rPr>
          <w:rFonts w:ascii="Times New Roman" w:hAnsi="Times New Roman" w:cs="Times New Roman"/>
          <w:sz w:val="24"/>
          <w:szCs w:val="24"/>
          <w:shd w:val="clear" w:color="auto" w:fill="FFFFFF"/>
        </w:rPr>
        <w:t>específicos e de alta afinidade</w:t>
      </w:r>
      <w:r>
        <w:rPr>
          <w:rFonts w:ascii="Times New Roman" w:hAnsi="Times New Roman" w:cs="Times New Roman"/>
          <w:sz w:val="24"/>
          <w:szCs w:val="24"/>
          <w:shd w:val="clear" w:color="auto" w:fill="FFFFFF"/>
        </w:rPr>
        <w:t xml:space="preserve"> (</w:t>
      </w:r>
      <w:r w:rsidR="00364EE1" w:rsidRPr="008C1130">
        <w:rPr>
          <w:rFonts w:ascii="Times New Roman" w:hAnsi="Times New Roman" w:cs="Times New Roman"/>
          <w:sz w:val="24"/>
          <w:szCs w:val="24"/>
          <w:shd w:val="clear" w:color="auto" w:fill="FFFFFF"/>
        </w:rPr>
        <w:t>BREEDVELD</w:t>
      </w:r>
      <w:r w:rsidR="00364EE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200</w:t>
      </w:r>
      <w:r w:rsidRPr="008C1130">
        <w:rPr>
          <w:rFonts w:ascii="Times New Roman" w:hAnsi="Times New Roman" w:cs="Times New Roman"/>
          <w:sz w:val="24"/>
          <w:szCs w:val="24"/>
          <w:shd w:val="clear" w:color="auto" w:fill="FFFFFF"/>
        </w:rPr>
        <w:t>0).</w:t>
      </w:r>
      <w:r>
        <w:rPr>
          <w:rFonts w:ascii="Times New Roman" w:hAnsi="Times New Roman" w:cs="Times New Roman"/>
          <w:sz w:val="24"/>
          <w:szCs w:val="24"/>
          <w:shd w:val="clear" w:color="auto" w:fill="FFFFFF"/>
        </w:rPr>
        <w:t xml:space="preserve"> Tipos de anticorpos monoclonais: </w:t>
      </w:r>
      <w:r w:rsidRPr="00D10C8B">
        <w:rPr>
          <w:rFonts w:ascii="Times New Roman" w:hAnsi="Times New Roman" w:cs="Times New Roman"/>
          <w:sz w:val="24"/>
          <w:szCs w:val="24"/>
          <w:shd w:val="clear" w:color="auto" w:fill="FFFFFF"/>
        </w:rPr>
        <w:t>Muromonab-CD3</w:t>
      </w:r>
      <w:r>
        <w:rPr>
          <w:rFonts w:ascii="Times New Roman" w:hAnsi="Times New Roman" w:cs="Times New Roman"/>
          <w:sz w:val="24"/>
          <w:szCs w:val="24"/>
          <w:shd w:val="clear" w:color="auto" w:fill="FFFFFF"/>
        </w:rPr>
        <w:t xml:space="preserve"> (100% camundongo), o primeiro a ser descoberto, de </w:t>
      </w:r>
      <w:r w:rsidRPr="00D10C8B">
        <w:rPr>
          <w:rFonts w:ascii="Times New Roman" w:hAnsi="Times New Roman" w:cs="Times New Roman"/>
          <w:sz w:val="24"/>
          <w:szCs w:val="24"/>
          <w:shd w:val="clear" w:color="auto" w:fill="FFFFFF"/>
        </w:rPr>
        <w:t>origem murina</w:t>
      </w:r>
      <w:r>
        <w:rPr>
          <w:rFonts w:ascii="Times New Roman" w:hAnsi="Times New Roman" w:cs="Times New Roman"/>
          <w:sz w:val="24"/>
          <w:szCs w:val="24"/>
          <w:shd w:val="clear" w:color="auto" w:fill="FFFFFF"/>
        </w:rPr>
        <w:t>. Caracterizados por reações alérgicas comuns em humanos e meia-vida curta (</w:t>
      </w:r>
      <w:r w:rsidR="00D274C1" w:rsidRPr="008C1130">
        <w:rPr>
          <w:rFonts w:ascii="Times New Roman" w:hAnsi="Times New Roman" w:cs="Times New Roman"/>
          <w:sz w:val="24"/>
          <w:szCs w:val="24"/>
          <w:shd w:val="clear" w:color="auto" w:fill="FFFFFF"/>
        </w:rPr>
        <w:t>WEINER</w:t>
      </w:r>
      <w:r w:rsidR="00D274C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2006); Quiméricos (35% camundongo/65% humano). Caracterizados por meia-vida estendida e imunogenicidade reduzida em humanos; Humanizado (5% camundongo/95% humano), anticorpos monoclonais humanizado por </w:t>
      </w:r>
      <w:r w:rsidRPr="00115D44">
        <w:rPr>
          <w:rFonts w:ascii="Times New Roman" w:hAnsi="Times New Roman" w:cs="Times New Roman"/>
          <w:sz w:val="24"/>
          <w:szCs w:val="24"/>
          <w:shd w:val="clear" w:color="auto" w:fill="FFFFFF"/>
        </w:rPr>
        <w:t>clonagem de genes de região</w:t>
      </w:r>
      <w:r>
        <w:rPr>
          <w:rFonts w:ascii="Times New Roman" w:hAnsi="Times New Roman" w:cs="Times New Roman"/>
          <w:sz w:val="24"/>
          <w:szCs w:val="24"/>
          <w:shd w:val="clear" w:color="auto" w:fill="FFFFFF"/>
        </w:rPr>
        <w:t xml:space="preserve"> variável (</w:t>
      </w:r>
      <w:r w:rsidRPr="00115D44">
        <w:rPr>
          <w:rFonts w:ascii="Times New Roman" w:hAnsi="Times New Roman" w:cs="Times New Roman"/>
          <w:sz w:val="24"/>
          <w:szCs w:val="24"/>
          <w:shd w:val="clear" w:color="auto" w:fill="FFFFFF"/>
        </w:rPr>
        <w:t>V</w:t>
      </w:r>
      <w:r>
        <w:rPr>
          <w:rFonts w:ascii="Times New Roman" w:hAnsi="Times New Roman" w:cs="Times New Roman"/>
          <w:sz w:val="24"/>
          <w:szCs w:val="24"/>
          <w:shd w:val="clear" w:color="auto" w:fill="FFFFFF"/>
        </w:rPr>
        <w:t>)</w:t>
      </w:r>
      <w:r w:rsidRPr="00115D44">
        <w:rPr>
          <w:rFonts w:ascii="Times New Roman" w:hAnsi="Times New Roman" w:cs="Times New Roman"/>
          <w:sz w:val="24"/>
          <w:szCs w:val="24"/>
          <w:shd w:val="clear" w:color="auto" w:fill="FFFFFF"/>
        </w:rPr>
        <w:t xml:space="preserve"> e enxerto de região determinante de complementaridade de cadeia variável (CDR)</w:t>
      </w:r>
      <w:r>
        <w:rPr>
          <w:rFonts w:ascii="Times New Roman" w:hAnsi="Times New Roman" w:cs="Times New Roman"/>
          <w:sz w:val="24"/>
          <w:szCs w:val="24"/>
          <w:shd w:val="clear" w:color="auto" w:fill="FFFFFF"/>
        </w:rPr>
        <w:t xml:space="preserve">; e humano (100% humano), produzidos por </w:t>
      </w:r>
      <w:r w:rsidRPr="006B32E2">
        <w:rPr>
          <w:rFonts w:ascii="Times New Roman" w:hAnsi="Times New Roman" w:cs="Times New Roman"/>
          <w:sz w:val="24"/>
          <w:szCs w:val="24"/>
          <w:shd w:val="clear" w:color="auto" w:fill="FFFFFF"/>
        </w:rPr>
        <w:t xml:space="preserve">imunização de modelos de </w:t>
      </w:r>
      <w:r>
        <w:rPr>
          <w:rFonts w:ascii="Times New Roman" w:hAnsi="Times New Roman" w:cs="Times New Roman"/>
          <w:sz w:val="24"/>
          <w:szCs w:val="24"/>
          <w:shd w:val="clear" w:color="auto" w:fill="FFFFFF"/>
        </w:rPr>
        <w:t>camundongos</w:t>
      </w:r>
      <w:r w:rsidRPr="006B32E2">
        <w:rPr>
          <w:rFonts w:ascii="Times New Roman" w:hAnsi="Times New Roman" w:cs="Times New Roman"/>
          <w:sz w:val="24"/>
          <w:szCs w:val="24"/>
          <w:shd w:val="clear" w:color="auto" w:fill="FFFFFF"/>
        </w:rPr>
        <w:t xml:space="preserve"> transgênicos que expressam isotipos humanos de IgG</w:t>
      </w:r>
      <w:r>
        <w:rPr>
          <w:rFonts w:ascii="Times New Roman" w:hAnsi="Times New Roman" w:cs="Times New Roman"/>
          <w:sz w:val="24"/>
          <w:szCs w:val="24"/>
          <w:shd w:val="clear" w:color="auto" w:fill="FFFFFF"/>
        </w:rPr>
        <w:t>. São mais bem tolerados e melhor tempo de meia-vida (</w:t>
      </w:r>
      <w:r w:rsidRPr="00747684">
        <w:rPr>
          <w:rFonts w:ascii="Times New Roman" w:hAnsi="Times New Roman" w:cs="Times New Roman"/>
          <w:sz w:val="24"/>
          <w:szCs w:val="24"/>
          <w:shd w:val="clear" w:color="auto" w:fill="FFFFFF"/>
        </w:rPr>
        <w:t>Y</w:t>
      </w:r>
      <w:r w:rsidR="00D274C1" w:rsidRPr="00747684">
        <w:rPr>
          <w:rFonts w:ascii="Times New Roman" w:hAnsi="Times New Roman" w:cs="Times New Roman"/>
          <w:sz w:val="24"/>
          <w:szCs w:val="24"/>
          <w:shd w:val="clear" w:color="auto" w:fill="FFFFFF"/>
        </w:rPr>
        <w:t>AMASHITA</w:t>
      </w:r>
      <w:r>
        <w:rPr>
          <w:rFonts w:ascii="Times New Roman" w:hAnsi="Times New Roman" w:cs="Times New Roman"/>
          <w:i/>
          <w:iCs/>
          <w:sz w:val="24"/>
          <w:szCs w:val="24"/>
          <w:shd w:val="clear" w:color="auto" w:fill="FFFFFF"/>
        </w:rPr>
        <w:t xml:space="preserve"> </w:t>
      </w:r>
      <w:r w:rsidRPr="00D274C1">
        <w:rPr>
          <w:rFonts w:ascii="Times New Roman" w:hAnsi="Times New Roman" w:cs="Times New Roman"/>
          <w:sz w:val="24"/>
          <w:szCs w:val="24"/>
          <w:shd w:val="clear" w:color="auto" w:fill="FFFFFF"/>
        </w:rPr>
        <w:t>et al</w:t>
      </w:r>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 xml:space="preserve">2007). Para a produção de anticorpos monoclonais Humano também podem ser utilizadas bibliotecas </w:t>
      </w:r>
      <w:r>
        <w:rPr>
          <w:rFonts w:ascii="Times New Roman" w:hAnsi="Times New Roman" w:cs="Times New Roman"/>
          <w:i/>
          <w:iCs/>
          <w:sz w:val="24"/>
          <w:szCs w:val="24"/>
          <w:shd w:val="clear" w:color="auto" w:fill="FFFFFF"/>
        </w:rPr>
        <w:t xml:space="preserve">in vitro </w:t>
      </w:r>
      <w:r>
        <w:rPr>
          <w:rFonts w:ascii="Times New Roman" w:hAnsi="Times New Roman" w:cs="Times New Roman"/>
          <w:sz w:val="24"/>
          <w:szCs w:val="24"/>
          <w:shd w:val="clear" w:color="auto" w:fill="FFFFFF"/>
        </w:rPr>
        <w:t>(</w:t>
      </w:r>
      <w:r w:rsidRPr="00D274C1">
        <w:rPr>
          <w:rFonts w:ascii="Times New Roman" w:hAnsi="Times New Roman" w:cs="Times New Roman"/>
          <w:i/>
          <w:iCs/>
          <w:sz w:val="24"/>
          <w:szCs w:val="24"/>
          <w:shd w:val="clear" w:color="auto" w:fill="FFFFFF"/>
        </w:rPr>
        <w:t>phage display</w:t>
      </w:r>
      <w:r>
        <w:rPr>
          <w:rFonts w:ascii="Times New Roman" w:hAnsi="Times New Roman" w:cs="Times New Roman"/>
          <w:sz w:val="24"/>
          <w:szCs w:val="24"/>
          <w:shd w:val="clear" w:color="auto" w:fill="FFFFFF"/>
        </w:rPr>
        <w:t xml:space="preserve">), que fazem uma triagem combinatória, permitindo </w:t>
      </w:r>
      <w:r w:rsidRPr="00126E0D">
        <w:rPr>
          <w:rFonts w:ascii="Times New Roman" w:hAnsi="Times New Roman" w:cs="Times New Roman"/>
          <w:sz w:val="24"/>
          <w:szCs w:val="24"/>
          <w:shd w:val="clear" w:color="auto" w:fill="FFFFFF"/>
        </w:rPr>
        <w:t xml:space="preserve">a seleção de anticorpos de afinidade moderadamente alta e totalmente </w:t>
      </w:r>
      <w:r w:rsidRPr="00F756A5">
        <w:rPr>
          <w:rFonts w:ascii="Times New Roman" w:hAnsi="Times New Roman" w:cs="Times New Roman"/>
          <w:sz w:val="24"/>
          <w:szCs w:val="24"/>
          <w:shd w:val="clear" w:color="auto" w:fill="FFFFFF"/>
        </w:rPr>
        <w:t>humanos (</w:t>
      </w:r>
      <w:r w:rsidR="00D274C1" w:rsidRPr="00F756A5">
        <w:rPr>
          <w:rStyle w:val="mixed-citation"/>
          <w:rFonts w:ascii="Times New Roman" w:hAnsi="Times New Roman" w:cs="Times New Roman"/>
          <w:color w:val="212121"/>
          <w:sz w:val="24"/>
          <w:szCs w:val="24"/>
          <w:shd w:val="clear" w:color="auto" w:fill="FFFFFF"/>
        </w:rPr>
        <w:t>ZHAO</w:t>
      </w:r>
      <w:r w:rsidRPr="00F756A5">
        <w:rPr>
          <w:rFonts w:ascii="Times New Roman" w:hAnsi="Times New Roman" w:cs="Times New Roman"/>
          <w:sz w:val="24"/>
          <w:szCs w:val="24"/>
          <w:shd w:val="clear" w:color="auto" w:fill="FFFFFF"/>
        </w:rPr>
        <w:t xml:space="preserve"> </w:t>
      </w:r>
      <w:r w:rsidRPr="00D274C1">
        <w:rPr>
          <w:rFonts w:ascii="Times New Roman" w:hAnsi="Times New Roman" w:cs="Times New Roman"/>
          <w:sz w:val="24"/>
          <w:szCs w:val="24"/>
          <w:shd w:val="clear" w:color="auto" w:fill="FFFFFF"/>
        </w:rPr>
        <w:t>et al</w:t>
      </w:r>
      <w:r w:rsidRPr="00F756A5">
        <w:rPr>
          <w:rFonts w:ascii="Times New Roman" w:hAnsi="Times New Roman" w:cs="Times New Roman"/>
          <w:i/>
          <w:iCs/>
          <w:sz w:val="24"/>
          <w:szCs w:val="24"/>
          <w:shd w:val="clear" w:color="auto" w:fill="FFFFFF"/>
        </w:rPr>
        <w:t xml:space="preserve">., </w:t>
      </w:r>
      <w:r w:rsidRPr="00F756A5">
        <w:rPr>
          <w:rFonts w:ascii="Times New Roman" w:hAnsi="Times New Roman" w:cs="Times New Roman"/>
          <w:sz w:val="24"/>
          <w:szCs w:val="24"/>
          <w:shd w:val="clear" w:color="auto" w:fill="FFFFFF"/>
        </w:rPr>
        <w:t>2016).</w:t>
      </w:r>
    </w:p>
    <w:p w14:paraId="06924ADF" w14:textId="3AFC96EF" w:rsidR="00647C4E" w:rsidRDefault="00647C4E" w:rsidP="00647C4E">
      <w:pPr>
        <w:pStyle w:val="Normal1"/>
        <w:spacing w:line="360" w:lineRule="auto"/>
        <w:jc w:val="both"/>
        <w:rPr>
          <w:rFonts w:ascii="Times New Roman" w:hAnsi="Times New Roman" w:cs="Times New Roman"/>
          <w:sz w:val="24"/>
          <w:szCs w:val="24"/>
          <w:shd w:val="clear" w:color="auto" w:fill="FFFFFF"/>
        </w:rPr>
      </w:pPr>
      <w:r w:rsidRPr="00730B20">
        <w:rPr>
          <w:rFonts w:ascii="Times New Roman" w:hAnsi="Times New Roman" w:cs="Times New Roman"/>
          <w:sz w:val="24"/>
          <w:szCs w:val="24"/>
          <w:shd w:val="clear" w:color="auto" w:fill="FFFFFF"/>
        </w:rPr>
        <w:t xml:space="preserve">Os anticorpos monoclonais representam atualmente uma das maiores classes de biofármacos </w:t>
      </w:r>
      <w:r>
        <w:rPr>
          <w:rFonts w:ascii="Times New Roman" w:hAnsi="Times New Roman" w:cs="Times New Roman"/>
          <w:sz w:val="24"/>
          <w:szCs w:val="24"/>
          <w:shd w:val="clear" w:color="auto" w:fill="FFFFFF"/>
        </w:rPr>
        <w:t>e são utilizados em terapias de doenças oncológicas, inflamatórias, cardiovasculares, transplante de órgãos, doenças respiratórias e oftalmológicas e vem expandindo para outras doenças (</w:t>
      </w:r>
      <w:r w:rsidRPr="005923EC">
        <w:rPr>
          <w:rFonts w:ascii="Times New Roman" w:hAnsi="Times New Roman" w:cs="Times New Roman"/>
          <w:sz w:val="24"/>
          <w:szCs w:val="24"/>
          <w:shd w:val="clear" w:color="auto" w:fill="FFFFFF"/>
        </w:rPr>
        <w:t>L</w:t>
      </w:r>
      <w:r w:rsidR="00D274C1" w:rsidRPr="005923EC">
        <w:rPr>
          <w:rFonts w:ascii="Times New Roman" w:hAnsi="Times New Roman" w:cs="Times New Roman"/>
          <w:sz w:val="24"/>
          <w:szCs w:val="24"/>
          <w:shd w:val="clear" w:color="auto" w:fill="FFFFFF"/>
        </w:rPr>
        <w:t>EVENE</w:t>
      </w:r>
      <w:r w:rsidR="00D274C1">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 xml:space="preserve">et al., </w:t>
      </w:r>
      <w:r w:rsidRPr="005923EC">
        <w:rPr>
          <w:rFonts w:ascii="Times New Roman" w:hAnsi="Times New Roman" w:cs="Times New Roman"/>
          <w:sz w:val="24"/>
          <w:szCs w:val="24"/>
          <w:shd w:val="clear" w:color="auto" w:fill="FFFFFF"/>
        </w:rPr>
        <w:t>2005)</w:t>
      </w:r>
      <w:r>
        <w:rPr>
          <w:rFonts w:ascii="Times New Roman" w:hAnsi="Times New Roman" w:cs="Times New Roman"/>
          <w:sz w:val="24"/>
          <w:szCs w:val="24"/>
          <w:shd w:val="clear" w:color="auto" w:fill="FFFFFF"/>
        </w:rPr>
        <w:t xml:space="preserve">. </w:t>
      </w:r>
      <w:r w:rsidRPr="001577DB">
        <w:rPr>
          <w:rFonts w:ascii="Times New Roman" w:hAnsi="Times New Roman" w:cs="Times New Roman"/>
          <w:sz w:val="24"/>
          <w:szCs w:val="24"/>
          <w:shd w:val="clear" w:color="auto" w:fill="FFFFFF"/>
        </w:rPr>
        <w:t>O interesse pelos anticorpos monoclonais também se manifesta em doenças neurodegenerativas, tal como Alzheimer, que possui representantes em estudo clínico, tendo como alvo proteínas beta-amiloides.</w:t>
      </w:r>
    </w:p>
    <w:p w14:paraId="354EF5C6" w14:textId="1A04DDD5" w:rsidR="00647C4E" w:rsidRDefault="00647C4E" w:rsidP="00647C4E">
      <w:pPr>
        <w:pStyle w:val="Normal1"/>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Na farmacologia, os anticorpos monoclonais comparados com terapias tradicionais, possuem diferenças: peso molecular maior (aproximadamente 150 kDA), o que limita a sua utilidade terapêutica a alvos extracelulares, não atravessando a barreira hematoencefálica. Seu acesso ao cérebro é garantido por meio de injetáveis, o que pode ser benéfico quando quiser evitar exposição do sistema nervoso central </w:t>
      </w:r>
      <w:r w:rsidR="00D274C1">
        <w:rPr>
          <w:rFonts w:ascii="Times New Roman" w:hAnsi="Times New Roman" w:cs="Times New Roman"/>
          <w:sz w:val="24"/>
          <w:szCs w:val="24"/>
          <w:shd w:val="clear" w:color="auto" w:fill="FFFFFF"/>
        </w:rPr>
        <w:t>(</w:t>
      </w:r>
      <w:r w:rsidR="00D274C1" w:rsidRPr="003562FA">
        <w:rPr>
          <w:rFonts w:ascii="Times New Roman" w:hAnsi="Times New Roman" w:cs="Times New Roman"/>
          <w:sz w:val="24"/>
          <w:szCs w:val="24"/>
          <w:shd w:val="clear" w:color="auto" w:fill="FFFFFF"/>
        </w:rPr>
        <w:t>COOPER</w:t>
      </w:r>
      <w:r w:rsidR="00D274C1">
        <w:rPr>
          <w:rFonts w:ascii="Times New Roman" w:hAnsi="Times New Roman" w:cs="Times New Roman"/>
          <w:i/>
          <w:iCs/>
          <w:sz w:val="24"/>
          <w:szCs w:val="24"/>
          <w:shd w:val="clear" w:color="auto" w:fill="FFFFFF"/>
        </w:rPr>
        <w:t xml:space="preserve"> </w:t>
      </w:r>
      <w:r w:rsidRPr="00D274C1">
        <w:rPr>
          <w:rFonts w:ascii="Times New Roman" w:hAnsi="Times New Roman" w:cs="Times New Roman"/>
          <w:sz w:val="24"/>
          <w:szCs w:val="24"/>
          <w:shd w:val="clear" w:color="auto" w:fill="FFFFFF"/>
        </w:rPr>
        <w:t>et al</w:t>
      </w:r>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 xml:space="preserve">2013). </w:t>
      </w:r>
    </w:p>
    <w:p w14:paraId="31377F94" w14:textId="068CB32D" w:rsidR="00647C4E" w:rsidRDefault="00647C4E" w:rsidP="00647C4E">
      <w:pPr>
        <w:pStyle w:val="Normal1"/>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Na farmacodinâmica, a</w:t>
      </w:r>
      <w:r w:rsidRPr="00890F9C">
        <w:rPr>
          <w:rFonts w:ascii="Times New Roman" w:hAnsi="Times New Roman" w:cs="Times New Roman"/>
          <w:sz w:val="24"/>
          <w:szCs w:val="24"/>
          <w:shd w:val="clear" w:color="auto" w:fill="FFFFFF"/>
        </w:rPr>
        <w:t xml:space="preserve"> afinidade e a seletividade muito altas dos </w:t>
      </w:r>
      <w:r>
        <w:rPr>
          <w:rFonts w:ascii="Times New Roman" w:hAnsi="Times New Roman" w:cs="Times New Roman"/>
          <w:sz w:val="24"/>
          <w:szCs w:val="24"/>
          <w:shd w:val="clear" w:color="auto" w:fill="FFFFFF"/>
        </w:rPr>
        <w:t xml:space="preserve">anticorpos monoclonais terapêuticos </w:t>
      </w:r>
      <w:r w:rsidRPr="00890F9C">
        <w:rPr>
          <w:rFonts w:ascii="Times New Roman" w:hAnsi="Times New Roman" w:cs="Times New Roman"/>
          <w:sz w:val="24"/>
          <w:szCs w:val="24"/>
          <w:shd w:val="clear" w:color="auto" w:fill="FFFFFF"/>
        </w:rPr>
        <w:t>para seu alvo molecular os tornam menos propensos a ter efeitos fora do alvo</w:t>
      </w:r>
      <w:r>
        <w:rPr>
          <w:rFonts w:ascii="Times New Roman" w:hAnsi="Times New Roman" w:cs="Times New Roman"/>
          <w:sz w:val="24"/>
          <w:szCs w:val="24"/>
          <w:shd w:val="clear" w:color="auto" w:fill="FFFFFF"/>
        </w:rPr>
        <w:t xml:space="preserve"> (</w:t>
      </w:r>
      <w:r w:rsidR="00D274C1" w:rsidRPr="003562FA">
        <w:rPr>
          <w:rFonts w:ascii="Times New Roman" w:hAnsi="Times New Roman" w:cs="Times New Roman"/>
          <w:sz w:val="24"/>
          <w:szCs w:val="24"/>
          <w:shd w:val="clear" w:color="auto" w:fill="FFFFFF"/>
        </w:rPr>
        <w:t>OVACIK</w:t>
      </w:r>
      <w:r w:rsidR="00D274C1">
        <w:rPr>
          <w:rFonts w:ascii="Times New Roman" w:hAnsi="Times New Roman" w:cs="Times New Roman"/>
          <w:sz w:val="24"/>
          <w:szCs w:val="24"/>
          <w:shd w:val="clear" w:color="auto" w:fill="FFFFFF"/>
        </w:rPr>
        <w:t>; LIN</w:t>
      </w:r>
      <w:r>
        <w:rPr>
          <w:rFonts w:ascii="Times New Roman" w:hAnsi="Times New Roman" w:cs="Times New Roman"/>
          <w:sz w:val="24"/>
          <w:szCs w:val="24"/>
          <w:shd w:val="clear" w:color="auto" w:fill="FFFFFF"/>
        </w:rPr>
        <w:t>, 2018)</w:t>
      </w:r>
      <w:r w:rsidRPr="00890F9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Os principais métodos para obter anticorpos monoclonais biespecíficos são </w:t>
      </w:r>
      <w:r w:rsidRPr="00AB4C52">
        <w:rPr>
          <w:rFonts w:ascii="Times New Roman" w:hAnsi="Times New Roman" w:cs="Times New Roman"/>
          <w:sz w:val="24"/>
          <w:szCs w:val="24"/>
          <w:shd w:val="clear" w:color="auto" w:fill="FFFFFF"/>
        </w:rPr>
        <w:t>fusão somática de duas linhas de hibridoma</w:t>
      </w:r>
      <w:r>
        <w:rPr>
          <w:rFonts w:ascii="Times New Roman" w:hAnsi="Times New Roman" w:cs="Times New Roman"/>
          <w:sz w:val="24"/>
          <w:szCs w:val="24"/>
          <w:shd w:val="clear" w:color="auto" w:fill="FFFFFF"/>
        </w:rPr>
        <w:t xml:space="preserve">; </w:t>
      </w:r>
      <w:r w:rsidRPr="00AB4C52">
        <w:rPr>
          <w:rFonts w:ascii="Times New Roman" w:hAnsi="Times New Roman" w:cs="Times New Roman"/>
          <w:sz w:val="24"/>
          <w:szCs w:val="24"/>
          <w:shd w:val="clear" w:color="auto" w:fill="FFFFFF"/>
        </w:rPr>
        <w:t>conjugação química com reticuladores</w:t>
      </w:r>
      <w:r>
        <w:rPr>
          <w:rFonts w:ascii="Times New Roman" w:hAnsi="Times New Roman" w:cs="Times New Roman"/>
          <w:sz w:val="24"/>
          <w:szCs w:val="24"/>
          <w:shd w:val="clear" w:color="auto" w:fill="FFFFFF"/>
        </w:rPr>
        <w:t>;</w:t>
      </w:r>
      <w:r w:rsidRPr="00AB4C52">
        <w:rPr>
          <w:rFonts w:ascii="Times New Roman" w:hAnsi="Times New Roman" w:cs="Times New Roman"/>
          <w:sz w:val="24"/>
          <w:szCs w:val="24"/>
          <w:shd w:val="clear" w:color="auto" w:fill="FFFFFF"/>
        </w:rPr>
        <w:t xml:space="preserve"> e engenharia genética</w:t>
      </w:r>
      <w:r>
        <w:rPr>
          <w:rFonts w:ascii="Times New Roman" w:hAnsi="Times New Roman" w:cs="Times New Roman"/>
          <w:sz w:val="24"/>
          <w:szCs w:val="24"/>
          <w:shd w:val="clear" w:color="auto" w:fill="FFFFFF"/>
        </w:rPr>
        <w:t xml:space="preserve"> (</w:t>
      </w:r>
      <w:r w:rsidRPr="00F3714B">
        <w:rPr>
          <w:rFonts w:ascii="Times New Roman" w:hAnsi="Times New Roman" w:cs="Times New Roman"/>
          <w:sz w:val="24"/>
          <w:szCs w:val="24"/>
          <w:shd w:val="clear" w:color="auto" w:fill="FFFFFF"/>
        </w:rPr>
        <w:t>S</w:t>
      </w:r>
      <w:r w:rsidR="005C29D6" w:rsidRPr="00F3714B">
        <w:rPr>
          <w:rFonts w:ascii="Times New Roman" w:hAnsi="Times New Roman" w:cs="Times New Roman"/>
          <w:sz w:val="24"/>
          <w:szCs w:val="24"/>
          <w:shd w:val="clear" w:color="auto" w:fill="FFFFFF"/>
        </w:rPr>
        <w:t>EDYKH</w:t>
      </w:r>
      <w:r>
        <w:rPr>
          <w:rFonts w:ascii="Times New Roman" w:hAnsi="Times New Roman" w:cs="Times New Roman"/>
          <w:sz w:val="24"/>
          <w:szCs w:val="24"/>
          <w:shd w:val="clear" w:color="auto" w:fill="FFFFFF"/>
        </w:rPr>
        <w:t xml:space="preserve"> </w:t>
      </w:r>
      <w:r w:rsidRPr="005C29D6">
        <w:rPr>
          <w:rFonts w:ascii="Times New Roman" w:hAnsi="Times New Roman" w:cs="Times New Roman"/>
          <w:sz w:val="24"/>
          <w:szCs w:val="24"/>
          <w:shd w:val="clear" w:color="auto" w:fill="FFFFFF"/>
        </w:rPr>
        <w:t>et al.,</w:t>
      </w:r>
      <w:r>
        <w:rPr>
          <w:rFonts w:ascii="Times New Roman" w:hAnsi="Times New Roman" w:cs="Times New Roman"/>
          <w:sz w:val="24"/>
          <w:szCs w:val="24"/>
          <w:shd w:val="clear" w:color="auto" w:fill="FFFFFF"/>
        </w:rPr>
        <w:t xml:space="preserve"> 2018)</w:t>
      </w:r>
      <w:r w:rsidRPr="00AB4C52">
        <w:rPr>
          <w:rFonts w:ascii="Times New Roman" w:hAnsi="Times New Roman" w:cs="Times New Roman"/>
          <w:sz w:val="24"/>
          <w:szCs w:val="24"/>
          <w:shd w:val="clear" w:color="auto" w:fill="FFFFFF"/>
        </w:rPr>
        <w:t>.</w:t>
      </w:r>
    </w:p>
    <w:p w14:paraId="0480190D" w14:textId="07E0F987" w:rsidR="00647C4E" w:rsidRDefault="00647C4E" w:rsidP="00647C4E">
      <w:pPr>
        <w:pStyle w:val="Normal1"/>
        <w:spacing w:line="360" w:lineRule="auto"/>
        <w:jc w:val="both"/>
        <w:rPr>
          <w:rFonts w:ascii="Cambria" w:hAnsi="Cambria"/>
          <w:sz w:val="30"/>
          <w:szCs w:val="30"/>
          <w:shd w:val="clear" w:color="auto" w:fill="FFFFFF"/>
        </w:rPr>
      </w:pPr>
      <w:r w:rsidRPr="00705D19">
        <w:rPr>
          <w:rFonts w:ascii="Times New Roman" w:hAnsi="Times New Roman" w:cs="Times New Roman"/>
          <w:sz w:val="24"/>
          <w:szCs w:val="24"/>
          <w:shd w:val="clear" w:color="auto" w:fill="FFFFFF"/>
        </w:rPr>
        <w:t>Na farmacocinética, a biodisponibilidade oral de anticorpos monoclonais é de menos de 1%, devido ao seu tamanho, baixa estabilidade gastrointestinal, permeabilidade limitada da membrana e polaridade, por esse motivo a administração é via parenteral (intravenosa, subcutânea e intramuscular). Quando são injetados subcutânea e intramuscular, o processo de absorção do local da injeção é através do espaço intersticial e no sistema linfático, com posterior drenagem para a circulação sistêmica</w:t>
      </w:r>
      <w:r>
        <w:rPr>
          <w:rFonts w:ascii="Times New Roman" w:hAnsi="Times New Roman" w:cs="Times New Roman"/>
          <w:sz w:val="24"/>
          <w:szCs w:val="24"/>
          <w:shd w:val="clear" w:color="auto" w:fill="FFFFFF"/>
        </w:rPr>
        <w:t xml:space="preserve"> (</w:t>
      </w:r>
      <w:r w:rsidR="00A62A39" w:rsidRPr="0097589B">
        <w:rPr>
          <w:rFonts w:ascii="Times New Roman" w:hAnsi="Times New Roman" w:cs="Times New Roman"/>
          <w:sz w:val="24"/>
          <w:szCs w:val="24"/>
          <w:shd w:val="clear" w:color="auto" w:fill="FFFFFF"/>
        </w:rPr>
        <w:t>RYMAN</w:t>
      </w:r>
      <w:r w:rsidR="00A62A39">
        <w:rPr>
          <w:rFonts w:ascii="Times New Roman" w:hAnsi="Times New Roman" w:cs="Times New Roman"/>
          <w:sz w:val="24"/>
          <w:szCs w:val="24"/>
          <w:shd w:val="clear" w:color="auto" w:fill="FFFFFF"/>
        </w:rPr>
        <w:t xml:space="preserve">; </w:t>
      </w:r>
      <w:r w:rsidR="00A62A39" w:rsidRPr="0097589B">
        <w:rPr>
          <w:rFonts w:ascii="Times New Roman" w:hAnsi="Times New Roman" w:cs="Times New Roman"/>
          <w:sz w:val="24"/>
          <w:szCs w:val="24"/>
          <w:shd w:val="clear" w:color="auto" w:fill="FFFFFF"/>
        </w:rPr>
        <w:t>MEIBOHM</w:t>
      </w:r>
      <w:r w:rsidR="00A62A3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2017; </w:t>
      </w:r>
      <w:r w:rsidRPr="0012689E">
        <w:rPr>
          <w:rFonts w:ascii="Times New Roman" w:hAnsi="Times New Roman" w:cs="Times New Roman"/>
          <w:sz w:val="24"/>
          <w:szCs w:val="24"/>
          <w:shd w:val="clear" w:color="auto" w:fill="FFFFFF"/>
        </w:rPr>
        <w:t>K</w:t>
      </w:r>
      <w:r w:rsidR="005C29D6" w:rsidRPr="0012689E">
        <w:rPr>
          <w:rFonts w:ascii="Times New Roman" w:hAnsi="Times New Roman" w:cs="Times New Roman"/>
          <w:sz w:val="24"/>
          <w:szCs w:val="24"/>
          <w:shd w:val="clear" w:color="auto" w:fill="FFFFFF"/>
        </w:rPr>
        <w:t>EIZER</w:t>
      </w:r>
      <w:r>
        <w:rPr>
          <w:rFonts w:ascii="Times New Roman" w:hAnsi="Times New Roman" w:cs="Times New Roman"/>
          <w:sz w:val="24"/>
          <w:szCs w:val="24"/>
          <w:shd w:val="clear" w:color="auto" w:fill="FFFFFF"/>
        </w:rPr>
        <w:t xml:space="preserve"> </w:t>
      </w:r>
      <w:r w:rsidRPr="00A62A39">
        <w:rPr>
          <w:rFonts w:ascii="Times New Roman" w:hAnsi="Times New Roman" w:cs="Times New Roman"/>
          <w:sz w:val="24"/>
          <w:szCs w:val="24"/>
          <w:shd w:val="clear" w:color="auto" w:fill="FFFFFF"/>
        </w:rPr>
        <w:t>et al</w:t>
      </w:r>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2010)</w:t>
      </w:r>
      <w:r w:rsidRPr="00705D19">
        <w:rPr>
          <w:rFonts w:ascii="Times New Roman" w:hAnsi="Times New Roman" w:cs="Times New Roman"/>
          <w:sz w:val="24"/>
          <w:szCs w:val="24"/>
          <w:shd w:val="clear" w:color="auto" w:fill="FFFFFF"/>
        </w:rPr>
        <w:t>.</w:t>
      </w:r>
      <w:r w:rsidRPr="00705D19">
        <w:rPr>
          <w:rFonts w:ascii="Cambria" w:hAnsi="Cambria"/>
          <w:sz w:val="30"/>
          <w:szCs w:val="30"/>
          <w:shd w:val="clear" w:color="auto" w:fill="FFFFFF"/>
        </w:rPr>
        <w:t> </w:t>
      </w:r>
      <w:r w:rsidRPr="00705D19">
        <w:rPr>
          <w:rFonts w:ascii="Times New Roman" w:hAnsi="Times New Roman" w:cs="Times New Roman"/>
          <w:sz w:val="24"/>
          <w:szCs w:val="24"/>
          <w:shd w:val="clear" w:color="auto" w:fill="FFFFFF"/>
        </w:rPr>
        <w:t>Outras vias potenciais de administração incluem intravítrea, intraperitoneal e pulmonar</w:t>
      </w:r>
      <w:r>
        <w:rPr>
          <w:rFonts w:ascii="Times New Roman" w:hAnsi="Times New Roman" w:cs="Times New Roman"/>
          <w:sz w:val="24"/>
          <w:szCs w:val="24"/>
          <w:shd w:val="clear" w:color="auto" w:fill="FFFFFF"/>
        </w:rPr>
        <w:t xml:space="preserve"> (</w:t>
      </w:r>
      <w:r w:rsidRPr="0012689E">
        <w:rPr>
          <w:rFonts w:ascii="Times New Roman" w:hAnsi="Times New Roman" w:cs="Times New Roman"/>
          <w:sz w:val="24"/>
          <w:szCs w:val="24"/>
          <w:shd w:val="clear" w:color="auto" w:fill="FFFFFF"/>
        </w:rPr>
        <w:t>K</w:t>
      </w:r>
      <w:r w:rsidR="00A62A39" w:rsidRPr="0012689E">
        <w:rPr>
          <w:rFonts w:ascii="Times New Roman" w:hAnsi="Times New Roman" w:cs="Times New Roman"/>
          <w:sz w:val="24"/>
          <w:szCs w:val="24"/>
          <w:shd w:val="clear" w:color="auto" w:fill="FFFFFF"/>
        </w:rPr>
        <w:t>EIZER</w:t>
      </w:r>
      <w:r w:rsidR="00A62A39">
        <w:rPr>
          <w:rFonts w:ascii="Times New Roman" w:hAnsi="Times New Roman" w:cs="Times New Roman"/>
          <w:sz w:val="24"/>
          <w:szCs w:val="24"/>
          <w:shd w:val="clear" w:color="auto" w:fill="FFFFFF"/>
        </w:rPr>
        <w:t xml:space="preserve"> </w:t>
      </w:r>
      <w:r w:rsidRPr="00A62A39">
        <w:rPr>
          <w:rFonts w:ascii="Times New Roman" w:hAnsi="Times New Roman" w:cs="Times New Roman"/>
          <w:sz w:val="24"/>
          <w:szCs w:val="24"/>
          <w:shd w:val="clear" w:color="auto" w:fill="FFFFFF"/>
        </w:rPr>
        <w:t>et al.,</w:t>
      </w:r>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2010)</w:t>
      </w:r>
      <w:r w:rsidRPr="00705D19">
        <w:rPr>
          <w:rFonts w:ascii="Times New Roman" w:hAnsi="Times New Roman" w:cs="Times New Roman"/>
          <w:sz w:val="24"/>
          <w:szCs w:val="24"/>
          <w:shd w:val="clear" w:color="auto" w:fill="FFFFFF"/>
        </w:rPr>
        <w:t>.</w:t>
      </w:r>
      <w:r w:rsidRPr="00705D19">
        <w:rPr>
          <w:rFonts w:ascii="Cambria" w:hAnsi="Cambria"/>
          <w:sz w:val="30"/>
          <w:szCs w:val="30"/>
          <w:shd w:val="clear" w:color="auto" w:fill="FFFFFF"/>
        </w:rPr>
        <w:t> </w:t>
      </w:r>
    </w:p>
    <w:p w14:paraId="5CB1D51B" w14:textId="3023D105" w:rsidR="00647C4E" w:rsidRPr="00B87E15" w:rsidRDefault="00647C4E" w:rsidP="004974DB">
      <w:pPr>
        <w:pStyle w:val="Normal1"/>
        <w:spacing w:line="360" w:lineRule="auto"/>
        <w:jc w:val="both"/>
        <w:rPr>
          <w:rFonts w:ascii="Times New Roman" w:hAnsi="Times New Roman" w:cs="Times New Roman"/>
          <w:color w:val="212121"/>
          <w:sz w:val="24"/>
          <w:szCs w:val="24"/>
          <w:shd w:val="clear" w:color="auto" w:fill="FFFFFF"/>
        </w:rPr>
      </w:pPr>
      <w:r w:rsidRPr="00B87E15">
        <w:rPr>
          <w:rFonts w:ascii="Times New Roman" w:hAnsi="Times New Roman" w:cs="Times New Roman"/>
          <w:b/>
          <w:bCs/>
          <w:i/>
          <w:iCs/>
          <w:color w:val="244061" w:themeColor="accent1" w:themeShade="80"/>
          <w:sz w:val="24"/>
          <w:szCs w:val="24"/>
          <w:shd w:val="clear" w:color="auto" w:fill="FFFFFF"/>
        </w:rPr>
        <w:t xml:space="preserve">Human-on-a-chip. </w:t>
      </w:r>
      <w:r w:rsidRPr="00B87E15">
        <w:rPr>
          <w:rFonts w:ascii="Times New Roman" w:hAnsi="Times New Roman" w:cs="Times New Roman"/>
          <w:sz w:val="24"/>
          <w:szCs w:val="24"/>
          <w:shd w:val="clear" w:color="auto" w:fill="FFFFFF"/>
        </w:rPr>
        <w:t xml:space="preserve">A tecnologia </w:t>
      </w:r>
      <w:r w:rsidRPr="00B87E15">
        <w:rPr>
          <w:rFonts w:ascii="Times New Roman" w:hAnsi="Times New Roman" w:cs="Times New Roman"/>
          <w:i/>
          <w:iCs/>
          <w:sz w:val="24"/>
          <w:szCs w:val="24"/>
          <w:shd w:val="clear" w:color="auto" w:fill="FFFFFF"/>
        </w:rPr>
        <w:t>Human-on-a-chip</w:t>
      </w:r>
      <w:r w:rsidRPr="00B87E15">
        <w:rPr>
          <w:rFonts w:ascii="Times New Roman" w:hAnsi="Times New Roman" w:cs="Times New Roman"/>
          <w:sz w:val="24"/>
          <w:szCs w:val="24"/>
          <w:shd w:val="clear" w:color="auto" w:fill="FFFFFF"/>
        </w:rPr>
        <w:t xml:space="preserve"> (HoaC) é uma plataforma que pode ser utilizada para o teste de novos fármacos, reproduzindo a complexidade dos órgãos em um mesmo </w:t>
      </w:r>
      <w:r w:rsidRPr="00B87E15">
        <w:rPr>
          <w:rFonts w:ascii="Times New Roman" w:hAnsi="Times New Roman" w:cs="Times New Roman"/>
          <w:i/>
          <w:iCs/>
          <w:sz w:val="24"/>
          <w:szCs w:val="24"/>
          <w:shd w:val="clear" w:color="auto" w:fill="FFFFFF"/>
        </w:rPr>
        <w:t>chip</w:t>
      </w:r>
      <w:r w:rsidRPr="00B87E15">
        <w:rPr>
          <w:rFonts w:ascii="Times New Roman" w:hAnsi="Times New Roman" w:cs="Times New Roman"/>
          <w:sz w:val="24"/>
          <w:szCs w:val="24"/>
          <w:shd w:val="clear" w:color="auto" w:fill="FFFFFF"/>
        </w:rPr>
        <w:t xml:space="preserve"> e computadores controlam a circulação de um fluido que relativamente realiza as funções do sangue. Especificamente, HoaC são sistemas micro fisiológicos, onde inúmeros órgãos são incluídos em uma plataforma. Essa plataforma desenvolve modelos fenotípicos específicos de pacientes com doenças raras, onde as células específicas da doença podem ser diferenciadas das células-tronco pluripotentes induzidas. Esses avanços técnicos permitem as iniciativas de sistemas microfisiológicos para o programa de testes de eficácia e toxicidade de medicamentos pelo </w:t>
      </w:r>
      <w:r w:rsidRPr="00B87E15">
        <w:rPr>
          <w:rFonts w:ascii="Times New Roman" w:hAnsi="Times New Roman" w:cs="Times New Roman"/>
          <w:i/>
          <w:iCs/>
          <w:sz w:val="24"/>
          <w:szCs w:val="24"/>
          <w:shd w:val="clear" w:color="auto" w:fill="FFFFFF"/>
        </w:rPr>
        <w:t>National Institutes of Health</w:t>
      </w:r>
      <w:r w:rsidRPr="00B87E15">
        <w:rPr>
          <w:rFonts w:ascii="Times New Roman" w:hAnsi="Times New Roman" w:cs="Times New Roman"/>
          <w:sz w:val="24"/>
          <w:szCs w:val="24"/>
          <w:shd w:val="clear" w:color="auto" w:fill="FFFFFF"/>
        </w:rPr>
        <w:t xml:space="preserve"> (NIH) e </w:t>
      </w:r>
      <w:r w:rsidRPr="00B87E15">
        <w:rPr>
          <w:rFonts w:ascii="Times New Roman" w:hAnsi="Times New Roman" w:cs="Times New Roman"/>
          <w:i/>
          <w:iCs/>
          <w:sz w:val="24"/>
          <w:szCs w:val="24"/>
          <w:shd w:val="clear" w:color="auto" w:fill="FFFFFF"/>
        </w:rPr>
        <w:t>Defense Advanced Research Projects Agency</w:t>
      </w:r>
      <w:r w:rsidRPr="00B87E15">
        <w:rPr>
          <w:rFonts w:ascii="Times New Roman" w:hAnsi="Times New Roman" w:cs="Times New Roman"/>
          <w:sz w:val="24"/>
          <w:szCs w:val="24"/>
          <w:shd w:val="clear" w:color="auto" w:fill="FFFFFF"/>
        </w:rPr>
        <w:t xml:space="preserve"> (DARPA) em 2012 e incentivaram o amadurecimento e a comercialização dessa tecnologia. HoaC substitui o uso de experimentos em animais, diminui o custo da pesquisa e a limitação de baixa população de estudo nos ensaios e contribui para a produção de novos fármacos </w:t>
      </w:r>
      <w:r w:rsidRPr="00B87E15">
        <w:rPr>
          <w:rFonts w:ascii="Times New Roman" w:hAnsi="Times New Roman" w:cs="Times New Roman"/>
          <w:color w:val="212121"/>
          <w:sz w:val="24"/>
          <w:szCs w:val="24"/>
          <w:shd w:val="clear" w:color="auto" w:fill="FFFFFF"/>
        </w:rPr>
        <w:t>(</w:t>
      </w:r>
      <w:r w:rsidR="00A62A39" w:rsidRPr="00B87E15">
        <w:rPr>
          <w:rFonts w:ascii="Times New Roman" w:hAnsi="Times New Roman" w:cs="Times New Roman"/>
          <w:color w:val="212121"/>
          <w:sz w:val="24"/>
          <w:szCs w:val="24"/>
          <w:shd w:val="clear" w:color="auto" w:fill="FFFFFF"/>
        </w:rPr>
        <w:t>LOW</w:t>
      </w:r>
      <w:r w:rsidR="00A62A39">
        <w:rPr>
          <w:rFonts w:ascii="Times New Roman" w:hAnsi="Times New Roman" w:cs="Times New Roman"/>
          <w:color w:val="212121"/>
          <w:sz w:val="24"/>
          <w:szCs w:val="24"/>
          <w:shd w:val="clear" w:color="auto" w:fill="FFFFFF"/>
        </w:rPr>
        <w:t>;</w:t>
      </w:r>
      <w:r w:rsidR="00A62A39" w:rsidRPr="00B87E15">
        <w:rPr>
          <w:rFonts w:ascii="Times New Roman" w:hAnsi="Times New Roman" w:cs="Times New Roman"/>
          <w:color w:val="212121"/>
          <w:sz w:val="24"/>
          <w:szCs w:val="24"/>
          <w:shd w:val="clear" w:color="auto" w:fill="FFFFFF"/>
        </w:rPr>
        <w:t xml:space="preserve"> TAGLE</w:t>
      </w:r>
      <w:r w:rsidRPr="00B87E15">
        <w:rPr>
          <w:rFonts w:ascii="Times New Roman" w:hAnsi="Times New Roman" w:cs="Times New Roman"/>
          <w:color w:val="212121"/>
          <w:sz w:val="24"/>
          <w:szCs w:val="24"/>
          <w:shd w:val="clear" w:color="auto" w:fill="FFFFFF"/>
        </w:rPr>
        <w:t>, 2017).</w:t>
      </w:r>
    </w:p>
    <w:p w14:paraId="2D494E5E" w14:textId="423C04A5" w:rsidR="00647C4E" w:rsidRPr="00B87E15" w:rsidRDefault="00647C4E" w:rsidP="00647C4E">
      <w:pPr>
        <w:pStyle w:val="Normal1"/>
        <w:spacing w:line="360" w:lineRule="auto"/>
        <w:jc w:val="both"/>
        <w:rPr>
          <w:rFonts w:ascii="Times New Roman" w:hAnsi="Times New Roman" w:cs="Times New Roman"/>
          <w:position w:val="8"/>
          <w:sz w:val="24"/>
          <w:szCs w:val="24"/>
        </w:rPr>
      </w:pPr>
      <w:r w:rsidRPr="00A62A39">
        <w:rPr>
          <w:rFonts w:ascii="Times New Roman" w:hAnsi="Times New Roman" w:cs="Times New Roman"/>
          <w:b/>
          <w:bCs/>
          <w:color w:val="000000" w:themeColor="text1"/>
          <w:sz w:val="24"/>
          <w:szCs w:val="24"/>
          <w:shd w:val="clear" w:color="auto" w:fill="FFFFFF"/>
        </w:rPr>
        <w:t xml:space="preserve">Farmacogenética e farmacogenômica. </w:t>
      </w:r>
      <w:r w:rsidRPr="00B87E15">
        <w:rPr>
          <w:rFonts w:ascii="Times New Roman" w:hAnsi="Times New Roman" w:cs="Times New Roman"/>
          <w:sz w:val="24"/>
          <w:szCs w:val="24"/>
          <w:shd w:val="clear" w:color="auto" w:fill="FFFFFF"/>
        </w:rPr>
        <w:t xml:space="preserve">A farmacogenética </w:t>
      </w:r>
      <w:r w:rsidRPr="00B87E15">
        <w:rPr>
          <w:rFonts w:ascii="Times New Roman" w:hAnsi="Times New Roman" w:cs="Times New Roman"/>
          <w:sz w:val="24"/>
          <w:szCs w:val="24"/>
        </w:rPr>
        <w:t>estuda as influências dos efeitos de genes isolados sobre as respostas aos fármacos. Esta área da farmacologia clínica, visa otimizar o tratamento por meio da personalização terapêutica, uma vez que a resposta farmacológica a um tratamento medicamentoso não</w:t>
      </w:r>
      <w:r w:rsidRPr="00B87E15">
        <w:rPr>
          <w:rFonts w:ascii="Times New Roman" w:hAnsi="Times New Roman" w:cs="Times New Roman"/>
          <w:spacing w:val="-11"/>
          <w:sz w:val="24"/>
          <w:szCs w:val="24"/>
        </w:rPr>
        <w:t xml:space="preserve"> </w:t>
      </w:r>
      <w:r w:rsidRPr="00B87E15">
        <w:rPr>
          <w:rFonts w:ascii="Times New Roman" w:hAnsi="Times New Roman" w:cs="Times New Roman"/>
          <w:sz w:val="24"/>
          <w:szCs w:val="24"/>
        </w:rPr>
        <w:t>é</w:t>
      </w:r>
      <w:r w:rsidRPr="00B87E15">
        <w:rPr>
          <w:rFonts w:ascii="Times New Roman" w:hAnsi="Times New Roman" w:cs="Times New Roman"/>
          <w:spacing w:val="-11"/>
          <w:sz w:val="24"/>
          <w:szCs w:val="24"/>
        </w:rPr>
        <w:t xml:space="preserve"> </w:t>
      </w:r>
      <w:r w:rsidRPr="00B87E15">
        <w:rPr>
          <w:rFonts w:ascii="Times New Roman" w:hAnsi="Times New Roman" w:cs="Times New Roman"/>
          <w:sz w:val="24"/>
          <w:szCs w:val="24"/>
        </w:rPr>
        <w:t>a</w:t>
      </w:r>
      <w:r w:rsidRPr="00B87E15">
        <w:rPr>
          <w:rFonts w:ascii="Times New Roman" w:hAnsi="Times New Roman" w:cs="Times New Roman"/>
          <w:spacing w:val="-12"/>
          <w:sz w:val="24"/>
          <w:szCs w:val="24"/>
        </w:rPr>
        <w:t xml:space="preserve"> </w:t>
      </w:r>
      <w:r w:rsidRPr="00B87E15">
        <w:rPr>
          <w:rFonts w:ascii="Times New Roman" w:hAnsi="Times New Roman" w:cs="Times New Roman"/>
          <w:sz w:val="24"/>
          <w:szCs w:val="24"/>
        </w:rPr>
        <w:t>mesma</w:t>
      </w:r>
      <w:r w:rsidRPr="00B87E15">
        <w:rPr>
          <w:rFonts w:ascii="Times New Roman" w:hAnsi="Times New Roman" w:cs="Times New Roman"/>
          <w:spacing w:val="-13"/>
          <w:sz w:val="24"/>
          <w:szCs w:val="24"/>
        </w:rPr>
        <w:t xml:space="preserve"> </w:t>
      </w:r>
      <w:r w:rsidRPr="00B87E15">
        <w:rPr>
          <w:rFonts w:ascii="Times New Roman" w:hAnsi="Times New Roman" w:cs="Times New Roman"/>
          <w:sz w:val="24"/>
          <w:szCs w:val="24"/>
        </w:rPr>
        <w:t>em</w:t>
      </w:r>
      <w:r w:rsidRPr="00B87E15">
        <w:rPr>
          <w:rFonts w:ascii="Times New Roman" w:hAnsi="Times New Roman" w:cs="Times New Roman"/>
          <w:spacing w:val="-10"/>
          <w:sz w:val="24"/>
          <w:szCs w:val="24"/>
        </w:rPr>
        <w:t xml:space="preserve"> </w:t>
      </w:r>
      <w:r w:rsidRPr="00B87E15">
        <w:rPr>
          <w:rFonts w:ascii="Times New Roman" w:hAnsi="Times New Roman" w:cs="Times New Roman"/>
          <w:sz w:val="24"/>
          <w:szCs w:val="24"/>
        </w:rPr>
        <w:t>todos</w:t>
      </w:r>
      <w:r w:rsidRPr="00B87E15">
        <w:rPr>
          <w:rFonts w:ascii="Times New Roman" w:hAnsi="Times New Roman" w:cs="Times New Roman"/>
          <w:spacing w:val="-11"/>
          <w:sz w:val="24"/>
          <w:szCs w:val="24"/>
        </w:rPr>
        <w:t xml:space="preserve"> </w:t>
      </w:r>
      <w:r w:rsidRPr="00B87E15">
        <w:rPr>
          <w:rFonts w:ascii="Times New Roman" w:hAnsi="Times New Roman" w:cs="Times New Roman"/>
          <w:sz w:val="24"/>
          <w:szCs w:val="24"/>
        </w:rPr>
        <w:t>os</w:t>
      </w:r>
      <w:r w:rsidRPr="00B87E15">
        <w:rPr>
          <w:rFonts w:ascii="Times New Roman" w:hAnsi="Times New Roman" w:cs="Times New Roman"/>
          <w:spacing w:val="-12"/>
          <w:sz w:val="24"/>
          <w:szCs w:val="24"/>
        </w:rPr>
        <w:t xml:space="preserve"> </w:t>
      </w:r>
      <w:r w:rsidRPr="00B87E15">
        <w:rPr>
          <w:rFonts w:ascii="Times New Roman" w:hAnsi="Times New Roman" w:cs="Times New Roman"/>
          <w:sz w:val="24"/>
          <w:szCs w:val="24"/>
        </w:rPr>
        <w:t>indivíduos (</w:t>
      </w:r>
      <w:r w:rsidR="00A62A39" w:rsidRPr="00B87E15">
        <w:rPr>
          <w:rFonts w:ascii="Times New Roman" w:hAnsi="Times New Roman" w:cs="Times New Roman"/>
          <w:sz w:val="24"/>
          <w:szCs w:val="24"/>
        </w:rPr>
        <w:t>BURMESTER</w:t>
      </w:r>
      <w:r w:rsidRPr="00B87E15">
        <w:rPr>
          <w:rFonts w:ascii="Times New Roman" w:hAnsi="Times New Roman" w:cs="Times New Roman"/>
          <w:sz w:val="24"/>
          <w:szCs w:val="24"/>
        </w:rPr>
        <w:t xml:space="preserve"> </w:t>
      </w:r>
      <w:r w:rsidRPr="00A62A39">
        <w:rPr>
          <w:rFonts w:ascii="Times New Roman" w:hAnsi="Times New Roman" w:cs="Times New Roman"/>
          <w:sz w:val="24"/>
          <w:szCs w:val="24"/>
        </w:rPr>
        <w:t>et al</w:t>
      </w:r>
      <w:r w:rsidRPr="00B87E15">
        <w:rPr>
          <w:rFonts w:ascii="Times New Roman" w:hAnsi="Times New Roman" w:cs="Times New Roman"/>
          <w:i/>
          <w:iCs/>
          <w:sz w:val="24"/>
          <w:szCs w:val="24"/>
        </w:rPr>
        <w:t xml:space="preserve">., </w:t>
      </w:r>
      <w:r w:rsidRPr="00B87E15">
        <w:rPr>
          <w:rFonts w:ascii="Times New Roman" w:hAnsi="Times New Roman" w:cs="Times New Roman"/>
          <w:sz w:val="24"/>
          <w:szCs w:val="24"/>
        </w:rPr>
        <w:t>2010).</w:t>
      </w:r>
      <w:r w:rsidRPr="00B87E15">
        <w:rPr>
          <w:rFonts w:ascii="Times New Roman" w:hAnsi="Times New Roman" w:cs="Times New Roman"/>
          <w:spacing w:val="-11"/>
          <w:sz w:val="24"/>
          <w:szCs w:val="24"/>
        </w:rPr>
        <w:t xml:space="preserve"> </w:t>
      </w:r>
      <w:r w:rsidRPr="00B87E15">
        <w:rPr>
          <w:rFonts w:ascii="Times New Roman" w:hAnsi="Times New Roman" w:cs="Times New Roman"/>
          <w:sz w:val="24"/>
          <w:szCs w:val="24"/>
        </w:rPr>
        <w:t>Particularmente,</w:t>
      </w:r>
      <w:r w:rsidRPr="00B87E15">
        <w:rPr>
          <w:rFonts w:ascii="Times New Roman" w:hAnsi="Times New Roman" w:cs="Times New Roman"/>
          <w:spacing w:val="-11"/>
          <w:sz w:val="24"/>
          <w:szCs w:val="24"/>
        </w:rPr>
        <w:t xml:space="preserve"> </w:t>
      </w:r>
      <w:r w:rsidRPr="00B87E15">
        <w:rPr>
          <w:rFonts w:ascii="Times New Roman" w:hAnsi="Times New Roman" w:cs="Times New Roman"/>
          <w:sz w:val="24"/>
          <w:szCs w:val="24"/>
        </w:rPr>
        <w:t>procura</w:t>
      </w:r>
      <w:r w:rsidRPr="00B87E15">
        <w:rPr>
          <w:rFonts w:ascii="Times New Roman" w:hAnsi="Times New Roman" w:cs="Times New Roman"/>
          <w:spacing w:val="-10"/>
          <w:sz w:val="24"/>
          <w:szCs w:val="24"/>
        </w:rPr>
        <w:t xml:space="preserve"> </w:t>
      </w:r>
      <w:r w:rsidRPr="00B87E15">
        <w:rPr>
          <w:rFonts w:ascii="Times New Roman" w:hAnsi="Times New Roman" w:cs="Times New Roman"/>
          <w:sz w:val="24"/>
          <w:szCs w:val="24"/>
        </w:rPr>
        <w:t>identificar</w:t>
      </w:r>
      <w:r w:rsidRPr="00B87E15">
        <w:rPr>
          <w:rFonts w:ascii="Times New Roman" w:hAnsi="Times New Roman" w:cs="Times New Roman"/>
          <w:spacing w:val="-12"/>
          <w:sz w:val="24"/>
          <w:szCs w:val="24"/>
        </w:rPr>
        <w:t xml:space="preserve"> </w:t>
      </w:r>
      <w:r w:rsidRPr="00B87E15">
        <w:rPr>
          <w:rFonts w:ascii="Times New Roman" w:hAnsi="Times New Roman" w:cs="Times New Roman"/>
          <w:sz w:val="24"/>
          <w:szCs w:val="24"/>
        </w:rPr>
        <w:t>genes que predisponham às doenças, afetem a farmacodinâmica e farmacocinética de medicamentos, modulem respostas aos medicamentos, estejam associados às reações adversas ao medicamento (S</w:t>
      </w:r>
      <w:r w:rsidR="00A62A39" w:rsidRPr="00B87E15">
        <w:rPr>
          <w:rFonts w:ascii="Times New Roman" w:hAnsi="Times New Roman" w:cs="Times New Roman"/>
          <w:sz w:val="24"/>
          <w:szCs w:val="24"/>
        </w:rPr>
        <w:t>HASTRY</w:t>
      </w:r>
      <w:r w:rsidRPr="00B87E15">
        <w:rPr>
          <w:rFonts w:ascii="Times New Roman" w:hAnsi="Times New Roman" w:cs="Times New Roman"/>
          <w:sz w:val="24"/>
          <w:szCs w:val="24"/>
        </w:rPr>
        <w:t>,</w:t>
      </w:r>
      <w:r w:rsidRPr="00B87E15">
        <w:rPr>
          <w:rFonts w:ascii="Times New Roman" w:hAnsi="Times New Roman" w:cs="Times New Roman"/>
          <w:spacing w:val="-14"/>
          <w:sz w:val="24"/>
          <w:szCs w:val="24"/>
        </w:rPr>
        <w:t xml:space="preserve"> 2006).</w:t>
      </w:r>
    </w:p>
    <w:p w14:paraId="705032A7" w14:textId="58574E16" w:rsidR="00647C4E" w:rsidRDefault="00647C4E" w:rsidP="00647C4E">
      <w:pPr>
        <w:pStyle w:val="Normal1"/>
        <w:spacing w:line="360" w:lineRule="auto"/>
        <w:jc w:val="both"/>
        <w:rPr>
          <w:rFonts w:ascii="Times New Roman" w:hAnsi="Times New Roman" w:cs="Times New Roman"/>
          <w:sz w:val="24"/>
          <w:szCs w:val="24"/>
        </w:rPr>
      </w:pPr>
      <w:r w:rsidRPr="005D0263">
        <w:rPr>
          <w:rFonts w:ascii="Times New Roman" w:hAnsi="Times New Roman" w:cs="Times New Roman"/>
          <w:sz w:val="24"/>
          <w:szCs w:val="24"/>
        </w:rPr>
        <w:t>No sentido mais amplo, a farmacogenética integra a farmacogenômica, que estuda o genoma humano em sua totalidade e avalia os determinantes poligênicos da resposta aos fármacos, e a</w:t>
      </w:r>
      <w:r w:rsidRPr="005D0263">
        <w:rPr>
          <w:rFonts w:ascii="Times New Roman" w:hAnsi="Times New Roman" w:cs="Times New Roman"/>
          <w:spacing w:val="-10"/>
          <w:sz w:val="24"/>
          <w:szCs w:val="24"/>
        </w:rPr>
        <w:t xml:space="preserve"> </w:t>
      </w:r>
      <w:r w:rsidRPr="005D0263">
        <w:rPr>
          <w:rFonts w:ascii="Times New Roman" w:hAnsi="Times New Roman" w:cs="Times New Roman"/>
          <w:sz w:val="24"/>
          <w:szCs w:val="24"/>
        </w:rPr>
        <w:t>farmacogenética</w:t>
      </w:r>
      <w:r w:rsidRPr="005D0263">
        <w:rPr>
          <w:rFonts w:ascii="Times New Roman" w:hAnsi="Times New Roman" w:cs="Times New Roman"/>
          <w:spacing w:val="-12"/>
          <w:sz w:val="24"/>
          <w:szCs w:val="24"/>
        </w:rPr>
        <w:t xml:space="preserve"> </w:t>
      </w:r>
      <w:r w:rsidRPr="005D0263">
        <w:rPr>
          <w:rFonts w:ascii="Times New Roman" w:hAnsi="Times New Roman" w:cs="Times New Roman"/>
          <w:sz w:val="24"/>
          <w:szCs w:val="24"/>
        </w:rPr>
        <w:t>é</w:t>
      </w:r>
      <w:r w:rsidRPr="005D0263">
        <w:rPr>
          <w:rFonts w:ascii="Times New Roman" w:hAnsi="Times New Roman" w:cs="Times New Roman"/>
          <w:spacing w:val="-12"/>
          <w:sz w:val="24"/>
          <w:szCs w:val="24"/>
        </w:rPr>
        <w:t xml:space="preserve"> </w:t>
      </w:r>
      <w:r w:rsidRPr="005D0263">
        <w:rPr>
          <w:rFonts w:ascii="Times New Roman" w:hAnsi="Times New Roman" w:cs="Times New Roman"/>
          <w:sz w:val="24"/>
          <w:szCs w:val="24"/>
        </w:rPr>
        <w:t>utilizada</w:t>
      </w:r>
      <w:r w:rsidRPr="005D0263">
        <w:rPr>
          <w:rFonts w:ascii="Times New Roman" w:hAnsi="Times New Roman" w:cs="Times New Roman"/>
          <w:spacing w:val="-9"/>
          <w:sz w:val="24"/>
          <w:szCs w:val="24"/>
        </w:rPr>
        <w:t xml:space="preserve"> </w:t>
      </w:r>
      <w:r w:rsidRPr="005D0263">
        <w:rPr>
          <w:rFonts w:ascii="Times New Roman" w:hAnsi="Times New Roman" w:cs="Times New Roman"/>
          <w:sz w:val="24"/>
          <w:szCs w:val="24"/>
        </w:rPr>
        <w:t>para</w:t>
      </w:r>
      <w:r w:rsidRPr="005D0263">
        <w:rPr>
          <w:rFonts w:ascii="Times New Roman" w:hAnsi="Times New Roman" w:cs="Times New Roman"/>
          <w:spacing w:val="-11"/>
          <w:sz w:val="24"/>
          <w:szCs w:val="24"/>
        </w:rPr>
        <w:t xml:space="preserve"> </w:t>
      </w:r>
      <w:r w:rsidRPr="005D0263">
        <w:rPr>
          <w:rFonts w:ascii="Times New Roman" w:hAnsi="Times New Roman" w:cs="Times New Roman"/>
          <w:sz w:val="24"/>
          <w:szCs w:val="24"/>
        </w:rPr>
        <w:t>definir</w:t>
      </w:r>
      <w:r w:rsidRPr="005D0263">
        <w:rPr>
          <w:rFonts w:ascii="Times New Roman" w:hAnsi="Times New Roman" w:cs="Times New Roman"/>
          <w:spacing w:val="-11"/>
          <w:sz w:val="24"/>
          <w:szCs w:val="24"/>
        </w:rPr>
        <w:t xml:space="preserve"> </w:t>
      </w:r>
      <w:r w:rsidRPr="005D0263">
        <w:rPr>
          <w:rFonts w:ascii="Times New Roman" w:hAnsi="Times New Roman" w:cs="Times New Roman"/>
          <w:sz w:val="24"/>
          <w:szCs w:val="24"/>
        </w:rPr>
        <w:t>genes</w:t>
      </w:r>
      <w:r w:rsidRPr="005D0263">
        <w:rPr>
          <w:rFonts w:ascii="Times New Roman" w:hAnsi="Times New Roman" w:cs="Times New Roman"/>
          <w:spacing w:val="-10"/>
          <w:sz w:val="24"/>
          <w:szCs w:val="24"/>
        </w:rPr>
        <w:t xml:space="preserve"> </w:t>
      </w:r>
      <w:r w:rsidRPr="005D0263">
        <w:rPr>
          <w:rFonts w:ascii="Times New Roman" w:hAnsi="Times New Roman" w:cs="Times New Roman"/>
          <w:sz w:val="24"/>
          <w:szCs w:val="24"/>
        </w:rPr>
        <w:t>que</w:t>
      </w:r>
      <w:r w:rsidRPr="005D0263">
        <w:rPr>
          <w:rFonts w:ascii="Times New Roman" w:hAnsi="Times New Roman" w:cs="Times New Roman"/>
          <w:spacing w:val="-12"/>
          <w:sz w:val="24"/>
          <w:szCs w:val="24"/>
        </w:rPr>
        <w:t xml:space="preserve"> </w:t>
      </w:r>
      <w:r w:rsidRPr="005D0263">
        <w:rPr>
          <w:rFonts w:ascii="Times New Roman" w:hAnsi="Times New Roman" w:cs="Times New Roman"/>
          <w:sz w:val="24"/>
          <w:szCs w:val="24"/>
        </w:rPr>
        <w:t>determinam</w:t>
      </w:r>
      <w:r w:rsidRPr="005D0263">
        <w:rPr>
          <w:rFonts w:ascii="Times New Roman" w:hAnsi="Times New Roman" w:cs="Times New Roman"/>
          <w:spacing w:val="-11"/>
          <w:sz w:val="24"/>
          <w:szCs w:val="24"/>
        </w:rPr>
        <w:t xml:space="preserve"> </w:t>
      </w:r>
      <w:r w:rsidRPr="005D0263">
        <w:rPr>
          <w:rFonts w:ascii="Times New Roman" w:hAnsi="Times New Roman" w:cs="Times New Roman"/>
          <w:sz w:val="24"/>
          <w:szCs w:val="24"/>
        </w:rPr>
        <w:t>a</w:t>
      </w:r>
      <w:r w:rsidRPr="005D0263">
        <w:rPr>
          <w:rFonts w:ascii="Times New Roman" w:hAnsi="Times New Roman" w:cs="Times New Roman"/>
          <w:spacing w:val="-11"/>
          <w:sz w:val="24"/>
          <w:szCs w:val="24"/>
        </w:rPr>
        <w:t xml:space="preserve"> </w:t>
      </w:r>
      <w:r w:rsidRPr="005D0263">
        <w:rPr>
          <w:rFonts w:ascii="Times New Roman" w:hAnsi="Times New Roman" w:cs="Times New Roman"/>
          <w:sz w:val="24"/>
          <w:szCs w:val="24"/>
        </w:rPr>
        <w:t>ação</w:t>
      </w:r>
      <w:r w:rsidRPr="005D0263">
        <w:rPr>
          <w:rFonts w:ascii="Times New Roman" w:hAnsi="Times New Roman" w:cs="Times New Roman"/>
          <w:spacing w:val="-12"/>
          <w:sz w:val="24"/>
          <w:szCs w:val="24"/>
        </w:rPr>
        <w:t xml:space="preserve"> </w:t>
      </w:r>
      <w:r w:rsidRPr="005D0263">
        <w:rPr>
          <w:rFonts w:ascii="Times New Roman" w:hAnsi="Times New Roman" w:cs="Times New Roman"/>
          <w:sz w:val="24"/>
          <w:szCs w:val="24"/>
        </w:rPr>
        <w:t>de</w:t>
      </w:r>
      <w:r w:rsidRPr="005D0263">
        <w:rPr>
          <w:rFonts w:ascii="Times New Roman" w:hAnsi="Times New Roman" w:cs="Times New Roman"/>
          <w:spacing w:val="-12"/>
          <w:sz w:val="24"/>
          <w:szCs w:val="24"/>
        </w:rPr>
        <w:t xml:space="preserve"> </w:t>
      </w:r>
      <w:r w:rsidRPr="005D0263">
        <w:rPr>
          <w:rFonts w:ascii="Times New Roman" w:hAnsi="Times New Roman" w:cs="Times New Roman"/>
          <w:sz w:val="24"/>
          <w:szCs w:val="24"/>
        </w:rPr>
        <w:t>um</w:t>
      </w:r>
      <w:r w:rsidRPr="005D0263">
        <w:rPr>
          <w:rFonts w:ascii="Times New Roman" w:hAnsi="Times New Roman" w:cs="Times New Roman"/>
          <w:w w:val="99"/>
          <w:sz w:val="24"/>
          <w:szCs w:val="24"/>
        </w:rPr>
        <w:t xml:space="preserve"> </w:t>
      </w:r>
      <w:r w:rsidRPr="005D0263">
        <w:rPr>
          <w:rFonts w:ascii="Times New Roman" w:hAnsi="Times New Roman" w:cs="Times New Roman"/>
          <w:sz w:val="24"/>
          <w:szCs w:val="24"/>
        </w:rPr>
        <w:t>fármaco. Embora</w:t>
      </w:r>
      <w:r w:rsidRPr="005D0263">
        <w:rPr>
          <w:rFonts w:ascii="Times New Roman" w:hAnsi="Times New Roman" w:cs="Times New Roman"/>
          <w:spacing w:val="24"/>
          <w:sz w:val="24"/>
          <w:szCs w:val="24"/>
        </w:rPr>
        <w:t xml:space="preserve"> </w:t>
      </w:r>
      <w:r w:rsidRPr="005D0263">
        <w:rPr>
          <w:rFonts w:ascii="Times New Roman" w:hAnsi="Times New Roman" w:cs="Times New Roman"/>
          <w:sz w:val="24"/>
          <w:szCs w:val="24"/>
        </w:rPr>
        <w:t>os</w:t>
      </w:r>
      <w:r w:rsidRPr="005D0263">
        <w:rPr>
          <w:rFonts w:ascii="Times New Roman" w:hAnsi="Times New Roman" w:cs="Times New Roman"/>
          <w:spacing w:val="28"/>
          <w:sz w:val="24"/>
          <w:szCs w:val="24"/>
        </w:rPr>
        <w:t xml:space="preserve"> </w:t>
      </w:r>
      <w:r w:rsidRPr="005D0263">
        <w:rPr>
          <w:rFonts w:ascii="Times New Roman" w:hAnsi="Times New Roman" w:cs="Times New Roman"/>
          <w:sz w:val="24"/>
          <w:szCs w:val="24"/>
        </w:rPr>
        <w:t>termos</w:t>
      </w:r>
      <w:r w:rsidRPr="005D0263">
        <w:rPr>
          <w:rFonts w:ascii="Times New Roman" w:hAnsi="Times New Roman" w:cs="Times New Roman"/>
          <w:spacing w:val="27"/>
          <w:sz w:val="24"/>
          <w:szCs w:val="24"/>
        </w:rPr>
        <w:t xml:space="preserve"> </w:t>
      </w:r>
      <w:r w:rsidRPr="005D0263">
        <w:rPr>
          <w:rFonts w:ascii="Times New Roman" w:hAnsi="Times New Roman" w:cs="Times New Roman"/>
          <w:sz w:val="24"/>
          <w:szCs w:val="24"/>
        </w:rPr>
        <w:t>sejam</w:t>
      </w:r>
      <w:r w:rsidRPr="005D0263">
        <w:rPr>
          <w:rFonts w:ascii="Times New Roman" w:hAnsi="Times New Roman" w:cs="Times New Roman"/>
          <w:w w:val="99"/>
          <w:sz w:val="24"/>
          <w:szCs w:val="24"/>
        </w:rPr>
        <w:t xml:space="preserve"> </w:t>
      </w:r>
      <w:r w:rsidRPr="005D0263">
        <w:rPr>
          <w:rFonts w:ascii="Times New Roman" w:hAnsi="Times New Roman" w:cs="Times New Roman"/>
          <w:sz w:val="24"/>
          <w:szCs w:val="24"/>
        </w:rPr>
        <w:t>utilizados de forma intercambiável, a farmacogenética é frequentemente</w:t>
      </w:r>
      <w:r w:rsidRPr="005D0263">
        <w:rPr>
          <w:rFonts w:ascii="Times New Roman" w:hAnsi="Times New Roman" w:cs="Times New Roman"/>
          <w:spacing w:val="-19"/>
          <w:sz w:val="24"/>
          <w:szCs w:val="24"/>
        </w:rPr>
        <w:t xml:space="preserve"> </w:t>
      </w:r>
      <w:r w:rsidRPr="005D0263">
        <w:rPr>
          <w:rFonts w:ascii="Times New Roman" w:hAnsi="Times New Roman" w:cs="Times New Roman"/>
          <w:sz w:val="24"/>
          <w:szCs w:val="24"/>
        </w:rPr>
        <w:t>considerada o estudo da resposta à fármacos em relação ao genoma (M</w:t>
      </w:r>
      <w:r w:rsidR="00A62A39" w:rsidRPr="005D0263">
        <w:rPr>
          <w:rFonts w:ascii="Times New Roman" w:hAnsi="Times New Roman" w:cs="Times New Roman"/>
          <w:sz w:val="24"/>
          <w:szCs w:val="24"/>
        </w:rPr>
        <w:t xml:space="preserve">ORGANTI </w:t>
      </w:r>
      <w:r w:rsidRPr="00A62A39">
        <w:rPr>
          <w:rFonts w:ascii="Times New Roman" w:hAnsi="Times New Roman" w:cs="Times New Roman"/>
          <w:sz w:val="24"/>
          <w:szCs w:val="24"/>
        </w:rPr>
        <w:t>et al</w:t>
      </w:r>
      <w:r w:rsidRPr="005D0263">
        <w:rPr>
          <w:rFonts w:ascii="Times New Roman" w:hAnsi="Times New Roman" w:cs="Times New Roman"/>
          <w:i/>
          <w:iCs/>
          <w:sz w:val="24"/>
          <w:szCs w:val="24"/>
        </w:rPr>
        <w:t xml:space="preserve">., </w:t>
      </w:r>
      <w:r w:rsidRPr="005D0263">
        <w:rPr>
          <w:rFonts w:ascii="Times New Roman" w:hAnsi="Times New Roman" w:cs="Times New Roman"/>
          <w:sz w:val="24"/>
          <w:szCs w:val="24"/>
        </w:rPr>
        <w:t>2019).</w:t>
      </w:r>
    </w:p>
    <w:p w14:paraId="4FB42DF3" w14:textId="332C5C95" w:rsidR="00647C4E" w:rsidRDefault="00647C4E" w:rsidP="00647C4E">
      <w:pPr>
        <w:pStyle w:val="Corpodetexto"/>
        <w:spacing w:line="360" w:lineRule="auto"/>
        <w:jc w:val="both"/>
        <w:rPr>
          <w:rFonts w:ascii="Times New Roman" w:hAnsi="Times New Roman" w:cs="Times New Roman"/>
        </w:rPr>
      </w:pPr>
      <w:r w:rsidRPr="005D0263">
        <w:rPr>
          <w:rFonts w:ascii="Times New Roman" w:hAnsi="Times New Roman" w:cs="Times New Roman"/>
        </w:rPr>
        <w:t>Os ensaios de reação da cadeia de polimerase em tempo real (PCR-RT), sequenciadores de última geração, genotipagem, são concentrados na detecção de variações genéticas que modificam as interações de fármacos com os alvos ou as vias</w:t>
      </w:r>
      <w:r w:rsidRPr="005D0263">
        <w:rPr>
          <w:rFonts w:ascii="Times New Roman" w:hAnsi="Times New Roman" w:cs="Times New Roman"/>
          <w:spacing w:val="-17"/>
        </w:rPr>
        <w:t xml:space="preserve"> </w:t>
      </w:r>
      <w:r w:rsidRPr="005D0263">
        <w:rPr>
          <w:rFonts w:ascii="Times New Roman" w:hAnsi="Times New Roman" w:cs="Times New Roman"/>
        </w:rPr>
        <w:t>metabólicas</w:t>
      </w:r>
      <w:r w:rsidRPr="005D0263">
        <w:rPr>
          <w:rFonts w:ascii="Times New Roman" w:hAnsi="Times New Roman" w:cs="Times New Roman"/>
          <w:spacing w:val="-19"/>
        </w:rPr>
        <w:t xml:space="preserve"> </w:t>
      </w:r>
      <w:r w:rsidRPr="005D0263">
        <w:rPr>
          <w:rFonts w:ascii="Times New Roman" w:hAnsi="Times New Roman" w:cs="Times New Roman"/>
        </w:rPr>
        <w:t>dos</w:t>
      </w:r>
      <w:r w:rsidRPr="005D0263">
        <w:rPr>
          <w:rFonts w:ascii="Times New Roman" w:hAnsi="Times New Roman" w:cs="Times New Roman"/>
          <w:spacing w:val="-19"/>
        </w:rPr>
        <w:t xml:space="preserve"> </w:t>
      </w:r>
      <w:r w:rsidRPr="005D0263">
        <w:rPr>
          <w:rFonts w:ascii="Times New Roman" w:hAnsi="Times New Roman" w:cs="Times New Roman"/>
        </w:rPr>
        <w:t>fármacos</w:t>
      </w:r>
      <w:r w:rsidRPr="005D0263">
        <w:rPr>
          <w:rFonts w:ascii="Times New Roman" w:hAnsi="Times New Roman" w:cs="Times New Roman"/>
          <w:spacing w:val="-16"/>
        </w:rPr>
        <w:t xml:space="preserve"> </w:t>
      </w:r>
      <w:r w:rsidRPr="005D0263">
        <w:rPr>
          <w:rFonts w:ascii="Times New Roman" w:hAnsi="Times New Roman" w:cs="Times New Roman"/>
        </w:rPr>
        <w:t>(anabólicas</w:t>
      </w:r>
      <w:r w:rsidRPr="005D0263">
        <w:rPr>
          <w:rFonts w:ascii="Times New Roman" w:hAnsi="Times New Roman" w:cs="Times New Roman"/>
          <w:spacing w:val="-19"/>
        </w:rPr>
        <w:t xml:space="preserve"> </w:t>
      </w:r>
      <w:r w:rsidRPr="005D0263">
        <w:rPr>
          <w:rFonts w:ascii="Times New Roman" w:hAnsi="Times New Roman" w:cs="Times New Roman"/>
        </w:rPr>
        <w:t>ou</w:t>
      </w:r>
      <w:r w:rsidRPr="005D0263">
        <w:rPr>
          <w:rFonts w:ascii="Times New Roman" w:hAnsi="Times New Roman" w:cs="Times New Roman"/>
          <w:spacing w:val="-18"/>
        </w:rPr>
        <w:t xml:space="preserve"> </w:t>
      </w:r>
      <w:r w:rsidRPr="005D0263">
        <w:rPr>
          <w:rFonts w:ascii="Times New Roman" w:hAnsi="Times New Roman" w:cs="Times New Roman"/>
        </w:rPr>
        <w:t>catabólicas</w:t>
      </w:r>
      <w:r w:rsidRPr="005D0263">
        <w:rPr>
          <w:rFonts w:ascii="Times New Roman" w:hAnsi="Times New Roman" w:cs="Times New Roman"/>
          <w:spacing w:val="-17"/>
        </w:rPr>
        <w:t xml:space="preserve"> </w:t>
      </w:r>
      <w:r w:rsidRPr="005D0263">
        <w:rPr>
          <w:rFonts w:ascii="Times New Roman" w:hAnsi="Times New Roman" w:cs="Times New Roman"/>
        </w:rPr>
        <w:t>ou</w:t>
      </w:r>
      <w:r w:rsidRPr="005D0263">
        <w:rPr>
          <w:rFonts w:ascii="Times New Roman" w:hAnsi="Times New Roman" w:cs="Times New Roman"/>
          <w:spacing w:val="-10"/>
        </w:rPr>
        <w:t xml:space="preserve"> </w:t>
      </w:r>
      <w:r w:rsidRPr="005D0263">
        <w:rPr>
          <w:rFonts w:ascii="Times New Roman" w:hAnsi="Times New Roman" w:cs="Times New Roman"/>
          <w:i/>
        </w:rPr>
        <w:t>upstream</w:t>
      </w:r>
      <w:r w:rsidRPr="005D0263">
        <w:rPr>
          <w:rFonts w:ascii="Times New Roman" w:hAnsi="Times New Roman" w:cs="Times New Roman"/>
          <w:i/>
          <w:spacing w:val="-16"/>
        </w:rPr>
        <w:t xml:space="preserve"> </w:t>
      </w:r>
      <w:r w:rsidRPr="005D0263">
        <w:rPr>
          <w:rFonts w:ascii="Times New Roman" w:hAnsi="Times New Roman" w:cs="Times New Roman"/>
        </w:rPr>
        <w:t>e</w:t>
      </w:r>
      <w:r w:rsidRPr="005D0263">
        <w:rPr>
          <w:rFonts w:ascii="Times New Roman" w:hAnsi="Times New Roman" w:cs="Times New Roman"/>
          <w:spacing w:val="-16"/>
        </w:rPr>
        <w:t xml:space="preserve"> </w:t>
      </w:r>
      <w:r w:rsidRPr="005D0263">
        <w:rPr>
          <w:rFonts w:ascii="Times New Roman" w:hAnsi="Times New Roman" w:cs="Times New Roman"/>
          <w:i/>
        </w:rPr>
        <w:t>downstream</w:t>
      </w:r>
      <w:r w:rsidRPr="005D0263">
        <w:rPr>
          <w:rFonts w:ascii="Times New Roman" w:hAnsi="Times New Roman" w:cs="Times New Roman"/>
        </w:rPr>
        <w:t>, respectivamente),</w:t>
      </w:r>
      <w:r w:rsidRPr="005D0263">
        <w:rPr>
          <w:rFonts w:ascii="Times New Roman" w:hAnsi="Times New Roman" w:cs="Times New Roman"/>
          <w:spacing w:val="-7"/>
        </w:rPr>
        <w:t xml:space="preserve"> </w:t>
      </w:r>
      <w:r w:rsidRPr="005D0263">
        <w:rPr>
          <w:rFonts w:ascii="Times New Roman" w:hAnsi="Times New Roman" w:cs="Times New Roman"/>
        </w:rPr>
        <w:t>podendo</w:t>
      </w:r>
      <w:r w:rsidRPr="005D0263">
        <w:rPr>
          <w:rFonts w:ascii="Times New Roman" w:hAnsi="Times New Roman" w:cs="Times New Roman"/>
          <w:spacing w:val="-7"/>
        </w:rPr>
        <w:t xml:space="preserve"> </w:t>
      </w:r>
      <w:r w:rsidRPr="005D0263">
        <w:rPr>
          <w:rFonts w:ascii="Times New Roman" w:hAnsi="Times New Roman" w:cs="Times New Roman"/>
        </w:rPr>
        <w:t>ser</w:t>
      </w:r>
      <w:r w:rsidRPr="005D0263">
        <w:rPr>
          <w:rFonts w:ascii="Times New Roman" w:hAnsi="Times New Roman" w:cs="Times New Roman"/>
          <w:spacing w:val="-7"/>
        </w:rPr>
        <w:t xml:space="preserve"> </w:t>
      </w:r>
      <w:r w:rsidRPr="005D0263">
        <w:rPr>
          <w:rFonts w:ascii="Times New Roman" w:hAnsi="Times New Roman" w:cs="Times New Roman"/>
        </w:rPr>
        <w:t>utilizados</w:t>
      </w:r>
      <w:r w:rsidRPr="005D0263">
        <w:rPr>
          <w:rFonts w:ascii="Times New Roman" w:hAnsi="Times New Roman" w:cs="Times New Roman"/>
          <w:spacing w:val="-8"/>
        </w:rPr>
        <w:t xml:space="preserve"> </w:t>
      </w:r>
      <w:r w:rsidRPr="005D0263">
        <w:rPr>
          <w:rFonts w:ascii="Times New Roman" w:hAnsi="Times New Roman" w:cs="Times New Roman"/>
        </w:rPr>
        <w:t>para</w:t>
      </w:r>
      <w:r w:rsidRPr="005D0263">
        <w:rPr>
          <w:rFonts w:ascii="Times New Roman" w:hAnsi="Times New Roman" w:cs="Times New Roman"/>
          <w:spacing w:val="-7"/>
        </w:rPr>
        <w:t xml:space="preserve"> </w:t>
      </w:r>
      <w:r w:rsidRPr="005D0263">
        <w:rPr>
          <w:rFonts w:ascii="Times New Roman" w:hAnsi="Times New Roman" w:cs="Times New Roman"/>
        </w:rPr>
        <w:t>a</w:t>
      </w:r>
      <w:r w:rsidRPr="005D0263">
        <w:rPr>
          <w:rFonts w:ascii="Times New Roman" w:hAnsi="Times New Roman" w:cs="Times New Roman"/>
          <w:spacing w:val="-6"/>
        </w:rPr>
        <w:t xml:space="preserve"> </w:t>
      </w:r>
      <w:r w:rsidRPr="005D0263">
        <w:rPr>
          <w:rFonts w:ascii="Times New Roman" w:hAnsi="Times New Roman" w:cs="Times New Roman"/>
        </w:rPr>
        <w:t>seleção</w:t>
      </w:r>
      <w:r w:rsidRPr="005D0263">
        <w:rPr>
          <w:rFonts w:ascii="Times New Roman" w:hAnsi="Times New Roman" w:cs="Times New Roman"/>
          <w:spacing w:val="-6"/>
        </w:rPr>
        <w:t xml:space="preserve"> </w:t>
      </w:r>
      <w:r w:rsidRPr="005D0263">
        <w:rPr>
          <w:rFonts w:ascii="Times New Roman" w:hAnsi="Times New Roman" w:cs="Times New Roman"/>
        </w:rPr>
        <w:t>de</w:t>
      </w:r>
      <w:r w:rsidRPr="005D0263">
        <w:rPr>
          <w:rFonts w:ascii="Times New Roman" w:hAnsi="Times New Roman" w:cs="Times New Roman"/>
          <w:spacing w:val="-6"/>
        </w:rPr>
        <w:t xml:space="preserve"> </w:t>
      </w:r>
      <w:r w:rsidRPr="005D0263">
        <w:rPr>
          <w:rFonts w:ascii="Times New Roman" w:hAnsi="Times New Roman" w:cs="Times New Roman"/>
        </w:rPr>
        <w:t>formulações</w:t>
      </w:r>
      <w:r w:rsidRPr="005D0263">
        <w:rPr>
          <w:rFonts w:ascii="Times New Roman" w:hAnsi="Times New Roman" w:cs="Times New Roman"/>
          <w:spacing w:val="-7"/>
        </w:rPr>
        <w:t xml:space="preserve"> </w:t>
      </w:r>
      <w:r w:rsidRPr="005D0263">
        <w:rPr>
          <w:rFonts w:ascii="Times New Roman" w:hAnsi="Times New Roman" w:cs="Times New Roman"/>
        </w:rPr>
        <w:t xml:space="preserve">de fármacos e percepção de diversas imunogenicidades, </w:t>
      </w:r>
      <w:r w:rsidRPr="000F6846">
        <w:rPr>
          <w:rFonts w:ascii="Times New Roman" w:hAnsi="Times New Roman" w:cs="Times New Roman"/>
        </w:rPr>
        <w:t xml:space="preserve">inclusive, biomarcadores na farmacogenética para facilitar a terapia medicamentosa mais eficaz, </w:t>
      </w:r>
      <w:r w:rsidRPr="000F6846">
        <w:rPr>
          <w:rFonts w:ascii="Roboto" w:hAnsi="Roboto"/>
          <w:sz w:val="21"/>
          <w:szCs w:val="21"/>
          <w:shd w:val="clear" w:color="auto" w:fill="FFFFFF"/>
        </w:rPr>
        <w:t xml:space="preserve">para reações adversas a fármacos e respostas a intervenções terapêuticas </w:t>
      </w:r>
      <w:r w:rsidRPr="000F6846">
        <w:rPr>
          <w:rFonts w:ascii="Times New Roman" w:hAnsi="Times New Roman" w:cs="Times New Roman"/>
        </w:rPr>
        <w:t xml:space="preserve"> (M</w:t>
      </w:r>
      <w:r w:rsidR="00A62A39" w:rsidRPr="000F6846">
        <w:rPr>
          <w:rFonts w:ascii="Times New Roman" w:hAnsi="Times New Roman" w:cs="Times New Roman"/>
        </w:rPr>
        <w:t xml:space="preserve">ORGANTI </w:t>
      </w:r>
      <w:r w:rsidRPr="00A62A39">
        <w:rPr>
          <w:rFonts w:ascii="Times New Roman" w:hAnsi="Times New Roman" w:cs="Times New Roman"/>
        </w:rPr>
        <w:t xml:space="preserve">et al., </w:t>
      </w:r>
      <w:r w:rsidRPr="000F6846">
        <w:rPr>
          <w:rFonts w:ascii="Times New Roman" w:hAnsi="Times New Roman" w:cs="Times New Roman"/>
        </w:rPr>
        <w:t xml:space="preserve">2019; </w:t>
      </w:r>
      <w:r w:rsidR="00A62A39" w:rsidRPr="000F6846">
        <w:rPr>
          <w:rFonts w:ascii="Times New Roman" w:hAnsi="Times New Roman" w:cs="Times New Roman"/>
        </w:rPr>
        <w:t>COCCA</w:t>
      </w:r>
      <w:r w:rsidRPr="000F6846">
        <w:rPr>
          <w:rFonts w:ascii="Times New Roman" w:hAnsi="Times New Roman" w:cs="Times New Roman"/>
        </w:rPr>
        <w:t xml:space="preserve"> </w:t>
      </w:r>
      <w:r w:rsidRPr="00A62A39">
        <w:rPr>
          <w:rFonts w:ascii="Times New Roman" w:hAnsi="Times New Roman" w:cs="Times New Roman"/>
        </w:rPr>
        <w:t>et al</w:t>
      </w:r>
      <w:r w:rsidRPr="000F6846">
        <w:rPr>
          <w:rFonts w:ascii="Times New Roman" w:hAnsi="Times New Roman" w:cs="Times New Roman"/>
          <w:i/>
          <w:iCs/>
        </w:rPr>
        <w:t xml:space="preserve">., </w:t>
      </w:r>
      <w:r w:rsidRPr="000F6846">
        <w:rPr>
          <w:rFonts w:ascii="Times New Roman" w:hAnsi="Times New Roman" w:cs="Times New Roman"/>
        </w:rPr>
        <w:t>2016; B</w:t>
      </w:r>
      <w:r w:rsidR="00A62A39" w:rsidRPr="000F6846">
        <w:rPr>
          <w:rFonts w:ascii="Times New Roman" w:hAnsi="Times New Roman" w:cs="Times New Roman"/>
        </w:rPr>
        <w:t>ECQUEMONT</w:t>
      </w:r>
      <w:r w:rsidRPr="000F6846">
        <w:rPr>
          <w:rFonts w:ascii="Times New Roman" w:hAnsi="Times New Roman" w:cs="Times New Roman"/>
        </w:rPr>
        <w:t xml:space="preserve"> </w:t>
      </w:r>
      <w:r w:rsidRPr="00A62A39">
        <w:rPr>
          <w:rFonts w:ascii="Times New Roman" w:hAnsi="Times New Roman" w:cs="Times New Roman"/>
        </w:rPr>
        <w:t>et al.,</w:t>
      </w:r>
      <w:r w:rsidRPr="000F6846">
        <w:rPr>
          <w:rFonts w:ascii="Times New Roman" w:hAnsi="Times New Roman" w:cs="Times New Roman"/>
          <w:i/>
          <w:iCs/>
        </w:rPr>
        <w:t xml:space="preserve"> </w:t>
      </w:r>
      <w:r w:rsidRPr="000F6846">
        <w:rPr>
          <w:rFonts w:ascii="Times New Roman" w:hAnsi="Times New Roman" w:cs="Times New Roman"/>
        </w:rPr>
        <w:t>2010).</w:t>
      </w:r>
      <w:r>
        <w:rPr>
          <w:rFonts w:ascii="Times New Roman" w:hAnsi="Times New Roman" w:cs="Times New Roman"/>
        </w:rPr>
        <w:t xml:space="preserve"> </w:t>
      </w:r>
    </w:p>
    <w:p w14:paraId="4E5391BA" w14:textId="3F9305D9" w:rsidR="00647C4E" w:rsidRPr="00A62A39" w:rsidRDefault="00647C4E" w:rsidP="00647C4E">
      <w:pPr>
        <w:pStyle w:val="Corpodetexto"/>
        <w:spacing w:line="360" w:lineRule="auto"/>
        <w:jc w:val="both"/>
        <w:rPr>
          <w:rFonts w:ascii="Times New Roman" w:hAnsi="Times New Roman" w:cs="Times New Roman"/>
        </w:rPr>
      </w:pPr>
      <w:r w:rsidRPr="00A62A39">
        <w:rPr>
          <w:rFonts w:ascii="Times New Roman" w:hAnsi="Times New Roman" w:cs="Times New Roman"/>
        </w:rPr>
        <w:t>Polimorfismos genéticos que codificam proteínas alvos de fármacos, e em enzimas metabolizadoras e transportadores de fármacos podem alterar a eficácia dos mesmos, eventos adversos ou ambos para causar respostas variáveis em pacientes (</w:t>
      </w:r>
      <w:r w:rsidR="00A62A39" w:rsidRPr="00A62A39">
        <w:rPr>
          <w:rFonts w:ascii="Times New Roman" w:hAnsi="Times New Roman" w:cs="Times New Roman"/>
        </w:rPr>
        <w:t>MA</w:t>
      </w:r>
      <w:r w:rsidRPr="00A62A39">
        <w:rPr>
          <w:rFonts w:ascii="Times New Roman" w:hAnsi="Times New Roman" w:cs="Times New Roman"/>
        </w:rPr>
        <w:t>, 2011).</w:t>
      </w:r>
    </w:p>
    <w:p w14:paraId="770A6D3A" w14:textId="63D2EC64" w:rsidR="00647C4E" w:rsidRPr="00A62A39" w:rsidRDefault="00647C4E" w:rsidP="00647C4E">
      <w:pPr>
        <w:pStyle w:val="Corpodetexto"/>
        <w:spacing w:line="360" w:lineRule="auto"/>
        <w:jc w:val="both"/>
        <w:rPr>
          <w:rFonts w:ascii="Times New Roman" w:hAnsi="Times New Roman" w:cs="Times New Roman"/>
          <w:shd w:val="clear" w:color="auto" w:fill="FFFFFF"/>
        </w:rPr>
      </w:pPr>
      <w:r w:rsidRPr="00A62A39">
        <w:rPr>
          <w:rFonts w:ascii="Times New Roman" w:hAnsi="Times New Roman" w:cs="Times New Roman"/>
          <w:shd w:val="clear" w:color="auto" w:fill="FFFFFF"/>
        </w:rPr>
        <w:t>Portanto, a variabilidade genética pode desempenhar papel importante na farmacocinética, ou seja, na absorção, distribuição, metabolismo e excreção, assim como na farmacodinâmica, isto é, na interação do fármaco com o alvo e na relação entre a sua concentração e seu efeito (</w:t>
      </w:r>
      <w:r w:rsidR="00A62A39" w:rsidRPr="00A62A39">
        <w:rPr>
          <w:rFonts w:ascii="Times New Roman" w:hAnsi="Times New Roman" w:cs="Times New Roman"/>
          <w:shd w:val="clear" w:color="auto" w:fill="FFFFFF"/>
        </w:rPr>
        <w:t>WEINSHILBOUM</w:t>
      </w:r>
      <w:r w:rsidRPr="00A62A39">
        <w:rPr>
          <w:rFonts w:ascii="Times New Roman" w:hAnsi="Times New Roman" w:cs="Times New Roman"/>
          <w:shd w:val="clear" w:color="auto" w:fill="FFFFFF"/>
        </w:rPr>
        <w:t>, 2006).</w:t>
      </w:r>
    </w:p>
    <w:p w14:paraId="660D300C" w14:textId="754E886B" w:rsidR="00647C4E" w:rsidRPr="005D0263" w:rsidRDefault="00647C4E" w:rsidP="00647C4E">
      <w:pPr>
        <w:pStyle w:val="Corpodetexto"/>
        <w:spacing w:before="6" w:line="360" w:lineRule="auto"/>
        <w:jc w:val="both"/>
        <w:rPr>
          <w:rFonts w:ascii="Times New Roman" w:hAnsi="Times New Roman" w:cs="Times New Roman"/>
          <w:spacing w:val="-7"/>
        </w:rPr>
      </w:pPr>
      <w:r>
        <w:rPr>
          <w:rFonts w:ascii="Times New Roman" w:hAnsi="Times New Roman" w:cs="Times New Roman"/>
        </w:rPr>
        <w:t>Compreender o transcriptoma levando em consideração a variabilidade genética individual aplicada na m</w:t>
      </w:r>
      <w:r w:rsidRPr="002F3B5F">
        <w:rPr>
          <w:rFonts w:ascii="Times New Roman" w:hAnsi="Times New Roman" w:cs="Times New Roman"/>
        </w:rPr>
        <w:t>edicina</w:t>
      </w:r>
      <w:r w:rsidRPr="005D0263">
        <w:rPr>
          <w:rFonts w:ascii="Times New Roman" w:hAnsi="Times New Roman" w:cs="Times New Roman"/>
        </w:rPr>
        <w:t xml:space="preserve"> de precisão</w:t>
      </w:r>
      <w:r>
        <w:rPr>
          <w:rFonts w:ascii="Times New Roman" w:hAnsi="Times New Roman" w:cs="Times New Roman"/>
        </w:rPr>
        <w:t>.</w:t>
      </w:r>
      <w:r w:rsidRPr="005D0263">
        <w:rPr>
          <w:rFonts w:ascii="Times New Roman" w:hAnsi="Times New Roman" w:cs="Times New Roman"/>
        </w:rPr>
        <w:t xml:space="preserve"> O transcriptoma é o conjunto completo de RNA ou transcrito de um organismo, grupo de células ou ainda de uma célula específica em uma determinada condição fisiológica e abrange o sequenciamento de todos os tipos de moléculas de RNA, como miRNA, mRNA, RNA codificantes e não codificantes, assim como as formas de </w:t>
      </w:r>
      <w:r w:rsidRPr="005D0263">
        <w:rPr>
          <w:rFonts w:ascii="Times New Roman" w:hAnsi="Times New Roman" w:cs="Times New Roman"/>
          <w:i/>
        </w:rPr>
        <w:t xml:space="preserve">splicing </w:t>
      </w:r>
      <w:r w:rsidRPr="005D0263">
        <w:rPr>
          <w:rFonts w:ascii="Times New Roman" w:hAnsi="Times New Roman" w:cs="Times New Roman"/>
        </w:rPr>
        <w:t>alternativos poliadenilados. Reunidos na análise eles refletem os genes que estão ativamente expressos</w:t>
      </w:r>
      <w:r w:rsidRPr="005D0263">
        <w:rPr>
          <w:rFonts w:ascii="Times New Roman" w:hAnsi="Times New Roman" w:cs="Times New Roman"/>
          <w:spacing w:val="-10"/>
        </w:rPr>
        <w:t xml:space="preserve"> </w:t>
      </w:r>
      <w:r w:rsidRPr="005D0263">
        <w:rPr>
          <w:rFonts w:ascii="Times New Roman" w:hAnsi="Times New Roman" w:cs="Times New Roman"/>
        </w:rPr>
        <w:t>em</w:t>
      </w:r>
      <w:r w:rsidRPr="005D0263">
        <w:rPr>
          <w:rFonts w:ascii="Times New Roman" w:hAnsi="Times New Roman" w:cs="Times New Roman"/>
          <w:spacing w:val="-6"/>
        </w:rPr>
        <w:t xml:space="preserve"> </w:t>
      </w:r>
      <w:r w:rsidRPr="005D0263">
        <w:rPr>
          <w:rFonts w:ascii="Times New Roman" w:hAnsi="Times New Roman" w:cs="Times New Roman"/>
        </w:rPr>
        <w:t>um</w:t>
      </w:r>
      <w:r w:rsidRPr="005D0263">
        <w:rPr>
          <w:rFonts w:ascii="Times New Roman" w:hAnsi="Times New Roman" w:cs="Times New Roman"/>
          <w:spacing w:val="-5"/>
        </w:rPr>
        <w:t xml:space="preserve"> </w:t>
      </w:r>
      <w:r w:rsidRPr="005D0263">
        <w:rPr>
          <w:rFonts w:ascii="Times New Roman" w:hAnsi="Times New Roman" w:cs="Times New Roman"/>
        </w:rPr>
        <w:t>tecido</w:t>
      </w:r>
      <w:r w:rsidRPr="005D0263">
        <w:rPr>
          <w:rFonts w:ascii="Times New Roman" w:hAnsi="Times New Roman" w:cs="Times New Roman"/>
          <w:spacing w:val="-7"/>
        </w:rPr>
        <w:t xml:space="preserve"> </w:t>
      </w:r>
      <w:r w:rsidRPr="005D0263">
        <w:rPr>
          <w:rFonts w:ascii="Times New Roman" w:hAnsi="Times New Roman" w:cs="Times New Roman"/>
        </w:rPr>
        <w:t>particular</w:t>
      </w:r>
      <w:r>
        <w:rPr>
          <w:rFonts w:ascii="Times New Roman" w:hAnsi="Times New Roman" w:cs="Times New Roman"/>
        </w:rPr>
        <w:t xml:space="preserve"> (</w:t>
      </w:r>
      <w:r w:rsidR="00A62A39" w:rsidRPr="00D06F21">
        <w:rPr>
          <w:rFonts w:ascii="Times New Roman" w:hAnsi="Times New Roman" w:cs="Times New Roman"/>
        </w:rPr>
        <w:t>D</w:t>
      </w:r>
      <w:r w:rsidR="00A62A39">
        <w:rPr>
          <w:rFonts w:ascii="Times New Roman" w:hAnsi="Times New Roman" w:cs="Times New Roman"/>
        </w:rPr>
        <w:t xml:space="preserve">ELANEY </w:t>
      </w:r>
      <w:r w:rsidRPr="00A62A39">
        <w:rPr>
          <w:rFonts w:ascii="Times New Roman" w:hAnsi="Times New Roman" w:cs="Times New Roman"/>
        </w:rPr>
        <w:t>et</w:t>
      </w:r>
      <w:r w:rsidR="00A62A39" w:rsidRPr="00A62A39">
        <w:rPr>
          <w:rFonts w:ascii="Times New Roman" w:hAnsi="Times New Roman" w:cs="Times New Roman"/>
        </w:rPr>
        <w:t xml:space="preserve"> </w:t>
      </w:r>
      <w:r w:rsidRPr="00A62A39">
        <w:rPr>
          <w:rFonts w:ascii="Times New Roman" w:hAnsi="Times New Roman" w:cs="Times New Roman"/>
        </w:rPr>
        <w:t>al</w:t>
      </w:r>
      <w:r>
        <w:rPr>
          <w:rFonts w:ascii="Times New Roman" w:hAnsi="Times New Roman" w:cs="Times New Roman"/>
          <w:i/>
          <w:iCs/>
        </w:rPr>
        <w:t>.,</w:t>
      </w:r>
      <w:r>
        <w:rPr>
          <w:rFonts w:ascii="Times New Roman" w:hAnsi="Times New Roman" w:cs="Times New Roman"/>
        </w:rPr>
        <w:t xml:space="preserve"> 2016)</w:t>
      </w:r>
      <w:r w:rsidRPr="005D0263">
        <w:rPr>
          <w:rFonts w:ascii="Times New Roman" w:hAnsi="Times New Roman" w:cs="Times New Roman"/>
        </w:rPr>
        <w:t>.</w:t>
      </w:r>
      <w:r w:rsidRPr="005D0263">
        <w:rPr>
          <w:rFonts w:ascii="Times New Roman" w:hAnsi="Times New Roman" w:cs="Times New Roman"/>
          <w:spacing w:val="-7"/>
        </w:rPr>
        <w:t xml:space="preserve"> </w:t>
      </w:r>
    </w:p>
    <w:p w14:paraId="22F91E71" w14:textId="2BB14327" w:rsidR="00647C4E" w:rsidRPr="005D0263" w:rsidRDefault="00647C4E" w:rsidP="00647C4E">
      <w:pPr>
        <w:pStyle w:val="Corpodetexto"/>
        <w:spacing w:before="6" w:line="360" w:lineRule="auto"/>
        <w:jc w:val="both"/>
        <w:rPr>
          <w:rFonts w:ascii="Times New Roman" w:hAnsi="Times New Roman" w:cs="Times New Roman"/>
          <w:spacing w:val="-7"/>
        </w:rPr>
      </w:pPr>
      <w:r w:rsidRPr="005D0263">
        <w:rPr>
          <w:rFonts w:ascii="Times New Roman" w:hAnsi="Times New Roman" w:cs="Times New Roman"/>
        </w:rPr>
        <w:t>O</w:t>
      </w:r>
      <w:r w:rsidRPr="005D0263">
        <w:rPr>
          <w:rFonts w:ascii="Times New Roman" w:hAnsi="Times New Roman" w:cs="Times New Roman"/>
          <w:spacing w:val="-9"/>
        </w:rPr>
        <w:t xml:space="preserve"> </w:t>
      </w:r>
      <w:r w:rsidRPr="005D0263">
        <w:rPr>
          <w:rFonts w:ascii="Times New Roman" w:hAnsi="Times New Roman" w:cs="Times New Roman"/>
        </w:rPr>
        <w:t>processo</w:t>
      </w:r>
      <w:r w:rsidRPr="005D0263">
        <w:rPr>
          <w:rFonts w:ascii="Times New Roman" w:hAnsi="Times New Roman" w:cs="Times New Roman"/>
          <w:spacing w:val="-7"/>
        </w:rPr>
        <w:t xml:space="preserve"> </w:t>
      </w:r>
      <w:r w:rsidRPr="005D0263">
        <w:rPr>
          <w:rFonts w:ascii="Times New Roman" w:hAnsi="Times New Roman" w:cs="Times New Roman"/>
        </w:rPr>
        <w:t>de</w:t>
      </w:r>
      <w:r w:rsidRPr="005D0263">
        <w:rPr>
          <w:rFonts w:ascii="Times New Roman" w:hAnsi="Times New Roman" w:cs="Times New Roman"/>
          <w:spacing w:val="-7"/>
        </w:rPr>
        <w:t xml:space="preserve"> </w:t>
      </w:r>
      <w:r w:rsidRPr="005D0263">
        <w:rPr>
          <w:rFonts w:ascii="Times New Roman" w:hAnsi="Times New Roman" w:cs="Times New Roman"/>
        </w:rPr>
        <w:t>transcrição</w:t>
      </w:r>
      <w:r w:rsidRPr="005D0263">
        <w:rPr>
          <w:rFonts w:ascii="Times New Roman" w:hAnsi="Times New Roman" w:cs="Times New Roman"/>
          <w:spacing w:val="-8"/>
        </w:rPr>
        <w:t xml:space="preserve"> </w:t>
      </w:r>
      <w:r w:rsidRPr="005D0263">
        <w:rPr>
          <w:rFonts w:ascii="Times New Roman" w:hAnsi="Times New Roman" w:cs="Times New Roman"/>
        </w:rPr>
        <w:t>ocorre</w:t>
      </w:r>
      <w:r w:rsidRPr="005D0263">
        <w:rPr>
          <w:rFonts w:ascii="Times New Roman" w:hAnsi="Times New Roman" w:cs="Times New Roman"/>
          <w:spacing w:val="-7"/>
        </w:rPr>
        <w:t xml:space="preserve"> </w:t>
      </w:r>
      <w:r w:rsidRPr="005D0263">
        <w:rPr>
          <w:rFonts w:ascii="Times New Roman" w:hAnsi="Times New Roman" w:cs="Times New Roman"/>
        </w:rPr>
        <w:t>mediante a síntese de RNA a partir do DNA. O RNA determina quais genes serão expressos e podem</w:t>
      </w:r>
      <w:r w:rsidRPr="005D0263">
        <w:rPr>
          <w:rFonts w:ascii="Times New Roman" w:hAnsi="Times New Roman" w:cs="Times New Roman"/>
          <w:spacing w:val="-10"/>
        </w:rPr>
        <w:t xml:space="preserve"> </w:t>
      </w:r>
      <w:r w:rsidRPr="005D0263">
        <w:rPr>
          <w:rFonts w:ascii="Times New Roman" w:hAnsi="Times New Roman" w:cs="Times New Roman"/>
        </w:rPr>
        <w:t>se</w:t>
      </w:r>
      <w:r w:rsidRPr="005D0263">
        <w:rPr>
          <w:rFonts w:ascii="Times New Roman" w:hAnsi="Times New Roman" w:cs="Times New Roman"/>
          <w:spacing w:val="-13"/>
        </w:rPr>
        <w:t xml:space="preserve"> </w:t>
      </w:r>
      <w:r w:rsidRPr="005D0263">
        <w:rPr>
          <w:rFonts w:ascii="Times New Roman" w:hAnsi="Times New Roman" w:cs="Times New Roman"/>
        </w:rPr>
        <w:t>modificar</w:t>
      </w:r>
      <w:r w:rsidRPr="005D0263">
        <w:rPr>
          <w:rFonts w:ascii="Times New Roman" w:hAnsi="Times New Roman" w:cs="Times New Roman"/>
          <w:spacing w:val="-12"/>
        </w:rPr>
        <w:t xml:space="preserve"> </w:t>
      </w:r>
      <w:r w:rsidRPr="005D0263">
        <w:rPr>
          <w:rFonts w:ascii="Times New Roman" w:hAnsi="Times New Roman" w:cs="Times New Roman"/>
        </w:rPr>
        <w:t>durante</w:t>
      </w:r>
      <w:r w:rsidRPr="005D0263">
        <w:rPr>
          <w:rFonts w:ascii="Times New Roman" w:hAnsi="Times New Roman" w:cs="Times New Roman"/>
          <w:spacing w:val="-13"/>
        </w:rPr>
        <w:t xml:space="preserve"> </w:t>
      </w:r>
      <w:r w:rsidRPr="005D0263">
        <w:rPr>
          <w:rFonts w:ascii="Times New Roman" w:hAnsi="Times New Roman" w:cs="Times New Roman"/>
        </w:rPr>
        <w:t>a</w:t>
      </w:r>
      <w:r w:rsidRPr="005D0263">
        <w:rPr>
          <w:rFonts w:ascii="Times New Roman" w:hAnsi="Times New Roman" w:cs="Times New Roman"/>
          <w:spacing w:val="-11"/>
        </w:rPr>
        <w:t xml:space="preserve"> </w:t>
      </w:r>
      <w:r w:rsidRPr="005D0263">
        <w:rPr>
          <w:rFonts w:ascii="Times New Roman" w:hAnsi="Times New Roman" w:cs="Times New Roman"/>
        </w:rPr>
        <w:t>vida</w:t>
      </w:r>
      <w:r w:rsidRPr="005D0263">
        <w:rPr>
          <w:rFonts w:ascii="Times New Roman" w:hAnsi="Times New Roman" w:cs="Times New Roman"/>
          <w:spacing w:val="-13"/>
        </w:rPr>
        <w:t xml:space="preserve"> </w:t>
      </w:r>
      <w:r w:rsidRPr="005D0263">
        <w:rPr>
          <w:rFonts w:ascii="Times New Roman" w:hAnsi="Times New Roman" w:cs="Times New Roman"/>
        </w:rPr>
        <w:t>do</w:t>
      </w:r>
      <w:r w:rsidRPr="005D0263">
        <w:rPr>
          <w:rFonts w:ascii="Times New Roman" w:hAnsi="Times New Roman" w:cs="Times New Roman"/>
          <w:spacing w:val="-12"/>
        </w:rPr>
        <w:t xml:space="preserve"> </w:t>
      </w:r>
      <w:r w:rsidRPr="005D0263">
        <w:rPr>
          <w:rFonts w:ascii="Times New Roman" w:hAnsi="Times New Roman" w:cs="Times New Roman"/>
        </w:rPr>
        <w:t>organismo,</w:t>
      </w:r>
      <w:r w:rsidRPr="005D0263">
        <w:rPr>
          <w:rFonts w:ascii="Times New Roman" w:hAnsi="Times New Roman" w:cs="Times New Roman"/>
          <w:spacing w:val="-13"/>
        </w:rPr>
        <w:t xml:space="preserve"> </w:t>
      </w:r>
      <w:r w:rsidRPr="005D0263">
        <w:rPr>
          <w:rFonts w:ascii="Times New Roman" w:hAnsi="Times New Roman" w:cs="Times New Roman"/>
        </w:rPr>
        <w:t>ao</w:t>
      </w:r>
      <w:r w:rsidRPr="005D0263">
        <w:rPr>
          <w:rFonts w:ascii="Times New Roman" w:hAnsi="Times New Roman" w:cs="Times New Roman"/>
          <w:spacing w:val="-11"/>
        </w:rPr>
        <w:t xml:space="preserve"> </w:t>
      </w:r>
      <w:r w:rsidRPr="005D0263">
        <w:rPr>
          <w:rFonts w:ascii="Times New Roman" w:hAnsi="Times New Roman" w:cs="Times New Roman"/>
        </w:rPr>
        <w:t>contrário</w:t>
      </w:r>
      <w:r w:rsidRPr="005D0263">
        <w:rPr>
          <w:rFonts w:ascii="Times New Roman" w:hAnsi="Times New Roman" w:cs="Times New Roman"/>
          <w:spacing w:val="-11"/>
        </w:rPr>
        <w:t xml:space="preserve"> </w:t>
      </w:r>
      <w:r w:rsidRPr="005D0263">
        <w:rPr>
          <w:rFonts w:ascii="Times New Roman" w:hAnsi="Times New Roman" w:cs="Times New Roman"/>
        </w:rPr>
        <w:t>do</w:t>
      </w:r>
      <w:r w:rsidRPr="005D0263">
        <w:rPr>
          <w:rFonts w:ascii="Times New Roman" w:hAnsi="Times New Roman" w:cs="Times New Roman"/>
          <w:spacing w:val="-13"/>
        </w:rPr>
        <w:t xml:space="preserve"> </w:t>
      </w:r>
      <w:r w:rsidRPr="005D0263">
        <w:rPr>
          <w:rFonts w:ascii="Times New Roman" w:hAnsi="Times New Roman" w:cs="Times New Roman"/>
        </w:rPr>
        <w:t>DNA,</w:t>
      </w:r>
      <w:r w:rsidRPr="005D0263">
        <w:rPr>
          <w:rFonts w:ascii="Times New Roman" w:hAnsi="Times New Roman" w:cs="Times New Roman"/>
          <w:spacing w:val="-11"/>
        </w:rPr>
        <w:t xml:space="preserve"> </w:t>
      </w:r>
      <w:r w:rsidRPr="005D0263">
        <w:rPr>
          <w:rFonts w:ascii="Times New Roman" w:hAnsi="Times New Roman" w:cs="Times New Roman"/>
        </w:rPr>
        <w:t>que</w:t>
      </w:r>
      <w:r w:rsidRPr="005D0263">
        <w:rPr>
          <w:rFonts w:ascii="Times New Roman" w:hAnsi="Times New Roman" w:cs="Times New Roman"/>
          <w:spacing w:val="-11"/>
        </w:rPr>
        <w:t xml:space="preserve"> </w:t>
      </w:r>
      <w:r w:rsidRPr="005D0263">
        <w:rPr>
          <w:rFonts w:ascii="Times New Roman" w:hAnsi="Times New Roman" w:cs="Times New Roman"/>
        </w:rPr>
        <w:t>é</w:t>
      </w:r>
      <w:r w:rsidRPr="005D0263">
        <w:rPr>
          <w:rFonts w:ascii="Times New Roman" w:hAnsi="Times New Roman" w:cs="Times New Roman"/>
          <w:spacing w:val="-12"/>
        </w:rPr>
        <w:t xml:space="preserve"> </w:t>
      </w:r>
      <w:r w:rsidRPr="005D0263">
        <w:rPr>
          <w:rFonts w:ascii="Times New Roman" w:hAnsi="Times New Roman" w:cs="Times New Roman"/>
        </w:rPr>
        <w:t>estático. Uma das principais causas de modificações são as alterações ambientais, considerando</w:t>
      </w:r>
      <w:r w:rsidRPr="005D0263">
        <w:rPr>
          <w:rFonts w:ascii="Times New Roman" w:hAnsi="Times New Roman" w:cs="Times New Roman"/>
          <w:spacing w:val="-11"/>
        </w:rPr>
        <w:t xml:space="preserve"> </w:t>
      </w:r>
      <w:r w:rsidRPr="005D0263">
        <w:rPr>
          <w:rFonts w:ascii="Times New Roman" w:hAnsi="Times New Roman" w:cs="Times New Roman"/>
        </w:rPr>
        <w:t>que</w:t>
      </w:r>
      <w:r w:rsidRPr="005D0263">
        <w:rPr>
          <w:rFonts w:ascii="Times New Roman" w:hAnsi="Times New Roman" w:cs="Times New Roman"/>
          <w:spacing w:val="-11"/>
        </w:rPr>
        <w:t xml:space="preserve"> </w:t>
      </w:r>
      <w:r w:rsidRPr="005D0263">
        <w:rPr>
          <w:rFonts w:ascii="Times New Roman" w:hAnsi="Times New Roman" w:cs="Times New Roman"/>
        </w:rPr>
        <w:t>o</w:t>
      </w:r>
      <w:r w:rsidRPr="005D0263">
        <w:rPr>
          <w:rFonts w:ascii="Times New Roman" w:hAnsi="Times New Roman" w:cs="Times New Roman"/>
          <w:spacing w:val="-12"/>
        </w:rPr>
        <w:t xml:space="preserve"> </w:t>
      </w:r>
      <w:r w:rsidRPr="005D0263">
        <w:rPr>
          <w:rFonts w:ascii="Times New Roman" w:hAnsi="Times New Roman" w:cs="Times New Roman"/>
        </w:rPr>
        <w:t>organismo</w:t>
      </w:r>
      <w:r w:rsidRPr="005D0263">
        <w:rPr>
          <w:rFonts w:ascii="Times New Roman" w:hAnsi="Times New Roman" w:cs="Times New Roman"/>
          <w:spacing w:val="-11"/>
        </w:rPr>
        <w:t xml:space="preserve"> </w:t>
      </w:r>
      <w:r w:rsidRPr="005D0263">
        <w:rPr>
          <w:rFonts w:ascii="Times New Roman" w:hAnsi="Times New Roman" w:cs="Times New Roman"/>
        </w:rPr>
        <w:t>tenta</w:t>
      </w:r>
      <w:r w:rsidRPr="005D0263">
        <w:rPr>
          <w:rFonts w:ascii="Times New Roman" w:hAnsi="Times New Roman" w:cs="Times New Roman"/>
          <w:spacing w:val="-11"/>
        </w:rPr>
        <w:t xml:space="preserve"> </w:t>
      </w:r>
      <w:r w:rsidRPr="005D0263">
        <w:rPr>
          <w:rFonts w:ascii="Times New Roman" w:hAnsi="Times New Roman" w:cs="Times New Roman"/>
        </w:rPr>
        <w:t>se</w:t>
      </w:r>
      <w:r w:rsidRPr="005D0263">
        <w:rPr>
          <w:rFonts w:ascii="Times New Roman" w:hAnsi="Times New Roman" w:cs="Times New Roman"/>
          <w:spacing w:val="-12"/>
        </w:rPr>
        <w:t xml:space="preserve"> </w:t>
      </w:r>
      <w:r w:rsidRPr="005D0263">
        <w:rPr>
          <w:rFonts w:ascii="Times New Roman" w:hAnsi="Times New Roman" w:cs="Times New Roman"/>
        </w:rPr>
        <w:t>ajustar</w:t>
      </w:r>
      <w:r w:rsidRPr="005D0263">
        <w:rPr>
          <w:rFonts w:ascii="Times New Roman" w:hAnsi="Times New Roman" w:cs="Times New Roman"/>
          <w:spacing w:val="-12"/>
        </w:rPr>
        <w:t xml:space="preserve"> </w:t>
      </w:r>
      <w:r w:rsidRPr="005D0263">
        <w:rPr>
          <w:rFonts w:ascii="Times New Roman" w:hAnsi="Times New Roman" w:cs="Times New Roman"/>
        </w:rPr>
        <w:t>a</w:t>
      </w:r>
      <w:r w:rsidRPr="005D0263">
        <w:rPr>
          <w:rFonts w:ascii="Times New Roman" w:hAnsi="Times New Roman" w:cs="Times New Roman"/>
          <w:spacing w:val="-11"/>
        </w:rPr>
        <w:t xml:space="preserve"> </w:t>
      </w:r>
      <w:r w:rsidRPr="005D0263">
        <w:rPr>
          <w:rFonts w:ascii="Times New Roman" w:hAnsi="Times New Roman" w:cs="Times New Roman"/>
        </w:rPr>
        <w:t>estas</w:t>
      </w:r>
      <w:r w:rsidRPr="005D0263">
        <w:rPr>
          <w:rFonts w:ascii="Times New Roman" w:hAnsi="Times New Roman" w:cs="Times New Roman"/>
          <w:spacing w:val="-11"/>
        </w:rPr>
        <w:t xml:space="preserve"> </w:t>
      </w:r>
      <w:r w:rsidRPr="005D0263">
        <w:rPr>
          <w:rFonts w:ascii="Times New Roman" w:hAnsi="Times New Roman" w:cs="Times New Roman"/>
        </w:rPr>
        <w:t>mudanças</w:t>
      </w:r>
      <w:r w:rsidRPr="005D0263">
        <w:rPr>
          <w:rFonts w:ascii="Times New Roman" w:hAnsi="Times New Roman" w:cs="Times New Roman"/>
          <w:spacing w:val="-14"/>
        </w:rPr>
        <w:t xml:space="preserve"> </w:t>
      </w:r>
      <w:r w:rsidRPr="005D0263">
        <w:rPr>
          <w:rFonts w:ascii="Times New Roman" w:hAnsi="Times New Roman" w:cs="Times New Roman"/>
        </w:rPr>
        <w:t>para</w:t>
      </w:r>
      <w:r w:rsidRPr="005D0263">
        <w:rPr>
          <w:rFonts w:ascii="Times New Roman" w:hAnsi="Times New Roman" w:cs="Times New Roman"/>
          <w:spacing w:val="-11"/>
        </w:rPr>
        <w:t xml:space="preserve"> </w:t>
      </w:r>
      <w:r w:rsidRPr="005D0263">
        <w:rPr>
          <w:rFonts w:ascii="Times New Roman" w:hAnsi="Times New Roman" w:cs="Times New Roman"/>
        </w:rPr>
        <w:t>se</w:t>
      </w:r>
      <w:r w:rsidRPr="005D0263">
        <w:rPr>
          <w:rFonts w:ascii="Times New Roman" w:hAnsi="Times New Roman" w:cs="Times New Roman"/>
          <w:spacing w:val="-4"/>
        </w:rPr>
        <w:t xml:space="preserve"> </w:t>
      </w:r>
      <w:r w:rsidRPr="005D0263">
        <w:rPr>
          <w:rFonts w:ascii="Times New Roman" w:hAnsi="Times New Roman" w:cs="Times New Roman"/>
        </w:rPr>
        <w:t>manter</w:t>
      </w:r>
      <w:r w:rsidRPr="005D0263">
        <w:rPr>
          <w:rFonts w:ascii="Times New Roman" w:hAnsi="Times New Roman" w:cs="Times New Roman"/>
          <w:spacing w:val="-12"/>
        </w:rPr>
        <w:t xml:space="preserve"> </w:t>
      </w:r>
      <w:r w:rsidRPr="005D0263">
        <w:rPr>
          <w:rFonts w:ascii="Times New Roman" w:hAnsi="Times New Roman" w:cs="Times New Roman"/>
        </w:rPr>
        <w:t>vivo.</w:t>
      </w:r>
      <w:r w:rsidRPr="005D0263">
        <w:rPr>
          <w:rFonts w:ascii="Times New Roman" w:hAnsi="Times New Roman" w:cs="Times New Roman"/>
          <w:spacing w:val="-7"/>
        </w:rPr>
        <w:t xml:space="preserve"> </w:t>
      </w:r>
      <w:r w:rsidRPr="005D0263">
        <w:rPr>
          <w:rFonts w:ascii="Times New Roman" w:hAnsi="Times New Roman" w:cs="Times New Roman"/>
        </w:rPr>
        <w:t xml:space="preserve">O transcriptoma tem como objetivo catalogar todas as espécies de transcritos, determinar as estruturas das transcrições de genes padrões de </w:t>
      </w:r>
      <w:r w:rsidRPr="005D0263">
        <w:rPr>
          <w:rFonts w:ascii="Times New Roman" w:hAnsi="Times New Roman" w:cs="Times New Roman"/>
          <w:i/>
        </w:rPr>
        <w:t>splicing</w:t>
      </w:r>
      <w:r w:rsidRPr="005D0263">
        <w:rPr>
          <w:rFonts w:ascii="Times New Roman" w:hAnsi="Times New Roman" w:cs="Times New Roman"/>
        </w:rPr>
        <w:t>, distintas modificações pós transcricionais e quantificar as 36 alterações dos níveis de cada expressão de transcritos sob diferentes condições</w:t>
      </w:r>
      <w:r>
        <w:rPr>
          <w:rFonts w:ascii="Times New Roman" w:hAnsi="Times New Roman" w:cs="Times New Roman"/>
          <w:spacing w:val="-3"/>
        </w:rPr>
        <w:t xml:space="preserve"> </w:t>
      </w:r>
      <w:r>
        <w:rPr>
          <w:rFonts w:ascii="Times New Roman" w:hAnsi="Times New Roman" w:cs="Times New Roman"/>
        </w:rPr>
        <w:t>(</w:t>
      </w:r>
      <w:r w:rsidR="00A62A39" w:rsidRPr="00D06F21">
        <w:rPr>
          <w:rFonts w:ascii="Times New Roman" w:hAnsi="Times New Roman" w:cs="Times New Roman"/>
        </w:rPr>
        <w:t>D</w:t>
      </w:r>
      <w:r w:rsidR="00A62A39">
        <w:rPr>
          <w:rFonts w:ascii="Times New Roman" w:hAnsi="Times New Roman" w:cs="Times New Roman"/>
        </w:rPr>
        <w:t>ELANEY</w:t>
      </w:r>
      <w:r>
        <w:rPr>
          <w:rFonts w:ascii="Times New Roman" w:hAnsi="Times New Roman" w:cs="Times New Roman"/>
        </w:rPr>
        <w:t xml:space="preserve"> </w:t>
      </w:r>
      <w:r w:rsidRPr="00A62A39">
        <w:rPr>
          <w:rFonts w:ascii="Times New Roman" w:hAnsi="Times New Roman" w:cs="Times New Roman"/>
        </w:rPr>
        <w:t>et</w:t>
      </w:r>
      <w:r w:rsidR="00A62A39" w:rsidRPr="00A62A39">
        <w:rPr>
          <w:rFonts w:ascii="Times New Roman" w:hAnsi="Times New Roman" w:cs="Times New Roman"/>
        </w:rPr>
        <w:t xml:space="preserve"> </w:t>
      </w:r>
      <w:r w:rsidRPr="00A62A39">
        <w:rPr>
          <w:rFonts w:ascii="Times New Roman" w:hAnsi="Times New Roman" w:cs="Times New Roman"/>
        </w:rPr>
        <w:t>al</w:t>
      </w:r>
      <w:r>
        <w:rPr>
          <w:rFonts w:ascii="Times New Roman" w:hAnsi="Times New Roman" w:cs="Times New Roman"/>
          <w:i/>
          <w:iCs/>
        </w:rPr>
        <w:t>.,</w:t>
      </w:r>
      <w:r>
        <w:rPr>
          <w:rFonts w:ascii="Times New Roman" w:hAnsi="Times New Roman" w:cs="Times New Roman"/>
        </w:rPr>
        <w:t xml:space="preserve"> 2016)</w:t>
      </w:r>
      <w:r w:rsidRPr="005D0263">
        <w:rPr>
          <w:rFonts w:ascii="Times New Roman" w:hAnsi="Times New Roman" w:cs="Times New Roman"/>
        </w:rPr>
        <w:t>.</w:t>
      </w:r>
      <w:r w:rsidRPr="005D0263">
        <w:rPr>
          <w:rFonts w:ascii="Times New Roman" w:hAnsi="Times New Roman" w:cs="Times New Roman"/>
          <w:spacing w:val="-7"/>
        </w:rPr>
        <w:t xml:space="preserve"> </w:t>
      </w:r>
    </w:p>
    <w:p w14:paraId="221921E4" w14:textId="69167113" w:rsidR="00647C4E" w:rsidRPr="005D0263" w:rsidRDefault="00647C4E" w:rsidP="004974DB">
      <w:pPr>
        <w:pStyle w:val="Corpodetexto"/>
        <w:spacing w:line="360" w:lineRule="auto"/>
        <w:jc w:val="both"/>
        <w:rPr>
          <w:rFonts w:ascii="Times New Roman" w:hAnsi="Times New Roman" w:cs="Times New Roman"/>
        </w:rPr>
      </w:pPr>
      <w:r w:rsidRPr="005D0263">
        <w:rPr>
          <w:rFonts w:ascii="Times New Roman" w:hAnsi="Times New Roman" w:cs="Times New Roman"/>
        </w:rPr>
        <w:t>A eficácia terapêutica de um fármaco depende do conhecimento da patogênese da doença e da especificidade temporal e espacial necessária da expressão gênica. Um nova era da terapia gênica é marcada pela tecnologia em que a entrega é aprimorada por convecção guiada por ressonânca magnétia intervencionista, que é o padrão-ouro para verificar a entrega precisa do vetor em tempo real (</w:t>
      </w:r>
      <w:r w:rsidR="00A62A39" w:rsidRPr="005D0263">
        <w:rPr>
          <w:rFonts w:ascii="Times New Roman" w:hAnsi="Times New Roman" w:cs="Times New Roman"/>
        </w:rPr>
        <w:t>SUDHAKAR</w:t>
      </w:r>
      <w:r w:rsidR="00A62A39">
        <w:rPr>
          <w:rFonts w:ascii="Times New Roman" w:hAnsi="Times New Roman" w:cs="Times New Roman"/>
        </w:rPr>
        <w:t xml:space="preserve">; </w:t>
      </w:r>
      <w:r w:rsidR="00A62A39" w:rsidRPr="005D0263">
        <w:rPr>
          <w:rFonts w:ascii="Times New Roman" w:hAnsi="Times New Roman" w:cs="Times New Roman"/>
        </w:rPr>
        <w:t>RICHARDSON</w:t>
      </w:r>
      <w:r w:rsidRPr="005D0263">
        <w:rPr>
          <w:rFonts w:ascii="Times New Roman" w:hAnsi="Times New Roman" w:cs="Times New Roman"/>
        </w:rPr>
        <w:t>, 2019).</w:t>
      </w:r>
    </w:p>
    <w:p w14:paraId="669A7DEC" w14:textId="1CFCD1F4" w:rsidR="00647C4E" w:rsidRPr="004974DB" w:rsidRDefault="00647C4E" w:rsidP="004974DB">
      <w:pPr>
        <w:pStyle w:val="Normal1"/>
        <w:spacing w:line="360" w:lineRule="auto"/>
        <w:jc w:val="both"/>
      </w:pPr>
      <w:r w:rsidRPr="00A62A39">
        <w:rPr>
          <w:rFonts w:ascii="Times New Roman" w:hAnsi="Times New Roman" w:cs="Times New Roman"/>
          <w:b/>
          <w:bCs/>
          <w:color w:val="000000" w:themeColor="text1"/>
          <w:sz w:val="24"/>
          <w:szCs w:val="24"/>
          <w:shd w:val="clear" w:color="auto" w:fill="FFFFFF"/>
        </w:rPr>
        <w:t xml:space="preserve">Terapia gênica. </w:t>
      </w:r>
      <w:r w:rsidRPr="00B87E15">
        <w:rPr>
          <w:rFonts w:ascii="Times New Roman" w:hAnsi="Times New Roman" w:cs="Times New Roman"/>
          <w:sz w:val="24"/>
          <w:szCs w:val="24"/>
          <w:shd w:val="clear" w:color="auto" w:fill="FFFFFF"/>
        </w:rPr>
        <w:t xml:space="preserve">A terapia gênica fornece benefícios terapêuticos por diversos meios, pela correção dos mecanismos patogênicos, </w:t>
      </w:r>
      <w:r>
        <w:rPr>
          <w:rFonts w:ascii="Times New Roman" w:hAnsi="Times New Roman" w:cs="Times New Roman"/>
          <w:sz w:val="24"/>
          <w:szCs w:val="24"/>
          <w:shd w:val="clear" w:color="auto" w:fill="FFFFFF"/>
        </w:rPr>
        <w:t>corrigir genes defeituosos com a introdução de genes saudáveis,</w:t>
      </w:r>
      <w:r w:rsidRPr="00B87E15">
        <w:rPr>
          <w:rFonts w:ascii="Times New Roman" w:hAnsi="Times New Roman" w:cs="Times New Roman"/>
          <w:sz w:val="24"/>
          <w:szCs w:val="24"/>
          <w:shd w:val="clear" w:color="auto" w:fill="FFFFFF"/>
        </w:rPr>
        <w:t xml:space="preserve"> controle dos sintomas. Com o aumento da compreensão da medicina molecular são desenvolvidos vetores de transferência de genes mais específicos e eficientes que produzem resultados clínicos. Também, abrange o uso de </w:t>
      </w:r>
      <w:r w:rsidRPr="00B87E15">
        <w:rPr>
          <w:rFonts w:ascii="Times New Roman" w:hAnsi="Times New Roman" w:cs="Times New Roman"/>
          <w:sz w:val="24"/>
          <w:szCs w:val="24"/>
        </w:rPr>
        <w:t>biomarcadores, que em sua maioria são marcadores moleculares para detectar traços genéticos específicos e orientar diferentes abordagens na prevenção e no tratamento de várias doenças (M</w:t>
      </w:r>
      <w:r w:rsidR="00A62A39" w:rsidRPr="00B87E15">
        <w:rPr>
          <w:rFonts w:ascii="Times New Roman" w:hAnsi="Times New Roman" w:cs="Times New Roman"/>
          <w:sz w:val="24"/>
          <w:szCs w:val="24"/>
        </w:rPr>
        <w:t>ORGANTI</w:t>
      </w:r>
      <w:r w:rsidRPr="00B87E15">
        <w:rPr>
          <w:rFonts w:ascii="Times New Roman" w:hAnsi="Times New Roman" w:cs="Times New Roman"/>
          <w:sz w:val="24"/>
          <w:szCs w:val="24"/>
        </w:rPr>
        <w:t xml:space="preserve"> </w:t>
      </w:r>
      <w:r w:rsidRPr="00A62A39">
        <w:rPr>
          <w:rFonts w:ascii="Times New Roman" w:hAnsi="Times New Roman" w:cs="Times New Roman"/>
          <w:sz w:val="24"/>
          <w:szCs w:val="24"/>
        </w:rPr>
        <w:t>et al</w:t>
      </w:r>
      <w:r w:rsidRPr="00B87E15">
        <w:rPr>
          <w:rFonts w:ascii="Times New Roman" w:hAnsi="Times New Roman" w:cs="Times New Roman"/>
          <w:i/>
          <w:iCs/>
          <w:sz w:val="24"/>
          <w:szCs w:val="24"/>
        </w:rPr>
        <w:t xml:space="preserve">., </w:t>
      </w:r>
      <w:r w:rsidRPr="00B87E15">
        <w:rPr>
          <w:rFonts w:ascii="Times New Roman" w:hAnsi="Times New Roman" w:cs="Times New Roman"/>
          <w:sz w:val="24"/>
          <w:szCs w:val="24"/>
        </w:rPr>
        <w:t>2019).</w:t>
      </w:r>
    </w:p>
    <w:p w14:paraId="4FDDB5ED" w14:textId="00B0A33E" w:rsidR="00647C4E" w:rsidRDefault="00647C4E" w:rsidP="00647C4E">
      <w:pPr>
        <w:pStyle w:val="Normal1"/>
        <w:spacing w:line="360" w:lineRule="auto"/>
        <w:jc w:val="both"/>
        <w:rPr>
          <w:rFonts w:ascii="Times New Roman" w:hAnsi="Times New Roman" w:cs="Times New Roman"/>
          <w:sz w:val="24"/>
          <w:szCs w:val="24"/>
          <w:shd w:val="clear" w:color="auto" w:fill="FFFFFF"/>
        </w:rPr>
      </w:pPr>
      <w:r w:rsidRPr="00C86C81">
        <w:rPr>
          <w:rFonts w:ascii="Times New Roman" w:hAnsi="Times New Roman" w:cs="Times New Roman"/>
          <w:b/>
          <w:bCs/>
          <w:color w:val="000000" w:themeColor="text1"/>
          <w:sz w:val="24"/>
          <w:szCs w:val="24"/>
          <w:shd w:val="clear" w:color="auto" w:fill="FFFFFF"/>
        </w:rPr>
        <w:t>Impressão tridimensional.</w:t>
      </w:r>
      <w:r w:rsidRPr="00C86C81">
        <w:rPr>
          <w:rFonts w:ascii="Times New Roman" w:hAnsi="Times New Roman" w:cs="Times New Roman"/>
          <w:color w:val="000000" w:themeColor="text1"/>
          <w:sz w:val="24"/>
          <w:szCs w:val="24"/>
          <w:shd w:val="clear" w:color="auto" w:fill="FFFFFF"/>
        </w:rPr>
        <w:t xml:space="preserve"> </w:t>
      </w:r>
      <w:r w:rsidRPr="00FB491B">
        <w:rPr>
          <w:rFonts w:ascii="Times New Roman" w:hAnsi="Times New Roman" w:cs="Times New Roman"/>
          <w:sz w:val="24"/>
          <w:szCs w:val="24"/>
          <w:shd w:val="clear" w:color="auto" w:fill="FFFFFF"/>
        </w:rPr>
        <w:t xml:space="preserve">São modelos de </w:t>
      </w:r>
      <w:r>
        <w:rPr>
          <w:rFonts w:ascii="Times New Roman" w:hAnsi="Times New Roman" w:cs="Times New Roman"/>
          <w:sz w:val="24"/>
          <w:szCs w:val="24"/>
          <w:shd w:val="clear" w:color="auto" w:fill="FFFFFF"/>
        </w:rPr>
        <w:t xml:space="preserve">órgãos bioartificiais que replicam a anatomia específica do paciente e têm desempenhado papeis importantes no diagnóstico médico e no tratamento de doenças. São produzidos em impressão tridimensional 3D. Podem ser utilizados em transplante de órgãos, evitando problemas relacionados à imunossupressão. A impressão tridimensional 3D integra a medicina, biotecnologia, biologia, física e engenharia mecânica, onde utilizam impressoras 3D e polímeros sintéticos no suporte nas atividades celulares e biomoleculares que dão suporte às atividades celulares biomoleculares. Os polímeros sintéticos biodegradáveis utilizados na produção de órgãos bioartificiais possuem excelentes propriedades mecânicas, estruturas químicas ajustáveis, taxas de degradação controláveis e material atóxico (Fan e Xiaohong, 2020). As tecnologias de impressão 3D são auxiliadas por </w:t>
      </w:r>
      <w:r w:rsidRPr="003B5F17">
        <w:rPr>
          <w:rFonts w:ascii="Times New Roman" w:hAnsi="Times New Roman" w:cs="Times New Roman"/>
          <w:i/>
          <w:iCs/>
          <w:sz w:val="24"/>
          <w:szCs w:val="24"/>
          <w:shd w:val="clear" w:color="auto" w:fill="FFFFFF"/>
        </w:rPr>
        <w:t>Computer Aided Design</w:t>
      </w:r>
      <w:r>
        <w:rPr>
          <w:rFonts w:ascii="Times New Roman" w:hAnsi="Times New Roman" w:cs="Times New Roman"/>
          <w:sz w:val="24"/>
          <w:szCs w:val="24"/>
          <w:shd w:val="clear" w:color="auto" w:fill="FFFFFF"/>
        </w:rPr>
        <w:t xml:space="preserve"> (CAD), produzindo estruturas complexas diretamente do projeto, com alta resolução e sofisticação, construindo objetos sólidos </w:t>
      </w:r>
      <w:r w:rsidRPr="00BF003B">
        <w:rPr>
          <w:rFonts w:ascii="Times New Roman" w:hAnsi="Times New Roman" w:cs="Times New Roman"/>
          <w:sz w:val="24"/>
          <w:szCs w:val="24"/>
          <w:shd w:val="clear" w:color="auto" w:fill="FFFFFF"/>
        </w:rPr>
        <w:t>por deposição incremental de material e fusão de finas camadas transversais.</w:t>
      </w:r>
      <w:r>
        <w:rPr>
          <w:rFonts w:ascii="Times New Roman" w:hAnsi="Times New Roman" w:cs="Times New Roman"/>
          <w:sz w:val="24"/>
          <w:szCs w:val="24"/>
          <w:shd w:val="clear" w:color="auto" w:fill="FFFFFF"/>
        </w:rPr>
        <w:t xml:space="preserve"> Também podem </w:t>
      </w:r>
      <w:r w:rsidRPr="009044C5">
        <w:rPr>
          <w:rFonts w:ascii="Times New Roman" w:hAnsi="Times New Roman" w:cs="Times New Roman"/>
          <w:sz w:val="24"/>
          <w:szCs w:val="24"/>
          <w:shd w:val="clear" w:color="auto" w:fill="FFFFFF"/>
        </w:rPr>
        <w:t>ser construídos utilizando hidrogeis ou soluções poliméricas carregadas de células (</w:t>
      </w:r>
      <w:r w:rsidR="00C86C81" w:rsidRPr="009044C5">
        <w:rPr>
          <w:rFonts w:ascii="Times New Roman" w:hAnsi="Times New Roman" w:cs="Times New Roman"/>
          <w:sz w:val="24"/>
          <w:szCs w:val="24"/>
          <w:shd w:val="clear" w:color="auto" w:fill="FFFFFF"/>
        </w:rPr>
        <w:t xml:space="preserve">WANG </w:t>
      </w:r>
      <w:r w:rsidRPr="00C86C81">
        <w:rPr>
          <w:rFonts w:ascii="Times New Roman" w:hAnsi="Times New Roman" w:cs="Times New Roman"/>
          <w:sz w:val="24"/>
          <w:szCs w:val="24"/>
          <w:shd w:val="clear" w:color="auto" w:fill="FFFFFF"/>
        </w:rPr>
        <w:t>et al.,</w:t>
      </w:r>
      <w:r>
        <w:rPr>
          <w:rFonts w:ascii="Times New Roman" w:hAnsi="Times New Roman" w:cs="Times New Roman"/>
          <w:i/>
          <w:iCs/>
          <w:sz w:val="24"/>
          <w:szCs w:val="24"/>
          <w:shd w:val="clear" w:color="auto" w:fill="FFFFFF"/>
        </w:rPr>
        <w:t xml:space="preserve"> </w:t>
      </w:r>
      <w:r w:rsidRPr="00C86C81">
        <w:rPr>
          <w:rFonts w:ascii="Times New Roman" w:hAnsi="Times New Roman" w:cs="Times New Roman"/>
          <w:sz w:val="24"/>
          <w:szCs w:val="24"/>
          <w:shd w:val="clear" w:color="auto" w:fill="FFFFFF"/>
        </w:rPr>
        <w:t>2007;</w:t>
      </w:r>
      <w:r w:rsidRPr="009044C5">
        <w:rPr>
          <w:rFonts w:ascii="Times New Roman" w:eastAsia="Times New Roman" w:hAnsi="Times New Roman" w:cs="Times New Roman"/>
          <w:color w:val="212121"/>
          <w:sz w:val="24"/>
          <w:szCs w:val="24"/>
        </w:rPr>
        <w:t xml:space="preserve"> </w:t>
      </w:r>
      <w:r w:rsidR="00C86C81" w:rsidRPr="00BF003B">
        <w:rPr>
          <w:rFonts w:ascii="Times New Roman" w:eastAsia="Times New Roman" w:hAnsi="Times New Roman" w:cs="Times New Roman"/>
          <w:color w:val="212121"/>
          <w:sz w:val="24"/>
          <w:szCs w:val="24"/>
        </w:rPr>
        <w:t>RICCI</w:t>
      </w:r>
      <w:r w:rsidR="00C86C81" w:rsidRPr="009044C5">
        <w:rPr>
          <w:rFonts w:ascii="Times New Roman" w:eastAsia="Times New Roman" w:hAnsi="Times New Roman" w:cs="Times New Roman"/>
          <w:color w:val="212121"/>
          <w:sz w:val="24"/>
          <w:szCs w:val="24"/>
        </w:rPr>
        <w:t xml:space="preserve"> </w:t>
      </w:r>
      <w:r w:rsidRPr="00C86C81">
        <w:rPr>
          <w:rFonts w:ascii="Times New Roman" w:eastAsia="Times New Roman" w:hAnsi="Times New Roman" w:cs="Times New Roman"/>
          <w:color w:val="212121"/>
          <w:sz w:val="24"/>
          <w:szCs w:val="24"/>
        </w:rPr>
        <w:t>et al., 2012</w:t>
      </w:r>
      <w:r>
        <w:rPr>
          <w:rFonts w:ascii="Times New Roman" w:eastAsia="Times New Roman" w:hAnsi="Times New Roman" w:cs="Times New Roman"/>
          <w:i/>
          <w:iCs/>
          <w:color w:val="212121"/>
          <w:sz w:val="24"/>
          <w:szCs w:val="24"/>
        </w:rPr>
        <w:t xml:space="preserve">; </w:t>
      </w:r>
      <w:r w:rsidR="00C86C81" w:rsidRPr="00D9477F">
        <w:rPr>
          <w:rFonts w:ascii="Times New Roman" w:eastAsia="Times New Roman" w:hAnsi="Times New Roman" w:cs="Times New Roman"/>
          <w:color w:val="212121"/>
          <w:sz w:val="24"/>
          <w:szCs w:val="24"/>
        </w:rPr>
        <w:t>WANG</w:t>
      </w:r>
      <w:r w:rsidR="00C86C81" w:rsidRPr="00A32EF7">
        <w:rPr>
          <w:rFonts w:ascii="Times New Roman" w:eastAsia="Times New Roman" w:hAnsi="Times New Roman" w:cs="Times New Roman"/>
          <w:color w:val="212121"/>
          <w:sz w:val="24"/>
          <w:szCs w:val="24"/>
        </w:rPr>
        <w:t xml:space="preserve"> </w:t>
      </w:r>
      <w:r w:rsidRPr="00C86C81">
        <w:rPr>
          <w:rFonts w:ascii="Times New Roman" w:eastAsia="Times New Roman" w:hAnsi="Times New Roman" w:cs="Times New Roman"/>
          <w:color w:val="212121"/>
          <w:sz w:val="24"/>
          <w:szCs w:val="24"/>
        </w:rPr>
        <w:t>et al.,</w:t>
      </w:r>
      <w:r w:rsidRPr="00A32EF7">
        <w:rPr>
          <w:rFonts w:ascii="Times New Roman" w:eastAsia="Times New Roman" w:hAnsi="Times New Roman" w:cs="Times New Roman"/>
          <w:color w:val="212121"/>
          <w:sz w:val="24"/>
          <w:szCs w:val="24"/>
        </w:rPr>
        <w:t xml:space="preserve"> 2010; </w:t>
      </w:r>
      <w:r w:rsidRPr="00D9477F">
        <w:rPr>
          <w:rFonts w:ascii="Times New Roman" w:eastAsia="Times New Roman" w:hAnsi="Times New Roman" w:cs="Times New Roman"/>
          <w:color w:val="212121"/>
          <w:sz w:val="24"/>
          <w:szCs w:val="24"/>
        </w:rPr>
        <w:t>Z</w:t>
      </w:r>
      <w:r w:rsidR="00C86C81" w:rsidRPr="00D9477F">
        <w:rPr>
          <w:rFonts w:ascii="Times New Roman" w:eastAsia="Times New Roman" w:hAnsi="Times New Roman" w:cs="Times New Roman"/>
          <w:color w:val="212121"/>
          <w:sz w:val="24"/>
          <w:szCs w:val="24"/>
        </w:rPr>
        <w:t>HAO</w:t>
      </w:r>
      <w:r w:rsidR="00C86C81" w:rsidRPr="00A32EF7">
        <w:rPr>
          <w:rFonts w:ascii="Times New Roman" w:eastAsia="Times New Roman" w:hAnsi="Times New Roman" w:cs="Times New Roman"/>
          <w:color w:val="212121"/>
          <w:sz w:val="24"/>
          <w:szCs w:val="24"/>
        </w:rPr>
        <w:t xml:space="preserve"> </w:t>
      </w:r>
      <w:r w:rsidRPr="00C86C81">
        <w:rPr>
          <w:rFonts w:ascii="Times New Roman" w:eastAsia="Times New Roman" w:hAnsi="Times New Roman" w:cs="Times New Roman"/>
          <w:color w:val="212121"/>
          <w:sz w:val="24"/>
          <w:szCs w:val="24"/>
        </w:rPr>
        <w:t xml:space="preserve">et al., </w:t>
      </w:r>
      <w:r w:rsidRPr="00A32EF7">
        <w:rPr>
          <w:rFonts w:ascii="Times New Roman" w:eastAsia="Times New Roman" w:hAnsi="Times New Roman" w:cs="Times New Roman"/>
          <w:color w:val="212121"/>
          <w:sz w:val="24"/>
          <w:szCs w:val="24"/>
        </w:rPr>
        <w:t xml:space="preserve">2016; </w:t>
      </w:r>
      <w:r w:rsidR="00C86C81" w:rsidRPr="00D9477F">
        <w:rPr>
          <w:rFonts w:ascii="Times New Roman" w:eastAsia="Times New Roman" w:hAnsi="Times New Roman" w:cs="Times New Roman"/>
          <w:color w:val="212121"/>
          <w:sz w:val="24"/>
          <w:szCs w:val="24"/>
        </w:rPr>
        <w:t>WANG</w:t>
      </w:r>
      <w:r w:rsidR="00C86C81" w:rsidRPr="00A32EF7">
        <w:rPr>
          <w:rFonts w:ascii="Times New Roman" w:eastAsia="Times New Roman" w:hAnsi="Times New Roman" w:cs="Times New Roman"/>
          <w:color w:val="212121"/>
          <w:sz w:val="24"/>
          <w:szCs w:val="24"/>
        </w:rPr>
        <w:t xml:space="preserve"> </w:t>
      </w:r>
      <w:r w:rsidRPr="00A32EF7">
        <w:rPr>
          <w:rFonts w:ascii="Times New Roman" w:eastAsia="Times New Roman" w:hAnsi="Times New Roman" w:cs="Times New Roman"/>
          <w:color w:val="212121"/>
          <w:sz w:val="24"/>
          <w:szCs w:val="24"/>
        </w:rPr>
        <w:t>et al., 201</w:t>
      </w:r>
      <w:r>
        <w:rPr>
          <w:rFonts w:ascii="Times New Roman" w:eastAsia="Times New Roman" w:hAnsi="Times New Roman" w:cs="Times New Roman"/>
          <w:color w:val="212121"/>
          <w:sz w:val="24"/>
          <w:szCs w:val="24"/>
        </w:rPr>
        <w:t>3</w:t>
      </w:r>
      <w:r w:rsidRPr="009044C5">
        <w:rPr>
          <w:rFonts w:ascii="Times New Roman" w:eastAsia="Times New Roman" w:hAnsi="Times New Roman" w:cs="Times New Roman"/>
          <w:i/>
          <w:iCs/>
          <w:color w:val="212121"/>
          <w:sz w:val="24"/>
          <w:szCs w:val="24"/>
        </w:rPr>
        <w:t>)</w:t>
      </w:r>
      <w:r w:rsidRPr="009044C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1B750A22" w14:textId="6D57750E" w:rsidR="00647C4E" w:rsidRDefault="00647C4E" w:rsidP="00647C4E">
      <w:pPr>
        <w:pStyle w:val="Normal1"/>
        <w:spacing w:line="360" w:lineRule="auto"/>
        <w:jc w:val="both"/>
        <w:rPr>
          <w:rFonts w:ascii="Cambria" w:hAnsi="Cambria"/>
          <w:color w:val="212121"/>
          <w:sz w:val="30"/>
          <w:szCs w:val="30"/>
          <w:shd w:val="clear" w:color="auto" w:fill="FFFFFF"/>
        </w:rPr>
      </w:pPr>
      <w:r>
        <w:rPr>
          <w:rFonts w:ascii="Times New Roman" w:hAnsi="Times New Roman" w:cs="Times New Roman"/>
          <w:sz w:val="24"/>
          <w:szCs w:val="24"/>
          <w:shd w:val="clear" w:color="auto" w:fill="FFFFFF"/>
        </w:rPr>
        <w:t xml:space="preserve">Os principais tipos de tecnologias 3D </w:t>
      </w:r>
      <w:r w:rsidRPr="002369CC">
        <w:rPr>
          <w:rFonts w:ascii="Times New Roman" w:hAnsi="Times New Roman" w:cs="Times New Roman"/>
          <w:sz w:val="24"/>
          <w:szCs w:val="24"/>
          <w:shd w:val="clear" w:color="auto" w:fill="FFFFFF"/>
        </w:rPr>
        <w:t xml:space="preserve">mais utilizadas para construção dos andaimes porosos são </w:t>
      </w:r>
      <w:r>
        <w:rPr>
          <w:rFonts w:ascii="Times New Roman" w:hAnsi="Times New Roman" w:cs="Times New Roman"/>
          <w:sz w:val="24"/>
          <w:szCs w:val="24"/>
          <w:shd w:val="clear" w:color="auto" w:fill="FFFFFF"/>
        </w:rPr>
        <w:t>que</w:t>
      </w:r>
      <w:r w:rsidRPr="002369C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utilizam polímeros sintéticos como materiais de partida; </w:t>
      </w:r>
      <w:r w:rsidRPr="002369CC">
        <w:rPr>
          <w:rFonts w:ascii="Times New Roman" w:hAnsi="Times New Roman" w:cs="Times New Roman"/>
          <w:sz w:val="24"/>
          <w:szCs w:val="24"/>
          <w:shd w:val="clear" w:color="auto" w:fill="FFFFFF"/>
        </w:rPr>
        <w:t xml:space="preserve">modelagem de deposição fundida; </w:t>
      </w:r>
      <w:r w:rsidRPr="000D21CE">
        <w:rPr>
          <w:rFonts w:ascii="Times New Roman" w:hAnsi="Times New Roman" w:cs="Times New Roman"/>
          <w:sz w:val="24"/>
          <w:szCs w:val="24"/>
          <w:shd w:val="clear" w:color="auto" w:fill="FFFFFF"/>
        </w:rPr>
        <w:t xml:space="preserve">impressão baseada em extrusão; estereolitografia; impressão baseada em jato de tinta; e </w:t>
      </w:r>
      <w:r w:rsidRPr="00632C03">
        <w:rPr>
          <w:rFonts w:ascii="Times New Roman" w:hAnsi="Times New Roman" w:cs="Times New Roman"/>
          <w:sz w:val="24"/>
          <w:szCs w:val="24"/>
          <w:shd w:val="clear" w:color="auto" w:fill="FFFFFF"/>
        </w:rPr>
        <w:t>impressão 3D assistida por laser (</w:t>
      </w:r>
      <w:r w:rsidR="003B5158" w:rsidRPr="00D9477F">
        <w:rPr>
          <w:rFonts w:ascii="Times New Roman" w:eastAsia="Times New Roman" w:hAnsi="Times New Roman" w:cs="Times New Roman"/>
          <w:sz w:val="24"/>
          <w:szCs w:val="24"/>
        </w:rPr>
        <w:t>WANG</w:t>
      </w:r>
      <w:r w:rsidRPr="00632C03">
        <w:rPr>
          <w:rFonts w:ascii="Times New Roman" w:eastAsia="Times New Roman" w:hAnsi="Times New Roman" w:cs="Times New Roman"/>
          <w:sz w:val="24"/>
          <w:szCs w:val="24"/>
        </w:rPr>
        <w:t xml:space="preserve"> et al., 2018). Os polímeros sintéticos mais utilizados são poli (ácido lático); poli (ácido glicólico); ácido polilático-co-glicólico; poliuretano; e policaprolactona (H</w:t>
      </w:r>
      <w:r w:rsidR="003B5158" w:rsidRPr="003B5158">
        <w:rPr>
          <w:rFonts w:ascii="Times New Roman" w:eastAsia="Times New Roman" w:hAnsi="Times New Roman" w:cs="Times New Roman"/>
          <w:sz w:val="24"/>
          <w:szCs w:val="24"/>
        </w:rPr>
        <w:t>UNG</w:t>
      </w:r>
      <w:r w:rsidRPr="003B5158">
        <w:rPr>
          <w:rFonts w:ascii="Times New Roman" w:eastAsia="Times New Roman" w:hAnsi="Times New Roman" w:cs="Times New Roman"/>
          <w:sz w:val="24"/>
          <w:szCs w:val="24"/>
        </w:rPr>
        <w:t xml:space="preserve"> et al., 2016; </w:t>
      </w:r>
      <w:r w:rsidR="003B5158" w:rsidRPr="003B5158">
        <w:rPr>
          <w:rFonts w:ascii="Times New Roman" w:eastAsia="Times New Roman" w:hAnsi="Times New Roman" w:cs="Times New Roman"/>
          <w:sz w:val="24"/>
          <w:szCs w:val="24"/>
        </w:rPr>
        <w:t>ESHRAGHI</w:t>
      </w:r>
      <w:r w:rsidRPr="003B5158">
        <w:rPr>
          <w:rFonts w:ascii="Times New Roman" w:eastAsia="Times New Roman" w:hAnsi="Times New Roman" w:cs="Times New Roman"/>
          <w:sz w:val="24"/>
          <w:szCs w:val="24"/>
        </w:rPr>
        <w:t xml:space="preserve"> et al., 2010; M</w:t>
      </w:r>
      <w:r w:rsidR="003B5158" w:rsidRPr="003B5158">
        <w:rPr>
          <w:rFonts w:ascii="Times New Roman" w:eastAsia="Times New Roman" w:hAnsi="Times New Roman" w:cs="Times New Roman"/>
          <w:sz w:val="24"/>
          <w:szCs w:val="24"/>
        </w:rPr>
        <w:t xml:space="preserve">OTT </w:t>
      </w:r>
      <w:r w:rsidRPr="003B5158">
        <w:rPr>
          <w:rFonts w:ascii="Times New Roman" w:eastAsia="Times New Roman" w:hAnsi="Times New Roman" w:cs="Times New Roman"/>
          <w:sz w:val="24"/>
          <w:szCs w:val="24"/>
        </w:rPr>
        <w:t xml:space="preserve">et al., 2015; </w:t>
      </w:r>
      <w:r w:rsidR="003B5158" w:rsidRPr="003B5158">
        <w:rPr>
          <w:rFonts w:ascii="Times New Roman" w:eastAsia="Times New Roman" w:hAnsi="Times New Roman" w:cs="Times New Roman"/>
          <w:sz w:val="24"/>
          <w:szCs w:val="24"/>
        </w:rPr>
        <w:t>SUN</w:t>
      </w:r>
      <w:r w:rsidRPr="003B5158">
        <w:rPr>
          <w:rFonts w:ascii="Times New Roman" w:eastAsia="Times New Roman" w:hAnsi="Times New Roman" w:cs="Times New Roman"/>
          <w:sz w:val="24"/>
          <w:szCs w:val="24"/>
        </w:rPr>
        <w:t xml:space="preserve"> et al., 2008; K</w:t>
      </w:r>
      <w:r w:rsidR="003B5158" w:rsidRPr="003B5158">
        <w:rPr>
          <w:rFonts w:ascii="Times New Roman" w:eastAsia="Times New Roman" w:hAnsi="Times New Roman" w:cs="Times New Roman"/>
          <w:sz w:val="24"/>
          <w:szCs w:val="24"/>
        </w:rPr>
        <w:t>RUTH</w:t>
      </w:r>
      <w:r w:rsidRPr="003B5158">
        <w:rPr>
          <w:rFonts w:ascii="Times New Roman" w:eastAsia="Times New Roman" w:hAnsi="Times New Roman" w:cs="Times New Roman"/>
          <w:sz w:val="24"/>
          <w:szCs w:val="24"/>
        </w:rPr>
        <w:t xml:space="preserve"> et al., 2008; </w:t>
      </w:r>
      <w:r w:rsidR="003B5158" w:rsidRPr="003B5158">
        <w:rPr>
          <w:rFonts w:ascii="Times New Roman" w:eastAsia="Times New Roman" w:hAnsi="Times New Roman" w:cs="Times New Roman"/>
          <w:color w:val="212121"/>
          <w:sz w:val="24"/>
          <w:szCs w:val="24"/>
        </w:rPr>
        <w:t>IFKOVITS</w:t>
      </w:r>
      <w:r w:rsidRPr="003B5158">
        <w:rPr>
          <w:rFonts w:ascii="Times New Roman" w:eastAsia="Times New Roman" w:hAnsi="Times New Roman" w:cs="Times New Roman"/>
          <w:color w:val="212121"/>
          <w:sz w:val="24"/>
          <w:szCs w:val="24"/>
        </w:rPr>
        <w:t xml:space="preserve"> et al., 2007; L</w:t>
      </w:r>
      <w:r w:rsidR="003B5158" w:rsidRPr="003B5158">
        <w:rPr>
          <w:rFonts w:ascii="Times New Roman" w:eastAsia="Times New Roman" w:hAnsi="Times New Roman" w:cs="Times New Roman"/>
          <w:color w:val="212121"/>
          <w:sz w:val="24"/>
          <w:szCs w:val="24"/>
        </w:rPr>
        <w:t>IGON</w:t>
      </w:r>
      <w:r w:rsidRPr="003B5158">
        <w:rPr>
          <w:rFonts w:ascii="Times New Roman" w:eastAsia="Times New Roman" w:hAnsi="Times New Roman" w:cs="Times New Roman"/>
          <w:color w:val="212121"/>
          <w:sz w:val="24"/>
          <w:szCs w:val="24"/>
        </w:rPr>
        <w:t xml:space="preserve"> et al., 2017</w:t>
      </w:r>
      <w:r w:rsidRPr="003B5158">
        <w:rPr>
          <w:rFonts w:ascii="Times New Roman" w:eastAsia="Times New Roman" w:hAnsi="Times New Roman" w:cs="Times New Roman"/>
          <w:sz w:val="24"/>
          <w:szCs w:val="24"/>
        </w:rPr>
        <w:t xml:space="preserve">). </w:t>
      </w:r>
      <w:r w:rsidRPr="003B5158">
        <w:rPr>
          <w:rFonts w:ascii="Cambria" w:hAnsi="Cambria"/>
          <w:color w:val="212121"/>
          <w:sz w:val="30"/>
          <w:szCs w:val="30"/>
          <w:shd w:val="clear" w:color="auto" w:fill="FFFFFF"/>
        </w:rPr>
        <w:t> </w:t>
      </w:r>
    </w:p>
    <w:p w14:paraId="74128042" w14:textId="302E500D" w:rsidR="00647C4E" w:rsidRPr="00094F9F" w:rsidRDefault="003B5158" w:rsidP="00647C4E">
      <w:pPr>
        <w:pStyle w:val="Normal1"/>
        <w:spacing w:line="360" w:lineRule="auto"/>
        <w:jc w:val="both"/>
        <w:rPr>
          <w:rFonts w:ascii="Times New Roman" w:hAnsi="Times New Roman" w:cs="Times New Roman"/>
          <w:color w:val="212121"/>
          <w:sz w:val="24"/>
          <w:szCs w:val="24"/>
          <w:shd w:val="clear" w:color="auto" w:fill="FFFFFF"/>
          <w:vertAlign w:val="superscript"/>
          <w14:textFill>
            <w14:solidFill>
              <w14:srgbClr w14:val="212121">
                <w14:lumMod w14:val="50000"/>
              </w14:srgbClr>
            </w14:solidFill>
          </w14:textFill>
        </w:rPr>
      </w:pPr>
      <w:r w:rsidRPr="003B5158">
        <w:rPr>
          <w:rFonts w:ascii="Times New Roman" w:hAnsi="Times New Roman" w:cs="Times New Roman"/>
          <w:b/>
          <w:bCs/>
          <w:color w:val="000000" w:themeColor="text1"/>
          <w:sz w:val="24"/>
          <w:szCs w:val="24"/>
          <w:shd w:val="clear" w:color="auto" w:fill="FFFFFF"/>
        </w:rPr>
        <w:t>Nanopartículas.</w:t>
      </w:r>
      <w:r w:rsidR="00647C4E" w:rsidRPr="003B5158">
        <w:rPr>
          <w:rFonts w:ascii="Times New Roman" w:hAnsi="Times New Roman" w:cs="Times New Roman"/>
          <w:color w:val="000000" w:themeColor="text1"/>
          <w:sz w:val="24"/>
          <w:szCs w:val="24"/>
          <w:shd w:val="clear" w:color="auto" w:fill="FFFFFF"/>
        </w:rPr>
        <w:t xml:space="preserve"> </w:t>
      </w:r>
      <w:r w:rsidR="00647C4E" w:rsidRPr="00094F9F">
        <w:rPr>
          <w:rFonts w:ascii="Times New Roman" w:hAnsi="Times New Roman" w:cs="Times New Roman"/>
          <w:sz w:val="24"/>
          <w:szCs w:val="24"/>
          <w:shd w:val="clear" w:color="auto" w:fill="FFFFFF"/>
        </w:rPr>
        <w:t>Nanopartículas são utilizadas para entrega de fármacos de uso terapêutico e diagnósticos. Lipossomas são utilizados para aumentar a precisão do diagnóstico, aumentar a eficácia terapêutica e reduzir eventos adversos</w:t>
      </w:r>
      <w:r w:rsidR="00647C4E">
        <w:rPr>
          <w:rFonts w:ascii="Times New Roman" w:hAnsi="Times New Roman" w:cs="Times New Roman"/>
          <w:sz w:val="24"/>
          <w:szCs w:val="24"/>
          <w:shd w:val="clear" w:color="auto" w:fill="FFFFFF"/>
        </w:rPr>
        <w:t xml:space="preserve"> (</w:t>
      </w:r>
      <w:r w:rsidRPr="0064785C">
        <w:rPr>
          <w:rFonts w:ascii="Times New Roman" w:hAnsi="Times New Roman" w:cs="Times New Roman"/>
          <w:sz w:val="24"/>
          <w:szCs w:val="24"/>
          <w:shd w:val="clear" w:color="auto" w:fill="FFFFFF"/>
        </w:rPr>
        <w:t>VAN DER MEEL</w:t>
      </w:r>
      <w:r w:rsidR="00647C4E">
        <w:rPr>
          <w:rFonts w:ascii="Times New Roman" w:hAnsi="Times New Roman" w:cs="Times New Roman"/>
          <w:i/>
          <w:iCs/>
          <w:sz w:val="24"/>
          <w:szCs w:val="24"/>
          <w:shd w:val="clear" w:color="auto" w:fill="FFFFFF"/>
        </w:rPr>
        <w:t xml:space="preserve"> </w:t>
      </w:r>
      <w:r w:rsidR="00647C4E" w:rsidRPr="003B5158">
        <w:rPr>
          <w:rFonts w:ascii="Times New Roman" w:hAnsi="Times New Roman" w:cs="Times New Roman"/>
          <w:sz w:val="24"/>
          <w:szCs w:val="24"/>
          <w:shd w:val="clear" w:color="auto" w:fill="FFFFFF"/>
        </w:rPr>
        <w:t>et al.,</w:t>
      </w:r>
      <w:r w:rsidR="00647C4E">
        <w:rPr>
          <w:rFonts w:ascii="Times New Roman" w:hAnsi="Times New Roman" w:cs="Times New Roman"/>
          <w:i/>
          <w:iCs/>
          <w:sz w:val="24"/>
          <w:szCs w:val="24"/>
          <w:shd w:val="clear" w:color="auto" w:fill="FFFFFF"/>
        </w:rPr>
        <w:t xml:space="preserve"> </w:t>
      </w:r>
      <w:r w:rsidR="00647C4E" w:rsidRPr="0064785C">
        <w:rPr>
          <w:rFonts w:ascii="Times New Roman" w:hAnsi="Times New Roman" w:cs="Times New Roman"/>
          <w:sz w:val="24"/>
          <w:szCs w:val="24"/>
          <w:shd w:val="clear" w:color="auto" w:fill="FFFFFF"/>
        </w:rPr>
        <w:t>2019</w:t>
      </w:r>
      <w:r w:rsidR="00647C4E">
        <w:rPr>
          <w:rFonts w:ascii="Times New Roman" w:hAnsi="Times New Roman" w:cs="Times New Roman"/>
          <w:sz w:val="24"/>
          <w:szCs w:val="24"/>
          <w:shd w:val="clear" w:color="auto" w:fill="FFFFFF"/>
        </w:rPr>
        <w:t xml:space="preserve">, </w:t>
      </w:r>
      <w:r w:rsidRPr="00967ACE">
        <w:rPr>
          <w:rFonts w:ascii="Times New Roman" w:hAnsi="Times New Roman" w:cs="Times New Roman"/>
          <w:sz w:val="24"/>
          <w:szCs w:val="24"/>
          <w:shd w:val="clear" w:color="auto" w:fill="FFFFFF"/>
        </w:rPr>
        <w:t>IRVINE</w:t>
      </w:r>
      <w:r>
        <w:rPr>
          <w:rFonts w:ascii="Times New Roman" w:hAnsi="Times New Roman" w:cs="Times New Roman"/>
          <w:sz w:val="24"/>
          <w:szCs w:val="24"/>
          <w:shd w:val="clear" w:color="auto" w:fill="FFFFFF"/>
        </w:rPr>
        <w:t>; DANE</w:t>
      </w:r>
      <w:r w:rsidR="00647C4E">
        <w:rPr>
          <w:rFonts w:ascii="Times New Roman" w:hAnsi="Times New Roman" w:cs="Times New Roman"/>
          <w:sz w:val="24"/>
          <w:szCs w:val="24"/>
          <w:shd w:val="clear" w:color="auto" w:fill="FFFFFF"/>
        </w:rPr>
        <w:t xml:space="preserve">, 2020; </w:t>
      </w:r>
      <w:r w:rsidRPr="00967ACE">
        <w:rPr>
          <w:rFonts w:ascii="Times New Roman" w:hAnsi="Times New Roman" w:cs="Times New Roman"/>
          <w:sz w:val="24"/>
          <w:szCs w:val="24"/>
          <w:shd w:val="clear" w:color="auto" w:fill="FFFFFF"/>
        </w:rPr>
        <w:t>JAIN</w:t>
      </w:r>
      <w:r>
        <w:rPr>
          <w:rFonts w:ascii="Times New Roman" w:hAnsi="Times New Roman" w:cs="Times New Roman"/>
          <w:sz w:val="24"/>
          <w:szCs w:val="24"/>
          <w:shd w:val="clear" w:color="auto" w:fill="FFFFFF"/>
        </w:rPr>
        <w:t xml:space="preserve">; </w:t>
      </w:r>
      <w:r w:rsidRPr="00967ACE">
        <w:rPr>
          <w:rFonts w:ascii="Times New Roman" w:hAnsi="Times New Roman" w:cs="Times New Roman"/>
          <w:sz w:val="24"/>
          <w:szCs w:val="24"/>
          <w:shd w:val="clear" w:color="auto" w:fill="FFFFFF"/>
        </w:rPr>
        <w:t>STYLIANOPOULOS</w:t>
      </w:r>
      <w:r>
        <w:rPr>
          <w:rFonts w:ascii="Times New Roman" w:hAnsi="Times New Roman" w:cs="Times New Roman"/>
          <w:sz w:val="24"/>
          <w:szCs w:val="24"/>
          <w:shd w:val="clear" w:color="auto" w:fill="FFFFFF"/>
        </w:rPr>
        <w:t xml:space="preserve">, </w:t>
      </w:r>
      <w:r w:rsidR="00647C4E">
        <w:rPr>
          <w:rFonts w:ascii="Times New Roman" w:hAnsi="Times New Roman" w:cs="Times New Roman"/>
          <w:sz w:val="24"/>
          <w:szCs w:val="24"/>
          <w:shd w:val="clear" w:color="auto" w:fill="FFFFFF"/>
        </w:rPr>
        <w:t>2010</w:t>
      </w:r>
      <w:r w:rsidR="00647C4E" w:rsidRPr="0064785C">
        <w:rPr>
          <w:rFonts w:ascii="Times New Roman" w:hAnsi="Times New Roman" w:cs="Times New Roman"/>
          <w:sz w:val="24"/>
          <w:szCs w:val="24"/>
          <w:shd w:val="clear" w:color="auto" w:fill="FFFFFF"/>
        </w:rPr>
        <w:t>)</w:t>
      </w:r>
      <w:r w:rsidR="00647C4E" w:rsidRPr="00094F9F">
        <w:rPr>
          <w:rFonts w:ascii="Times New Roman" w:hAnsi="Times New Roman" w:cs="Times New Roman"/>
          <w:sz w:val="24"/>
          <w:szCs w:val="24"/>
          <w:shd w:val="clear" w:color="auto" w:fill="FFFFFF"/>
        </w:rPr>
        <w:t>.  Lipossomas são utilizados para alcançar esses benefícios no tratamento oncológico (Doxil), enquanto outras nanopartículas lipídicas portadoras de RNA mensageiro são potencialmente utilizadas para a produção de vacinas</w:t>
      </w:r>
      <w:r w:rsidR="00647C4E">
        <w:rPr>
          <w:rFonts w:ascii="Times New Roman" w:hAnsi="Times New Roman" w:cs="Times New Roman"/>
          <w:sz w:val="24"/>
          <w:szCs w:val="24"/>
          <w:shd w:val="clear" w:color="auto" w:fill="FFFFFF"/>
        </w:rPr>
        <w:t xml:space="preserve"> (</w:t>
      </w:r>
      <w:r w:rsidRPr="00967ACE">
        <w:rPr>
          <w:rFonts w:ascii="Times New Roman" w:hAnsi="Times New Roman" w:cs="Times New Roman"/>
          <w:sz w:val="24"/>
          <w:szCs w:val="24"/>
          <w:shd w:val="clear" w:color="auto" w:fill="FFFFFF"/>
        </w:rPr>
        <w:t>COHEN</w:t>
      </w:r>
      <w:r>
        <w:rPr>
          <w:rFonts w:ascii="Times New Roman" w:hAnsi="Times New Roman" w:cs="Times New Roman"/>
          <w:sz w:val="24"/>
          <w:szCs w:val="24"/>
          <w:shd w:val="clear" w:color="auto" w:fill="FFFFFF"/>
        </w:rPr>
        <w:t xml:space="preserve">, </w:t>
      </w:r>
      <w:r w:rsidR="00647C4E">
        <w:rPr>
          <w:rFonts w:ascii="Times New Roman" w:hAnsi="Times New Roman" w:cs="Times New Roman"/>
          <w:sz w:val="24"/>
          <w:szCs w:val="24"/>
          <w:shd w:val="clear" w:color="auto" w:fill="FFFFFF"/>
        </w:rPr>
        <w:t xml:space="preserve">2020; </w:t>
      </w:r>
      <w:r w:rsidRPr="00967ACE">
        <w:rPr>
          <w:rFonts w:ascii="Times New Roman" w:hAnsi="Times New Roman" w:cs="Times New Roman"/>
          <w:sz w:val="24"/>
          <w:szCs w:val="24"/>
          <w:shd w:val="clear" w:color="auto" w:fill="FFFFFF"/>
        </w:rPr>
        <w:t>ROSENBLUM</w:t>
      </w:r>
      <w:r w:rsidR="00647C4E" w:rsidRPr="00967ACE">
        <w:rPr>
          <w:rFonts w:ascii="Times New Roman" w:hAnsi="Times New Roman" w:cs="Times New Roman"/>
          <w:sz w:val="24"/>
          <w:szCs w:val="24"/>
          <w:shd w:val="clear" w:color="auto" w:fill="FFFFFF"/>
        </w:rPr>
        <w:t xml:space="preserve"> </w:t>
      </w:r>
      <w:r w:rsidR="00647C4E">
        <w:rPr>
          <w:rFonts w:ascii="Times New Roman" w:hAnsi="Times New Roman" w:cs="Times New Roman"/>
          <w:i/>
          <w:iCs/>
          <w:sz w:val="24"/>
          <w:szCs w:val="24"/>
          <w:shd w:val="clear" w:color="auto" w:fill="FFFFFF"/>
        </w:rPr>
        <w:t xml:space="preserve"> </w:t>
      </w:r>
      <w:r w:rsidR="00647C4E" w:rsidRPr="003B5158">
        <w:rPr>
          <w:rFonts w:ascii="Times New Roman" w:hAnsi="Times New Roman" w:cs="Times New Roman"/>
          <w:sz w:val="24"/>
          <w:szCs w:val="24"/>
          <w:shd w:val="clear" w:color="auto" w:fill="FFFFFF"/>
        </w:rPr>
        <w:t>et al.,</w:t>
      </w:r>
      <w:r w:rsidR="00647C4E">
        <w:rPr>
          <w:rFonts w:ascii="Times New Roman" w:hAnsi="Times New Roman" w:cs="Times New Roman"/>
          <w:i/>
          <w:iCs/>
          <w:sz w:val="24"/>
          <w:szCs w:val="24"/>
          <w:shd w:val="clear" w:color="auto" w:fill="FFFFFF"/>
        </w:rPr>
        <w:t xml:space="preserve"> </w:t>
      </w:r>
      <w:r w:rsidR="00647C4E">
        <w:rPr>
          <w:rFonts w:ascii="Times New Roman" w:hAnsi="Times New Roman" w:cs="Times New Roman"/>
          <w:sz w:val="24"/>
          <w:szCs w:val="24"/>
          <w:shd w:val="clear" w:color="auto" w:fill="FFFFFF"/>
        </w:rPr>
        <w:t xml:space="preserve">2018; </w:t>
      </w:r>
      <w:r w:rsidRPr="00967ACE">
        <w:rPr>
          <w:rFonts w:ascii="Times New Roman" w:hAnsi="Times New Roman" w:cs="Times New Roman"/>
          <w:sz w:val="24"/>
          <w:szCs w:val="24"/>
          <w:shd w:val="clear" w:color="auto" w:fill="FFFFFF"/>
        </w:rPr>
        <w:t>LAM</w:t>
      </w:r>
      <w:r w:rsidR="00647C4E">
        <w:rPr>
          <w:rFonts w:ascii="Times New Roman" w:hAnsi="Times New Roman" w:cs="Times New Roman"/>
          <w:sz w:val="24"/>
          <w:szCs w:val="24"/>
          <w:shd w:val="clear" w:color="auto" w:fill="FFFFFF"/>
        </w:rPr>
        <w:t xml:space="preserve"> </w:t>
      </w:r>
      <w:r w:rsidR="00647C4E" w:rsidRPr="003B5158">
        <w:rPr>
          <w:rFonts w:ascii="Times New Roman" w:hAnsi="Times New Roman" w:cs="Times New Roman"/>
          <w:sz w:val="24"/>
          <w:szCs w:val="24"/>
          <w:shd w:val="clear" w:color="auto" w:fill="FFFFFF"/>
        </w:rPr>
        <w:t>et al</w:t>
      </w:r>
      <w:r w:rsidR="00647C4E">
        <w:rPr>
          <w:rFonts w:ascii="Times New Roman" w:hAnsi="Times New Roman" w:cs="Times New Roman"/>
          <w:i/>
          <w:iCs/>
          <w:sz w:val="24"/>
          <w:szCs w:val="24"/>
          <w:shd w:val="clear" w:color="auto" w:fill="FFFFFF"/>
        </w:rPr>
        <w:t xml:space="preserve">., </w:t>
      </w:r>
      <w:r w:rsidR="00647C4E">
        <w:rPr>
          <w:rFonts w:ascii="Times New Roman" w:hAnsi="Times New Roman" w:cs="Times New Roman"/>
          <w:sz w:val="24"/>
          <w:szCs w:val="24"/>
          <w:shd w:val="clear" w:color="auto" w:fill="FFFFFF"/>
        </w:rPr>
        <w:t>2018).</w:t>
      </w:r>
      <w:r w:rsidR="00647C4E" w:rsidRPr="00094F9F">
        <w:rPr>
          <w:rFonts w:ascii="Times New Roman" w:hAnsi="Times New Roman" w:cs="Times New Roman"/>
          <w:color w:val="212121"/>
          <w:sz w:val="24"/>
          <w:szCs w:val="24"/>
          <w:shd w:val="clear" w:color="auto" w:fill="FFFFFF"/>
          <w:vertAlign w:val="superscript"/>
        </w:rPr>
        <w:t>.</w:t>
      </w:r>
      <w:r w:rsidR="00647C4E" w:rsidRPr="00094F9F">
        <w:rPr>
          <w:rFonts w:ascii="Times New Roman" w:hAnsi="Times New Roman" w:cs="Times New Roman"/>
          <w:color w:val="212121"/>
          <w:sz w:val="24"/>
          <w:szCs w:val="24"/>
          <w:shd w:val="clear" w:color="auto" w:fill="FFFFFF"/>
        </w:rPr>
        <w:t>Além disso, são utilizadas para a entrega de fármacos, genes e nanocarreadores para agentes de contraste de imagem e fármacos não opioides para tratar a dor crônica</w:t>
      </w:r>
      <w:r w:rsidR="00647C4E">
        <w:rPr>
          <w:rFonts w:ascii="Times New Roman" w:hAnsi="Times New Roman" w:cs="Times New Roman"/>
          <w:color w:val="212121"/>
          <w:sz w:val="24"/>
          <w:szCs w:val="24"/>
          <w:shd w:val="clear" w:color="auto" w:fill="FFFFFF"/>
        </w:rPr>
        <w:t xml:space="preserve"> (</w:t>
      </w:r>
      <w:r w:rsidRPr="005E3C00">
        <w:rPr>
          <w:rFonts w:ascii="Times New Roman" w:hAnsi="Times New Roman" w:cs="Times New Roman"/>
          <w:color w:val="212121"/>
          <w:sz w:val="24"/>
          <w:szCs w:val="24"/>
          <w:shd w:val="clear" w:color="auto" w:fill="FFFFFF"/>
        </w:rPr>
        <w:t>RAMIREZ‐GARCIA</w:t>
      </w:r>
      <w:r>
        <w:rPr>
          <w:rFonts w:ascii="Times New Roman" w:hAnsi="Times New Roman" w:cs="Times New Roman"/>
          <w:color w:val="212121"/>
          <w:sz w:val="24"/>
          <w:szCs w:val="24"/>
          <w:shd w:val="clear" w:color="auto" w:fill="FFFFFF"/>
        </w:rPr>
        <w:t xml:space="preserve"> </w:t>
      </w:r>
      <w:r w:rsidR="00647C4E" w:rsidRPr="003B5158">
        <w:rPr>
          <w:rFonts w:ascii="Times New Roman" w:hAnsi="Times New Roman" w:cs="Times New Roman"/>
          <w:color w:val="212121"/>
          <w:sz w:val="24"/>
          <w:szCs w:val="24"/>
          <w:shd w:val="clear" w:color="auto" w:fill="FFFFFF"/>
        </w:rPr>
        <w:t>et al.,</w:t>
      </w:r>
      <w:r w:rsidR="00647C4E">
        <w:rPr>
          <w:rFonts w:ascii="Times New Roman" w:hAnsi="Times New Roman" w:cs="Times New Roman"/>
          <w:i/>
          <w:iCs/>
          <w:color w:val="212121"/>
          <w:sz w:val="24"/>
          <w:szCs w:val="24"/>
          <w:shd w:val="clear" w:color="auto" w:fill="FFFFFF"/>
        </w:rPr>
        <w:t xml:space="preserve"> </w:t>
      </w:r>
      <w:r w:rsidR="00647C4E">
        <w:rPr>
          <w:rFonts w:ascii="Times New Roman" w:hAnsi="Times New Roman" w:cs="Times New Roman"/>
          <w:color w:val="212121"/>
          <w:sz w:val="24"/>
          <w:szCs w:val="24"/>
          <w:shd w:val="clear" w:color="auto" w:fill="FFFFFF"/>
        </w:rPr>
        <w:t xml:space="preserve">2019; </w:t>
      </w:r>
      <w:r w:rsidR="00647C4E" w:rsidRPr="00F77417">
        <w:rPr>
          <w:rFonts w:ascii="Times New Roman" w:hAnsi="Times New Roman" w:cs="Times New Roman"/>
          <w:color w:val="212121"/>
          <w:sz w:val="24"/>
          <w:szCs w:val="24"/>
          <w:shd w:val="clear" w:color="auto" w:fill="FFFFFF"/>
        </w:rPr>
        <w:t>E</w:t>
      </w:r>
      <w:r w:rsidRPr="00F77417">
        <w:rPr>
          <w:rFonts w:ascii="Times New Roman" w:hAnsi="Times New Roman" w:cs="Times New Roman"/>
          <w:color w:val="212121"/>
          <w:sz w:val="24"/>
          <w:szCs w:val="24"/>
          <w:shd w:val="clear" w:color="auto" w:fill="FFFFFF"/>
        </w:rPr>
        <w:t>SSER</w:t>
      </w:r>
      <w:r w:rsidR="00647C4E">
        <w:rPr>
          <w:rFonts w:ascii="Times New Roman" w:hAnsi="Times New Roman" w:cs="Times New Roman"/>
          <w:color w:val="212121"/>
          <w:sz w:val="24"/>
          <w:szCs w:val="24"/>
          <w:shd w:val="clear" w:color="auto" w:fill="FFFFFF"/>
        </w:rPr>
        <w:t xml:space="preserve"> </w:t>
      </w:r>
      <w:r w:rsidR="00647C4E" w:rsidRPr="003B5158">
        <w:rPr>
          <w:rFonts w:ascii="Times New Roman" w:hAnsi="Times New Roman" w:cs="Times New Roman"/>
          <w:color w:val="212121"/>
          <w:sz w:val="24"/>
          <w:szCs w:val="24"/>
          <w:shd w:val="clear" w:color="auto" w:fill="FFFFFF"/>
        </w:rPr>
        <w:t>et al.,</w:t>
      </w:r>
      <w:r w:rsidR="00647C4E">
        <w:rPr>
          <w:rFonts w:ascii="Times New Roman" w:hAnsi="Times New Roman" w:cs="Times New Roman"/>
          <w:i/>
          <w:iCs/>
          <w:color w:val="212121"/>
          <w:sz w:val="24"/>
          <w:szCs w:val="24"/>
          <w:shd w:val="clear" w:color="auto" w:fill="FFFFFF"/>
        </w:rPr>
        <w:t xml:space="preserve"> </w:t>
      </w:r>
      <w:r w:rsidR="00647C4E">
        <w:rPr>
          <w:rFonts w:ascii="Times New Roman" w:hAnsi="Times New Roman" w:cs="Times New Roman"/>
          <w:color w:val="212121"/>
          <w:sz w:val="24"/>
          <w:szCs w:val="24"/>
          <w:shd w:val="clear" w:color="auto" w:fill="FFFFFF"/>
        </w:rPr>
        <w:t xml:space="preserve">2016; </w:t>
      </w:r>
      <w:r w:rsidRPr="00F77417">
        <w:rPr>
          <w:rFonts w:ascii="Times New Roman" w:hAnsi="Times New Roman" w:cs="Times New Roman"/>
          <w:color w:val="212121"/>
          <w:sz w:val="24"/>
          <w:szCs w:val="24"/>
          <w:shd w:val="clear" w:color="auto" w:fill="FFFFFF"/>
        </w:rPr>
        <w:t>TRUONG</w:t>
      </w:r>
      <w:r>
        <w:rPr>
          <w:rFonts w:ascii="Times New Roman" w:hAnsi="Times New Roman" w:cs="Times New Roman"/>
          <w:color w:val="212121"/>
          <w:sz w:val="24"/>
          <w:szCs w:val="24"/>
          <w:shd w:val="clear" w:color="auto" w:fill="FFFFFF"/>
        </w:rPr>
        <w:t xml:space="preserve"> </w:t>
      </w:r>
      <w:r w:rsidR="00647C4E" w:rsidRPr="003B5158">
        <w:rPr>
          <w:rFonts w:ascii="Times New Roman" w:hAnsi="Times New Roman" w:cs="Times New Roman"/>
          <w:color w:val="212121"/>
          <w:sz w:val="24"/>
          <w:szCs w:val="24"/>
          <w:shd w:val="clear" w:color="auto" w:fill="FFFFFF"/>
        </w:rPr>
        <w:t>et al.,</w:t>
      </w:r>
      <w:r w:rsidR="00647C4E">
        <w:rPr>
          <w:rFonts w:ascii="Times New Roman" w:hAnsi="Times New Roman" w:cs="Times New Roman"/>
          <w:i/>
          <w:iCs/>
          <w:color w:val="212121"/>
          <w:sz w:val="24"/>
          <w:szCs w:val="24"/>
          <w:shd w:val="clear" w:color="auto" w:fill="FFFFFF"/>
        </w:rPr>
        <w:t xml:space="preserve"> </w:t>
      </w:r>
      <w:r w:rsidR="00647C4E">
        <w:rPr>
          <w:rFonts w:ascii="Times New Roman" w:hAnsi="Times New Roman" w:cs="Times New Roman"/>
          <w:color w:val="212121"/>
          <w:sz w:val="24"/>
          <w:szCs w:val="24"/>
          <w:shd w:val="clear" w:color="auto" w:fill="FFFFFF"/>
        </w:rPr>
        <w:t>2013).</w:t>
      </w:r>
    </w:p>
    <w:p w14:paraId="04CF4FE1" w14:textId="5321010F" w:rsidR="00647C4E" w:rsidRDefault="00647C4E" w:rsidP="00647C4E">
      <w:pPr>
        <w:pStyle w:val="Normal1"/>
        <w:spacing w:line="360" w:lineRule="auto"/>
        <w:jc w:val="both"/>
        <w:rPr>
          <w:rFonts w:ascii="Times New Roman" w:hAnsi="Times New Roman" w:cs="Times New Roman"/>
          <w:sz w:val="24"/>
          <w:szCs w:val="24"/>
          <w:shd w:val="clear" w:color="auto" w:fill="FFFFFF"/>
        </w:rPr>
      </w:pPr>
      <w:r w:rsidRPr="00094F9F">
        <w:rPr>
          <w:rFonts w:ascii="Times New Roman" w:hAnsi="Times New Roman" w:cs="Times New Roman"/>
          <w:sz w:val="24"/>
          <w:szCs w:val="24"/>
          <w:shd w:val="clear" w:color="auto" w:fill="FFFFFF"/>
        </w:rPr>
        <w:t xml:space="preserve">A metodologia aplicada a lipossonas e nanopartículas poliméricas é caracterizada pela marcação com fluorescência e sangue humano. Sendo injetados em uma rede microvascular sintética com uma geometria complexa de microcanais projetados para imitar os vasos sanguíneos. O sangue humano contendo nanopartículas é posteriormente coletado e incubado com uma mistura de anticorpos marcados com fluorescência criteriosamente selecionados. Cada anticorpo se liga a um tipo específico de célula no sangue, permitindo a identificação de interações celulares por citometria de fluxo </w:t>
      </w:r>
      <w:r w:rsidR="003B5158" w:rsidRPr="00094F9F">
        <w:rPr>
          <w:rFonts w:ascii="Times New Roman" w:hAnsi="Times New Roman" w:cs="Times New Roman"/>
          <w:sz w:val="24"/>
          <w:szCs w:val="24"/>
          <w:shd w:val="clear" w:color="auto" w:fill="FFFFFF"/>
        </w:rPr>
        <w:t xml:space="preserve">(MAI </w:t>
      </w:r>
      <w:r w:rsidRPr="003B5158">
        <w:rPr>
          <w:rFonts w:ascii="Times New Roman" w:hAnsi="Times New Roman" w:cs="Times New Roman"/>
          <w:sz w:val="24"/>
          <w:szCs w:val="24"/>
          <w:shd w:val="clear" w:color="auto" w:fill="FFFFFF"/>
        </w:rPr>
        <w:t>et al.,</w:t>
      </w:r>
      <w:r w:rsidRPr="00094F9F">
        <w:rPr>
          <w:rFonts w:ascii="Times New Roman" w:hAnsi="Times New Roman" w:cs="Times New Roman"/>
          <w:sz w:val="24"/>
          <w:szCs w:val="24"/>
          <w:shd w:val="clear" w:color="auto" w:fill="FFFFFF"/>
        </w:rPr>
        <w:t xml:space="preserve"> 2020). </w:t>
      </w:r>
    </w:p>
    <w:p w14:paraId="20380D6F" w14:textId="0F7AC05A" w:rsidR="00647C4E" w:rsidRDefault="00647C4E" w:rsidP="00647C4E">
      <w:pPr>
        <w:pStyle w:val="Normal1"/>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Para a produção de nanopartículas é necessário fazer a s</w:t>
      </w:r>
      <w:r w:rsidRPr="0064785C">
        <w:rPr>
          <w:rFonts w:ascii="Times New Roman" w:hAnsi="Times New Roman" w:cs="Times New Roman"/>
          <w:sz w:val="24"/>
          <w:szCs w:val="24"/>
          <w:shd w:val="clear" w:color="auto" w:fill="FFFFFF"/>
        </w:rPr>
        <w:t xml:space="preserve">íntese e </w:t>
      </w:r>
      <w:r>
        <w:rPr>
          <w:rFonts w:ascii="Times New Roman" w:hAnsi="Times New Roman" w:cs="Times New Roman"/>
          <w:sz w:val="24"/>
          <w:szCs w:val="24"/>
          <w:shd w:val="clear" w:color="auto" w:fill="FFFFFF"/>
        </w:rPr>
        <w:t>a c</w:t>
      </w:r>
      <w:r w:rsidRPr="0064785C">
        <w:rPr>
          <w:rFonts w:ascii="Times New Roman" w:hAnsi="Times New Roman" w:cs="Times New Roman"/>
          <w:sz w:val="24"/>
          <w:szCs w:val="24"/>
          <w:shd w:val="clear" w:color="auto" w:fill="FFFFFF"/>
        </w:rPr>
        <w:t xml:space="preserve">aracterização de </w:t>
      </w:r>
      <w:r>
        <w:rPr>
          <w:rFonts w:ascii="Times New Roman" w:hAnsi="Times New Roman" w:cs="Times New Roman"/>
          <w:sz w:val="24"/>
          <w:szCs w:val="24"/>
          <w:shd w:val="clear" w:color="auto" w:fill="FFFFFF"/>
        </w:rPr>
        <w:t>n</w:t>
      </w:r>
      <w:r w:rsidRPr="0064785C">
        <w:rPr>
          <w:rFonts w:ascii="Times New Roman" w:hAnsi="Times New Roman" w:cs="Times New Roman"/>
          <w:sz w:val="24"/>
          <w:szCs w:val="24"/>
          <w:shd w:val="clear" w:color="auto" w:fill="FFFFFF"/>
        </w:rPr>
        <w:t>anopartículas</w:t>
      </w:r>
      <w:r>
        <w:rPr>
          <w:rFonts w:ascii="Times New Roman" w:hAnsi="Times New Roman" w:cs="Times New Roman"/>
          <w:sz w:val="24"/>
          <w:szCs w:val="24"/>
          <w:shd w:val="clear" w:color="auto" w:fill="FFFFFF"/>
        </w:rPr>
        <w:t>; estabelecer o m</w:t>
      </w:r>
      <w:r w:rsidRPr="0064785C">
        <w:rPr>
          <w:rFonts w:ascii="Times New Roman" w:hAnsi="Times New Roman" w:cs="Times New Roman"/>
          <w:sz w:val="24"/>
          <w:szCs w:val="24"/>
          <w:shd w:val="clear" w:color="auto" w:fill="FFFFFF"/>
        </w:rPr>
        <w:t xml:space="preserve">étodo de </w:t>
      </w:r>
      <w:r>
        <w:rPr>
          <w:rFonts w:ascii="Times New Roman" w:hAnsi="Times New Roman" w:cs="Times New Roman"/>
          <w:sz w:val="24"/>
          <w:szCs w:val="24"/>
          <w:shd w:val="clear" w:color="auto" w:fill="FFFFFF"/>
        </w:rPr>
        <w:t>c</w:t>
      </w:r>
      <w:r w:rsidRPr="0064785C">
        <w:rPr>
          <w:rFonts w:ascii="Times New Roman" w:hAnsi="Times New Roman" w:cs="Times New Roman"/>
          <w:sz w:val="24"/>
          <w:szCs w:val="24"/>
          <w:shd w:val="clear" w:color="auto" w:fill="FFFFFF"/>
        </w:rPr>
        <w:t xml:space="preserve">aracterização do </w:t>
      </w:r>
      <w:r>
        <w:rPr>
          <w:rFonts w:ascii="Times New Roman" w:hAnsi="Times New Roman" w:cs="Times New Roman"/>
          <w:sz w:val="24"/>
          <w:szCs w:val="24"/>
          <w:shd w:val="clear" w:color="auto" w:fill="FFFFFF"/>
        </w:rPr>
        <w:t>f</w:t>
      </w:r>
      <w:r w:rsidRPr="0064785C">
        <w:rPr>
          <w:rFonts w:ascii="Times New Roman" w:hAnsi="Times New Roman" w:cs="Times New Roman"/>
          <w:sz w:val="24"/>
          <w:szCs w:val="24"/>
          <w:shd w:val="clear" w:color="auto" w:fill="FFFFFF"/>
        </w:rPr>
        <w:t xml:space="preserve">luxo </w:t>
      </w:r>
      <w:r>
        <w:rPr>
          <w:rFonts w:ascii="Times New Roman" w:hAnsi="Times New Roman" w:cs="Times New Roman"/>
          <w:sz w:val="24"/>
          <w:szCs w:val="24"/>
          <w:shd w:val="clear" w:color="auto" w:fill="FFFFFF"/>
        </w:rPr>
        <w:t>s</w:t>
      </w:r>
      <w:r w:rsidRPr="0064785C">
        <w:rPr>
          <w:rFonts w:ascii="Times New Roman" w:hAnsi="Times New Roman" w:cs="Times New Roman"/>
          <w:sz w:val="24"/>
          <w:szCs w:val="24"/>
          <w:shd w:val="clear" w:color="auto" w:fill="FFFFFF"/>
        </w:rPr>
        <w:t>anguíneo</w:t>
      </w:r>
      <w:r>
        <w:rPr>
          <w:rFonts w:ascii="Times New Roman" w:hAnsi="Times New Roman" w:cs="Times New Roman"/>
          <w:sz w:val="24"/>
          <w:szCs w:val="24"/>
          <w:shd w:val="clear" w:color="auto" w:fill="FFFFFF"/>
        </w:rPr>
        <w:t>; a</w:t>
      </w:r>
      <w:r w:rsidRPr="0064785C">
        <w:rPr>
          <w:rFonts w:ascii="Times New Roman" w:hAnsi="Times New Roman" w:cs="Times New Roman"/>
          <w:sz w:val="24"/>
          <w:szCs w:val="24"/>
          <w:shd w:val="clear" w:color="auto" w:fill="FFFFFF"/>
        </w:rPr>
        <w:t>nálise de interações celulares</w:t>
      </w:r>
      <w:r>
        <w:rPr>
          <w:rFonts w:ascii="Times New Roman" w:hAnsi="Times New Roman" w:cs="Times New Roman"/>
          <w:sz w:val="24"/>
          <w:szCs w:val="24"/>
          <w:shd w:val="clear" w:color="auto" w:fill="FFFFFF"/>
        </w:rPr>
        <w:t>; verificar o e</w:t>
      </w:r>
      <w:r w:rsidRPr="0064785C">
        <w:rPr>
          <w:rFonts w:ascii="Times New Roman" w:hAnsi="Times New Roman" w:cs="Times New Roman"/>
          <w:sz w:val="24"/>
          <w:szCs w:val="24"/>
          <w:shd w:val="clear" w:color="auto" w:fill="FFFFFF"/>
        </w:rPr>
        <w:t xml:space="preserve">feito das </w:t>
      </w:r>
      <w:r>
        <w:rPr>
          <w:rFonts w:ascii="Times New Roman" w:hAnsi="Times New Roman" w:cs="Times New Roman"/>
          <w:sz w:val="24"/>
          <w:szCs w:val="24"/>
          <w:shd w:val="clear" w:color="auto" w:fill="FFFFFF"/>
        </w:rPr>
        <w:t>c</w:t>
      </w:r>
      <w:r w:rsidRPr="0064785C">
        <w:rPr>
          <w:rFonts w:ascii="Times New Roman" w:hAnsi="Times New Roman" w:cs="Times New Roman"/>
          <w:sz w:val="24"/>
          <w:szCs w:val="24"/>
          <w:shd w:val="clear" w:color="auto" w:fill="FFFFFF"/>
        </w:rPr>
        <w:t xml:space="preserve">ondições de </w:t>
      </w:r>
      <w:r>
        <w:rPr>
          <w:rFonts w:ascii="Times New Roman" w:hAnsi="Times New Roman" w:cs="Times New Roman"/>
          <w:sz w:val="24"/>
          <w:szCs w:val="24"/>
          <w:shd w:val="clear" w:color="auto" w:fill="FFFFFF"/>
        </w:rPr>
        <w:t>f</w:t>
      </w:r>
      <w:r w:rsidRPr="0064785C">
        <w:rPr>
          <w:rFonts w:ascii="Times New Roman" w:hAnsi="Times New Roman" w:cs="Times New Roman"/>
          <w:sz w:val="24"/>
          <w:szCs w:val="24"/>
          <w:shd w:val="clear" w:color="auto" w:fill="FFFFFF"/>
        </w:rPr>
        <w:t>luxo</w:t>
      </w:r>
      <w:r>
        <w:rPr>
          <w:rFonts w:ascii="Times New Roman" w:hAnsi="Times New Roman" w:cs="Times New Roman"/>
          <w:sz w:val="24"/>
          <w:szCs w:val="24"/>
          <w:shd w:val="clear" w:color="auto" w:fill="FFFFFF"/>
        </w:rPr>
        <w:t>; e</w:t>
      </w:r>
      <w:r w:rsidRPr="0064785C">
        <w:rPr>
          <w:rFonts w:ascii="Times New Roman" w:hAnsi="Times New Roman" w:cs="Times New Roman"/>
          <w:sz w:val="24"/>
          <w:szCs w:val="24"/>
          <w:shd w:val="clear" w:color="auto" w:fill="FFFFFF"/>
        </w:rPr>
        <w:t>feito do tamanho da partícula</w:t>
      </w:r>
      <w:r>
        <w:rPr>
          <w:rFonts w:ascii="Times New Roman" w:hAnsi="Times New Roman" w:cs="Times New Roman"/>
          <w:sz w:val="24"/>
          <w:szCs w:val="24"/>
          <w:shd w:val="clear" w:color="auto" w:fill="FFFFFF"/>
        </w:rPr>
        <w:t>; e o e</w:t>
      </w:r>
      <w:r w:rsidRPr="0064785C">
        <w:rPr>
          <w:rFonts w:ascii="Times New Roman" w:hAnsi="Times New Roman" w:cs="Times New Roman"/>
          <w:sz w:val="24"/>
          <w:szCs w:val="24"/>
          <w:shd w:val="clear" w:color="auto" w:fill="FFFFFF"/>
        </w:rPr>
        <w:t>feito da carga de partículas</w:t>
      </w:r>
      <w:r>
        <w:rPr>
          <w:rFonts w:ascii="Times New Roman" w:hAnsi="Times New Roman" w:cs="Times New Roman"/>
          <w:sz w:val="24"/>
          <w:szCs w:val="24"/>
          <w:shd w:val="clear" w:color="auto" w:fill="FFFFFF"/>
        </w:rPr>
        <w:t xml:space="preserve"> </w:t>
      </w:r>
      <w:r w:rsidRPr="00094F9F">
        <w:rPr>
          <w:rFonts w:ascii="Times New Roman" w:hAnsi="Times New Roman" w:cs="Times New Roman"/>
          <w:sz w:val="24"/>
          <w:szCs w:val="24"/>
          <w:shd w:val="clear" w:color="auto" w:fill="FFFFFF"/>
        </w:rPr>
        <w:t>(</w:t>
      </w:r>
      <w:r w:rsidR="003B5158" w:rsidRPr="00094F9F">
        <w:rPr>
          <w:rFonts w:ascii="Times New Roman" w:hAnsi="Times New Roman" w:cs="Times New Roman"/>
          <w:sz w:val="24"/>
          <w:szCs w:val="24"/>
          <w:shd w:val="clear" w:color="auto" w:fill="FFFFFF"/>
        </w:rPr>
        <w:t>MAI</w:t>
      </w:r>
      <w:r w:rsidRPr="00094F9F">
        <w:rPr>
          <w:rFonts w:ascii="Times New Roman" w:hAnsi="Times New Roman" w:cs="Times New Roman"/>
          <w:sz w:val="24"/>
          <w:szCs w:val="24"/>
          <w:shd w:val="clear" w:color="auto" w:fill="FFFFFF"/>
        </w:rPr>
        <w:t xml:space="preserve"> </w:t>
      </w:r>
      <w:r w:rsidRPr="00094F9F">
        <w:rPr>
          <w:rFonts w:ascii="Times New Roman" w:hAnsi="Times New Roman" w:cs="Times New Roman"/>
          <w:i/>
          <w:iCs/>
          <w:sz w:val="24"/>
          <w:szCs w:val="24"/>
          <w:shd w:val="clear" w:color="auto" w:fill="FFFFFF"/>
        </w:rPr>
        <w:t>et al.,</w:t>
      </w:r>
      <w:r w:rsidRPr="00094F9F">
        <w:rPr>
          <w:rFonts w:ascii="Times New Roman" w:hAnsi="Times New Roman" w:cs="Times New Roman"/>
          <w:sz w:val="24"/>
          <w:szCs w:val="24"/>
          <w:shd w:val="clear" w:color="auto" w:fill="FFFFFF"/>
        </w:rPr>
        <w:t xml:space="preserve"> 2020)</w:t>
      </w:r>
      <w:r>
        <w:rPr>
          <w:rFonts w:ascii="Times New Roman" w:hAnsi="Times New Roman" w:cs="Times New Roman"/>
          <w:sz w:val="24"/>
          <w:szCs w:val="24"/>
          <w:shd w:val="clear" w:color="auto" w:fill="FFFFFF"/>
        </w:rPr>
        <w:t>.</w:t>
      </w:r>
    </w:p>
    <w:p w14:paraId="2808CAA2" w14:textId="77777777" w:rsidR="00647C4E" w:rsidRPr="00647C4E" w:rsidRDefault="00647C4E" w:rsidP="00647C4E">
      <w:pPr>
        <w:pStyle w:val="Normal1"/>
        <w:spacing w:line="360" w:lineRule="auto"/>
        <w:jc w:val="both"/>
        <w:rPr>
          <w:rFonts w:ascii="Times New Roman" w:hAnsi="Times New Roman" w:cs="Times New Roman"/>
          <w:i/>
          <w:iCs/>
          <w:sz w:val="24"/>
          <w:szCs w:val="24"/>
          <w:shd w:val="clear" w:color="auto" w:fill="FFFFFF"/>
        </w:rPr>
      </w:pPr>
    </w:p>
    <w:p w14:paraId="216812A0" w14:textId="7331E9B9" w:rsidR="00647C4E" w:rsidRPr="003B5158" w:rsidRDefault="00647C4E" w:rsidP="004974DB">
      <w:pPr>
        <w:spacing w:line="360" w:lineRule="auto"/>
        <w:rPr>
          <w:b/>
          <w:bCs/>
        </w:rPr>
      </w:pPr>
      <w:r w:rsidRPr="003B5158">
        <w:rPr>
          <w:b/>
          <w:bCs/>
        </w:rPr>
        <w:t xml:space="preserve">Referências </w:t>
      </w:r>
    </w:p>
    <w:p w14:paraId="676F9D41" w14:textId="278708D3" w:rsidR="00647C4E" w:rsidRPr="00940B82" w:rsidRDefault="00647C4E" w:rsidP="004974DB">
      <w:pPr>
        <w:pStyle w:val="Normal1"/>
        <w:spacing w:before="100" w:beforeAutospacing="1" w:after="100" w:afterAutospacing="1" w:line="240" w:lineRule="auto"/>
        <w:jc w:val="both"/>
        <w:rPr>
          <w:rFonts w:ascii="Times New Roman" w:hAnsi="Times New Roman" w:cs="Times New Roman"/>
          <w:sz w:val="24"/>
          <w:szCs w:val="24"/>
          <w:lang w:val="en-US"/>
        </w:rPr>
      </w:pPr>
      <w:bookmarkStart w:id="0" w:name="_Hlk110081140"/>
      <w:r w:rsidRPr="00875572">
        <w:rPr>
          <w:rFonts w:ascii="Times New Roman" w:hAnsi="Times New Roman" w:cs="Times New Roman"/>
          <w:sz w:val="24"/>
          <w:szCs w:val="24"/>
          <w:lang w:val="en-US"/>
        </w:rPr>
        <w:t>BARLOW, B. A</w:t>
      </w:r>
      <w:r w:rsidR="003B5158">
        <w:rPr>
          <w:rFonts w:ascii="Times New Roman" w:hAnsi="Times New Roman" w:cs="Times New Roman"/>
          <w:sz w:val="24"/>
          <w:szCs w:val="24"/>
          <w:lang w:val="en-US"/>
        </w:rPr>
        <w:t>.</w:t>
      </w:r>
      <w:r w:rsidRPr="00875572">
        <w:rPr>
          <w:rFonts w:ascii="Times New Roman" w:hAnsi="Times New Roman" w:cs="Times New Roman"/>
          <w:sz w:val="24"/>
          <w:szCs w:val="24"/>
          <w:lang w:val="en-US"/>
        </w:rPr>
        <w:t xml:space="preserve"> et al. </w:t>
      </w:r>
      <w:bookmarkEnd w:id="0"/>
      <w:r w:rsidRPr="003B5158">
        <w:rPr>
          <w:rFonts w:ascii="Times New Roman" w:hAnsi="Times New Roman" w:cs="Times New Roman"/>
          <w:b/>
          <w:bCs/>
          <w:sz w:val="24"/>
          <w:szCs w:val="24"/>
          <w:lang w:val="en-US"/>
        </w:rPr>
        <w:t>Biotechnology</w:t>
      </w:r>
      <w:r w:rsidRPr="00940B82">
        <w:rPr>
          <w:rFonts w:ascii="Times New Roman" w:hAnsi="Times New Roman" w:cs="Times New Roman"/>
          <w:sz w:val="24"/>
          <w:szCs w:val="24"/>
          <w:lang w:val="en-US"/>
        </w:rPr>
        <w:t xml:space="preserve">. In: HEYWOOD, V. H.; WATSON, R. T. (orgs). Global biodiversity assessment. Cambridge: Cambridge University Press, 1995, p.671-710. </w:t>
      </w:r>
    </w:p>
    <w:p w14:paraId="3FF0A7F2" w14:textId="5F06ED32" w:rsidR="00647C4E" w:rsidRPr="00B36BF6" w:rsidRDefault="003B5158"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940B82">
        <w:rPr>
          <w:rFonts w:ascii="Times New Roman" w:hAnsi="Times New Roman" w:cs="Times New Roman"/>
          <w:sz w:val="24"/>
          <w:szCs w:val="24"/>
          <w:lang w:val="en-US"/>
        </w:rPr>
        <w:t>BECQUEMONT, L.</w:t>
      </w:r>
      <w:r w:rsidR="00B36BF6">
        <w:rPr>
          <w:rFonts w:ascii="Times New Roman" w:hAnsi="Times New Roman" w:cs="Times New Roman"/>
          <w:sz w:val="24"/>
          <w:szCs w:val="24"/>
          <w:lang w:val="en-US"/>
        </w:rPr>
        <w:t>;</w:t>
      </w:r>
      <w:r w:rsidRPr="00940B82">
        <w:rPr>
          <w:rFonts w:ascii="Times New Roman" w:hAnsi="Times New Roman" w:cs="Times New Roman"/>
          <w:sz w:val="24"/>
          <w:szCs w:val="24"/>
          <w:lang w:val="en-US"/>
        </w:rPr>
        <w:t xml:space="preserve"> ALFIREVIC</w:t>
      </w:r>
      <w:r w:rsidR="00B36BF6" w:rsidRPr="00B36BF6">
        <w:rPr>
          <w:rFonts w:ascii="Times New Roman" w:hAnsi="Times New Roman" w:cs="Times New Roman"/>
          <w:sz w:val="24"/>
          <w:szCs w:val="24"/>
          <w:lang w:val="en-US"/>
        </w:rPr>
        <w:t xml:space="preserve"> </w:t>
      </w:r>
      <w:r w:rsidR="00B36BF6" w:rsidRPr="00940B82">
        <w:rPr>
          <w:rFonts w:ascii="Times New Roman" w:hAnsi="Times New Roman" w:cs="Times New Roman"/>
          <w:sz w:val="24"/>
          <w:szCs w:val="24"/>
          <w:lang w:val="en-US"/>
        </w:rPr>
        <w:t>A.</w:t>
      </w:r>
      <w:r w:rsidR="00647C4E" w:rsidRPr="00940B82">
        <w:rPr>
          <w:rFonts w:ascii="Times New Roman" w:hAnsi="Times New Roman" w:cs="Times New Roman"/>
          <w:sz w:val="24"/>
          <w:szCs w:val="24"/>
          <w:lang w:val="en-US"/>
        </w:rPr>
        <w:t xml:space="preserve">, et al. Practical recommendations for pharmacogenomics-based prescription: 2010 ESF-UB Conference on Pharmacogenetics and Pharmacogenomics. </w:t>
      </w:r>
      <w:r w:rsidR="00647C4E" w:rsidRPr="00B36BF6">
        <w:rPr>
          <w:rFonts w:ascii="Times New Roman" w:hAnsi="Times New Roman" w:cs="Times New Roman"/>
          <w:b/>
          <w:bCs/>
          <w:sz w:val="24"/>
          <w:szCs w:val="24"/>
          <w:lang w:val="en-US"/>
        </w:rPr>
        <w:t>Pharmacogenomics</w:t>
      </w:r>
      <w:r w:rsidR="00647C4E" w:rsidRPr="00B36BF6">
        <w:rPr>
          <w:rFonts w:ascii="Times New Roman" w:hAnsi="Times New Roman" w:cs="Times New Roman"/>
          <w:sz w:val="24"/>
          <w:szCs w:val="24"/>
          <w:lang w:val="en-US"/>
        </w:rPr>
        <w:t>, v.12, n.1, Jan, p.113-24. 2011.</w:t>
      </w:r>
    </w:p>
    <w:p w14:paraId="0E67C6E2" w14:textId="41595B2E" w:rsidR="00647C4E" w:rsidRPr="00940B82" w:rsidRDefault="00B36BF6"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875572">
        <w:rPr>
          <w:rFonts w:ascii="Times New Roman" w:hAnsi="Times New Roman" w:cs="Times New Roman"/>
          <w:sz w:val="24"/>
          <w:szCs w:val="24"/>
          <w:lang w:val="en-US"/>
        </w:rPr>
        <w:t>BREEDVELD</w:t>
      </w:r>
      <w:r>
        <w:rPr>
          <w:rFonts w:ascii="Times New Roman" w:hAnsi="Times New Roman" w:cs="Times New Roman"/>
          <w:sz w:val="24"/>
          <w:szCs w:val="24"/>
          <w:lang w:val="en-US"/>
        </w:rPr>
        <w:t>,</w:t>
      </w:r>
      <w:r w:rsidRPr="00875572">
        <w:rPr>
          <w:rFonts w:ascii="Times New Roman" w:hAnsi="Times New Roman" w:cs="Times New Roman"/>
          <w:sz w:val="24"/>
          <w:szCs w:val="24"/>
          <w:lang w:val="en-US"/>
        </w:rPr>
        <w:t xml:space="preserve"> </w:t>
      </w:r>
      <w:r w:rsidR="00647C4E" w:rsidRPr="00875572">
        <w:rPr>
          <w:rFonts w:ascii="Times New Roman" w:hAnsi="Times New Roman" w:cs="Times New Roman"/>
          <w:sz w:val="24"/>
          <w:szCs w:val="24"/>
          <w:lang w:val="en-US"/>
        </w:rPr>
        <w:t>F</w:t>
      </w:r>
      <w:r>
        <w:rPr>
          <w:rFonts w:ascii="Times New Roman" w:hAnsi="Times New Roman" w:cs="Times New Roman"/>
          <w:sz w:val="24"/>
          <w:szCs w:val="24"/>
          <w:lang w:val="en-US"/>
        </w:rPr>
        <w:t xml:space="preserve">. </w:t>
      </w:r>
      <w:r w:rsidR="00647C4E" w:rsidRPr="00875572">
        <w:rPr>
          <w:rFonts w:ascii="Times New Roman" w:hAnsi="Times New Roman" w:cs="Times New Roman"/>
          <w:sz w:val="24"/>
          <w:szCs w:val="24"/>
          <w:lang w:val="en-US"/>
        </w:rPr>
        <w:t>C. Therapeutic monoclonal antibodies.</w:t>
      </w:r>
      <w:r w:rsidR="00647C4E" w:rsidRPr="00B36BF6">
        <w:rPr>
          <w:rFonts w:ascii="Times New Roman" w:hAnsi="Times New Roman" w:cs="Times New Roman"/>
          <w:b/>
          <w:bCs/>
          <w:sz w:val="24"/>
          <w:szCs w:val="24"/>
          <w:lang w:val="en-US"/>
        </w:rPr>
        <w:t xml:space="preserve"> Lancet</w:t>
      </w:r>
      <w:r>
        <w:rPr>
          <w:rFonts w:ascii="Times New Roman" w:hAnsi="Times New Roman" w:cs="Times New Roman"/>
          <w:sz w:val="24"/>
          <w:szCs w:val="24"/>
          <w:lang w:val="en-US"/>
        </w:rPr>
        <w:t xml:space="preserve">, v. </w:t>
      </w:r>
      <w:r w:rsidR="00647C4E" w:rsidRPr="00940B82">
        <w:rPr>
          <w:rFonts w:ascii="Times New Roman" w:hAnsi="Times New Roman" w:cs="Times New Roman"/>
          <w:sz w:val="24"/>
          <w:szCs w:val="24"/>
          <w:lang w:val="en-US"/>
        </w:rPr>
        <w:t>355</w:t>
      </w:r>
      <w:r>
        <w:rPr>
          <w:rFonts w:ascii="Times New Roman" w:hAnsi="Times New Roman" w:cs="Times New Roman"/>
          <w:sz w:val="24"/>
          <w:szCs w:val="24"/>
          <w:lang w:val="en-US"/>
        </w:rPr>
        <w:t xml:space="preserve">, p. </w:t>
      </w:r>
      <w:r w:rsidR="00647C4E" w:rsidRPr="00940B82">
        <w:rPr>
          <w:rFonts w:ascii="Times New Roman" w:hAnsi="Times New Roman" w:cs="Times New Roman"/>
          <w:sz w:val="24"/>
          <w:szCs w:val="24"/>
          <w:lang w:val="en-US"/>
        </w:rPr>
        <w:t>735‐740</w:t>
      </w:r>
      <w:r>
        <w:rPr>
          <w:rFonts w:ascii="Times New Roman" w:hAnsi="Times New Roman" w:cs="Times New Roman"/>
          <w:sz w:val="24"/>
          <w:szCs w:val="24"/>
          <w:lang w:val="en-US"/>
        </w:rPr>
        <w:t>, 2000.</w:t>
      </w:r>
    </w:p>
    <w:p w14:paraId="3E458905" w14:textId="04B55041" w:rsidR="00647C4E" w:rsidRPr="00940B82" w:rsidRDefault="00B36BF6"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940B82">
        <w:rPr>
          <w:rFonts w:ascii="Times New Roman" w:hAnsi="Times New Roman" w:cs="Times New Roman"/>
          <w:sz w:val="24"/>
          <w:szCs w:val="24"/>
          <w:lang w:val="en-US"/>
        </w:rPr>
        <w:t>BURMESTER</w:t>
      </w:r>
      <w:r>
        <w:rPr>
          <w:rFonts w:ascii="Times New Roman" w:hAnsi="Times New Roman" w:cs="Times New Roman"/>
          <w:sz w:val="24"/>
          <w:szCs w:val="24"/>
          <w:lang w:val="en-US"/>
        </w:rPr>
        <w:t>,</w:t>
      </w:r>
      <w:r w:rsidRPr="00940B82">
        <w:rPr>
          <w:rFonts w:ascii="Times New Roman" w:hAnsi="Times New Roman" w:cs="Times New Roman"/>
          <w:sz w:val="24"/>
          <w:szCs w:val="24"/>
          <w:lang w:val="en-US"/>
        </w:rPr>
        <w:t xml:space="preserve"> J</w:t>
      </w:r>
      <w:r>
        <w:rPr>
          <w:rFonts w:ascii="Times New Roman" w:hAnsi="Times New Roman" w:cs="Times New Roman"/>
          <w:sz w:val="24"/>
          <w:szCs w:val="24"/>
          <w:lang w:val="en-US"/>
        </w:rPr>
        <w:t xml:space="preserve">. </w:t>
      </w:r>
      <w:r w:rsidRPr="00940B82">
        <w:rPr>
          <w:rFonts w:ascii="Times New Roman" w:hAnsi="Times New Roman" w:cs="Times New Roman"/>
          <w:sz w:val="24"/>
          <w:szCs w:val="24"/>
          <w:lang w:val="en-US"/>
        </w:rPr>
        <w:t>K</w:t>
      </w:r>
      <w:r>
        <w:rPr>
          <w:rFonts w:ascii="Times New Roman" w:hAnsi="Times New Roman" w:cs="Times New Roman"/>
          <w:sz w:val="24"/>
          <w:szCs w:val="24"/>
          <w:lang w:val="en-US"/>
        </w:rPr>
        <w:t>.;</w:t>
      </w:r>
      <w:r w:rsidRPr="00940B82">
        <w:rPr>
          <w:rFonts w:ascii="Times New Roman" w:hAnsi="Times New Roman" w:cs="Times New Roman"/>
          <w:sz w:val="24"/>
          <w:szCs w:val="24"/>
          <w:lang w:val="en-US"/>
        </w:rPr>
        <w:t xml:space="preserve"> SEDOVA</w:t>
      </w:r>
      <w:r>
        <w:rPr>
          <w:rFonts w:ascii="Times New Roman" w:hAnsi="Times New Roman" w:cs="Times New Roman"/>
          <w:sz w:val="24"/>
          <w:szCs w:val="24"/>
          <w:lang w:val="en-US"/>
        </w:rPr>
        <w:t>,</w:t>
      </w:r>
      <w:r w:rsidRPr="00940B82">
        <w:rPr>
          <w:rFonts w:ascii="Times New Roman" w:hAnsi="Times New Roman" w:cs="Times New Roman"/>
          <w:sz w:val="24"/>
          <w:szCs w:val="24"/>
          <w:lang w:val="en-US"/>
        </w:rPr>
        <w:t xml:space="preserve"> M</w:t>
      </w:r>
      <w:r>
        <w:rPr>
          <w:rFonts w:ascii="Times New Roman" w:hAnsi="Times New Roman" w:cs="Times New Roman"/>
          <w:sz w:val="24"/>
          <w:szCs w:val="24"/>
          <w:lang w:val="en-US"/>
        </w:rPr>
        <w:t>.;</w:t>
      </w:r>
      <w:r w:rsidRPr="00940B82">
        <w:rPr>
          <w:rFonts w:ascii="Times New Roman" w:hAnsi="Times New Roman" w:cs="Times New Roman"/>
          <w:sz w:val="24"/>
          <w:szCs w:val="24"/>
          <w:lang w:val="en-US"/>
        </w:rPr>
        <w:t xml:space="preserve"> SHAPERO</w:t>
      </w:r>
      <w:r>
        <w:rPr>
          <w:rFonts w:ascii="Times New Roman" w:hAnsi="Times New Roman" w:cs="Times New Roman"/>
          <w:sz w:val="24"/>
          <w:szCs w:val="24"/>
          <w:lang w:val="en-US"/>
        </w:rPr>
        <w:t>,</w:t>
      </w:r>
      <w:r w:rsidRPr="00940B82">
        <w:rPr>
          <w:rFonts w:ascii="Times New Roman" w:hAnsi="Times New Roman" w:cs="Times New Roman"/>
          <w:sz w:val="24"/>
          <w:szCs w:val="24"/>
          <w:lang w:val="en-US"/>
        </w:rPr>
        <w:t xml:space="preserve"> M</w:t>
      </w:r>
      <w:r>
        <w:rPr>
          <w:rFonts w:ascii="Times New Roman" w:hAnsi="Times New Roman" w:cs="Times New Roman"/>
          <w:sz w:val="24"/>
          <w:szCs w:val="24"/>
          <w:lang w:val="en-US"/>
        </w:rPr>
        <w:t xml:space="preserve">. </w:t>
      </w:r>
      <w:r w:rsidRPr="00940B82">
        <w:rPr>
          <w:rFonts w:ascii="Times New Roman" w:hAnsi="Times New Roman" w:cs="Times New Roman"/>
          <w:sz w:val="24"/>
          <w:szCs w:val="24"/>
          <w:lang w:val="en-US"/>
        </w:rPr>
        <w:t>H</w:t>
      </w:r>
      <w:r>
        <w:rPr>
          <w:rFonts w:ascii="Times New Roman" w:hAnsi="Times New Roman" w:cs="Times New Roman"/>
          <w:sz w:val="24"/>
          <w:szCs w:val="24"/>
          <w:lang w:val="en-US"/>
        </w:rPr>
        <w:t>.;</w:t>
      </w:r>
      <w:r w:rsidRPr="00940B82">
        <w:rPr>
          <w:rFonts w:ascii="Times New Roman" w:hAnsi="Times New Roman" w:cs="Times New Roman"/>
          <w:sz w:val="24"/>
          <w:szCs w:val="24"/>
          <w:lang w:val="en-US"/>
        </w:rPr>
        <w:t xml:space="preserve"> MANSFIELD</w:t>
      </w:r>
      <w:r>
        <w:rPr>
          <w:rFonts w:ascii="Times New Roman" w:hAnsi="Times New Roman" w:cs="Times New Roman"/>
          <w:sz w:val="24"/>
          <w:szCs w:val="24"/>
          <w:lang w:val="en-US"/>
        </w:rPr>
        <w:t>,</w:t>
      </w:r>
      <w:r w:rsidRPr="00940B82">
        <w:rPr>
          <w:rFonts w:ascii="Times New Roman" w:hAnsi="Times New Roman" w:cs="Times New Roman"/>
          <w:sz w:val="24"/>
          <w:szCs w:val="24"/>
          <w:lang w:val="en-US"/>
        </w:rPr>
        <w:t xml:space="preserve"> </w:t>
      </w:r>
      <w:r w:rsidR="00647C4E" w:rsidRPr="00940B82">
        <w:rPr>
          <w:rFonts w:ascii="Times New Roman" w:hAnsi="Times New Roman" w:cs="Times New Roman"/>
          <w:sz w:val="24"/>
          <w:szCs w:val="24"/>
          <w:lang w:val="en-US"/>
        </w:rPr>
        <w:t xml:space="preserve">E. DMET microarray technology for pharmacogenomics-based personalized medicine. </w:t>
      </w:r>
      <w:r w:rsidR="00647C4E" w:rsidRPr="00B36BF6">
        <w:rPr>
          <w:rFonts w:ascii="Times New Roman" w:hAnsi="Times New Roman" w:cs="Times New Roman"/>
          <w:b/>
          <w:bCs/>
          <w:sz w:val="24"/>
          <w:szCs w:val="24"/>
          <w:lang w:val="en-US"/>
        </w:rPr>
        <w:t>Methods Mol Biol</w:t>
      </w:r>
      <w:r w:rsidR="00647C4E" w:rsidRPr="00940B82">
        <w:rPr>
          <w:rFonts w:ascii="Times New Roman" w:hAnsi="Times New Roman" w:cs="Times New Roman"/>
          <w:sz w:val="24"/>
          <w:szCs w:val="24"/>
          <w:lang w:val="en-US"/>
        </w:rPr>
        <w:t>.</w:t>
      </w:r>
      <w:r>
        <w:rPr>
          <w:rFonts w:ascii="Times New Roman" w:hAnsi="Times New Roman" w:cs="Times New Roman"/>
          <w:sz w:val="24"/>
          <w:szCs w:val="24"/>
          <w:lang w:val="en-US"/>
        </w:rPr>
        <w:t>, v.</w:t>
      </w:r>
      <w:r w:rsidR="00647C4E" w:rsidRPr="00940B82">
        <w:rPr>
          <w:rFonts w:ascii="Times New Roman" w:hAnsi="Times New Roman" w:cs="Times New Roman"/>
          <w:sz w:val="24"/>
          <w:szCs w:val="24"/>
          <w:lang w:val="en-US"/>
        </w:rPr>
        <w:t xml:space="preserve"> 632</w:t>
      </w:r>
      <w:r>
        <w:rPr>
          <w:rFonts w:ascii="Times New Roman" w:hAnsi="Times New Roman" w:cs="Times New Roman"/>
          <w:sz w:val="24"/>
          <w:szCs w:val="24"/>
          <w:lang w:val="en-US"/>
        </w:rPr>
        <w:t xml:space="preserve">, p. </w:t>
      </w:r>
      <w:r w:rsidR="00647C4E" w:rsidRPr="00940B82">
        <w:rPr>
          <w:rFonts w:ascii="Times New Roman" w:hAnsi="Times New Roman" w:cs="Times New Roman"/>
          <w:sz w:val="24"/>
          <w:szCs w:val="24"/>
          <w:lang w:val="en-US"/>
        </w:rPr>
        <w:t>99–124</w:t>
      </w:r>
      <w:r>
        <w:rPr>
          <w:rFonts w:ascii="Times New Roman" w:hAnsi="Times New Roman" w:cs="Times New Roman"/>
          <w:sz w:val="24"/>
          <w:szCs w:val="24"/>
          <w:lang w:val="en-US"/>
        </w:rPr>
        <w:t>, 2010.</w:t>
      </w:r>
    </w:p>
    <w:p w14:paraId="0CA65225" w14:textId="77777777" w:rsidR="00647C4E" w:rsidRPr="00940B82" w:rsidRDefault="00647C4E"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940B82">
        <w:rPr>
          <w:rFonts w:ascii="Times New Roman" w:hAnsi="Times New Roman" w:cs="Times New Roman"/>
          <w:sz w:val="24"/>
          <w:szCs w:val="24"/>
          <w:lang w:val="en-US"/>
        </w:rPr>
        <w:t xml:space="preserve">COCCA, M. et al. Pharmacogenetics driving personalized medicine: analysis of genetic polymorphisms related to breast cancer medications in Italian isolated populations. </w:t>
      </w:r>
      <w:r w:rsidRPr="00B36BF6">
        <w:rPr>
          <w:rFonts w:ascii="Times New Roman" w:hAnsi="Times New Roman" w:cs="Times New Roman"/>
          <w:b/>
          <w:bCs/>
          <w:sz w:val="24"/>
          <w:szCs w:val="24"/>
          <w:lang w:val="en-US"/>
        </w:rPr>
        <w:t>J Transl Med</w:t>
      </w:r>
      <w:r w:rsidRPr="00940B82">
        <w:rPr>
          <w:rFonts w:ascii="Times New Roman" w:hAnsi="Times New Roman" w:cs="Times New Roman"/>
          <w:sz w:val="24"/>
          <w:szCs w:val="24"/>
          <w:lang w:val="en-US"/>
        </w:rPr>
        <w:t>, v. 14, p. 22, 2016.</w:t>
      </w:r>
    </w:p>
    <w:p w14:paraId="63AA1A4C" w14:textId="77C7E1A7" w:rsidR="00647C4E" w:rsidRPr="00940B82" w:rsidRDefault="00B36BF6"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940B82">
        <w:rPr>
          <w:rFonts w:ascii="Times New Roman" w:hAnsi="Times New Roman" w:cs="Times New Roman"/>
          <w:sz w:val="24"/>
          <w:szCs w:val="24"/>
          <w:lang w:val="en-US"/>
        </w:rPr>
        <w:t>COHEN</w:t>
      </w:r>
      <w:r>
        <w:rPr>
          <w:rFonts w:ascii="Times New Roman" w:hAnsi="Times New Roman" w:cs="Times New Roman"/>
          <w:sz w:val="24"/>
          <w:szCs w:val="24"/>
          <w:lang w:val="en-US"/>
        </w:rPr>
        <w:t>,</w:t>
      </w:r>
      <w:r w:rsidRPr="00940B82">
        <w:rPr>
          <w:rFonts w:ascii="Times New Roman" w:hAnsi="Times New Roman" w:cs="Times New Roman"/>
          <w:sz w:val="24"/>
          <w:szCs w:val="24"/>
          <w:lang w:val="en-US"/>
        </w:rPr>
        <w:t xml:space="preserve"> </w:t>
      </w:r>
      <w:r w:rsidR="00647C4E" w:rsidRPr="00940B82">
        <w:rPr>
          <w:rFonts w:ascii="Times New Roman" w:hAnsi="Times New Roman" w:cs="Times New Roman"/>
          <w:sz w:val="24"/>
          <w:szCs w:val="24"/>
          <w:lang w:val="en-US"/>
        </w:rPr>
        <w:t xml:space="preserve">J. </w:t>
      </w:r>
      <w:r w:rsidR="00647C4E" w:rsidRPr="00B36BF6">
        <w:rPr>
          <w:rFonts w:ascii="Times New Roman" w:hAnsi="Times New Roman" w:cs="Times New Roman"/>
          <w:b/>
          <w:bCs/>
          <w:sz w:val="24"/>
          <w:szCs w:val="24"/>
          <w:lang w:val="en-US"/>
        </w:rPr>
        <w:t>Science,</w:t>
      </w:r>
      <w:r w:rsidR="00647C4E" w:rsidRPr="00940B8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00647C4E" w:rsidRPr="00940B82">
        <w:rPr>
          <w:rFonts w:ascii="Times New Roman" w:hAnsi="Times New Roman" w:cs="Times New Roman"/>
          <w:sz w:val="24"/>
          <w:szCs w:val="24"/>
          <w:lang w:val="en-US"/>
        </w:rPr>
        <w:t xml:space="preserve">368, </w:t>
      </w:r>
      <w:r>
        <w:rPr>
          <w:rFonts w:ascii="Times New Roman" w:hAnsi="Times New Roman" w:cs="Times New Roman"/>
          <w:sz w:val="24"/>
          <w:szCs w:val="24"/>
          <w:lang w:val="en-US"/>
        </w:rPr>
        <w:t xml:space="preserve">p. </w:t>
      </w:r>
      <w:r w:rsidR="00647C4E" w:rsidRPr="00940B82">
        <w:rPr>
          <w:rFonts w:ascii="Times New Roman" w:hAnsi="Times New Roman" w:cs="Times New Roman"/>
          <w:sz w:val="24"/>
          <w:szCs w:val="24"/>
          <w:lang w:val="en-US"/>
        </w:rPr>
        <w:t>14</w:t>
      </w:r>
      <w:r>
        <w:rPr>
          <w:rFonts w:ascii="Times New Roman" w:hAnsi="Times New Roman" w:cs="Times New Roman"/>
          <w:sz w:val="24"/>
          <w:szCs w:val="24"/>
          <w:lang w:val="en-US"/>
        </w:rPr>
        <w:t>, 2020.</w:t>
      </w:r>
    </w:p>
    <w:p w14:paraId="0FBFD30B" w14:textId="3657E7E1" w:rsidR="00647C4E" w:rsidRPr="00B36BF6" w:rsidRDefault="00B36BF6" w:rsidP="004974DB">
      <w:pPr>
        <w:spacing w:before="100" w:beforeAutospacing="1" w:after="100" w:afterAutospacing="1"/>
        <w:jc w:val="both"/>
        <w:rPr>
          <w:lang w:val="en-US"/>
        </w:rPr>
      </w:pPr>
      <w:r w:rsidRPr="00B36BF6">
        <w:rPr>
          <w:lang w:val="en-US"/>
        </w:rPr>
        <w:t>COMBETTES-SOUVERAIN</w:t>
      </w:r>
      <w:r>
        <w:rPr>
          <w:lang w:val="en-US"/>
        </w:rPr>
        <w:t>,</w:t>
      </w:r>
      <w:r w:rsidRPr="00B36BF6">
        <w:rPr>
          <w:lang w:val="en-US"/>
        </w:rPr>
        <w:t xml:space="preserve"> M</w:t>
      </w:r>
      <w:r>
        <w:rPr>
          <w:lang w:val="en-US"/>
        </w:rPr>
        <w:t>.;</w:t>
      </w:r>
      <w:r w:rsidRPr="00B36BF6">
        <w:rPr>
          <w:lang w:val="en-US"/>
        </w:rPr>
        <w:t xml:space="preserve"> ISSAD</w:t>
      </w:r>
      <w:r>
        <w:rPr>
          <w:lang w:val="en-US"/>
        </w:rPr>
        <w:t>,</w:t>
      </w:r>
      <w:r w:rsidRPr="00B36BF6">
        <w:rPr>
          <w:lang w:val="en-US"/>
        </w:rPr>
        <w:t xml:space="preserve"> </w:t>
      </w:r>
      <w:r w:rsidR="00647C4E" w:rsidRPr="00B36BF6">
        <w:rPr>
          <w:lang w:val="en-US"/>
        </w:rPr>
        <w:t>T</w:t>
      </w:r>
      <w:r>
        <w:rPr>
          <w:lang w:val="en-US"/>
        </w:rPr>
        <w:t>.</w:t>
      </w:r>
      <w:r w:rsidR="00647C4E" w:rsidRPr="00B36BF6">
        <w:rPr>
          <w:lang w:val="en-US"/>
        </w:rPr>
        <w:t xml:space="preserve"> Molecular basis of insulin action. </w:t>
      </w:r>
      <w:r w:rsidR="00647C4E" w:rsidRPr="00B36BF6">
        <w:rPr>
          <w:b/>
          <w:bCs/>
          <w:lang w:val="en-US"/>
        </w:rPr>
        <w:t>Diabet Metab</w:t>
      </w:r>
      <w:r w:rsidR="00647C4E" w:rsidRPr="00B36BF6">
        <w:rPr>
          <w:lang w:val="en-US"/>
        </w:rPr>
        <w:t xml:space="preserve">, </w:t>
      </w:r>
      <w:r>
        <w:rPr>
          <w:lang w:val="en-US"/>
        </w:rPr>
        <w:t>v.</w:t>
      </w:r>
      <w:r w:rsidR="00647C4E" w:rsidRPr="00B36BF6">
        <w:rPr>
          <w:lang w:val="en-US"/>
        </w:rPr>
        <w:t xml:space="preserve"> 24, </w:t>
      </w:r>
      <w:r>
        <w:rPr>
          <w:lang w:val="en-US"/>
        </w:rPr>
        <w:t xml:space="preserve">p. </w:t>
      </w:r>
      <w:r w:rsidR="00647C4E" w:rsidRPr="00B36BF6">
        <w:rPr>
          <w:lang w:val="en-US"/>
        </w:rPr>
        <w:t>477–489</w:t>
      </w:r>
      <w:r>
        <w:rPr>
          <w:lang w:val="en-US"/>
        </w:rPr>
        <w:t>, 1998.</w:t>
      </w:r>
    </w:p>
    <w:p w14:paraId="4D100305" w14:textId="0143E58C" w:rsidR="00647C4E" w:rsidRPr="00B36BF6" w:rsidRDefault="00B36BF6" w:rsidP="004974DB">
      <w:pPr>
        <w:spacing w:before="100" w:beforeAutospacing="1" w:after="100" w:afterAutospacing="1"/>
        <w:jc w:val="both"/>
        <w:rPr>
          <w:lang w:val="en-US"/>
        </w:rPr>
      </w:pPr>
      <w:r w:rsidRPr="00B36BF6">
        <w:rPr>
          <w:lang w:val="en-US"/>
        </w:rPr>
        <w:t>COOPER</w:t>
      </w:r>
      <w:r>
        <w:rPr>
          <w:lang w:val="en-US"/>
        </w:rPr>
        <w:t>,</w:t>
      </w:r>
      <w:r w:rsidRPr="00B36BF6">
        <w:rPr>
          <w:lang w:val="en-US"/>
        </w:rPr>
        <w:t xml:space="preserve"> P</w:t>
      </w:r>
      <w:r>
        <w:rPr>
          <w:lang w:val="en-US"/>
        </w:rPr>
        <w:t xml:space="preserve">. </w:t>
      </w:r>
      <w:r w:rsidRPr="00B36BF6">
        <w:rPr>
          <w:lang w:val="en-US"/>
        </w:rPr>
        <w:t>R</w:t>
      </w:r>
      <w:r>
        <w:rPr>
          <w:lang w:val="en-US"/>
        </w:rPr>
        <w:t>.;</w:t>
      </w:r>
      <w:r w:rsidRPr="00B36BF6">
        <w:rPr>
          <w:lang w:val="en-US"/>
        </w:rPr>
        <w:t xml:space="preserve"> CIAMBRONE</w:t>
      </w:r>
      <w:r>
        <w:rPr>
          <w:lang w:val="en-US"/>
        </w:rPr>
        <w:t>,</w:t>
      </w:r>
      <w:r w:rsidRPr="00B36BF6">
        <w:rPr>
          <w:lang w:val="en-US"/>
        </w:rPr>
        <w:t xml:space="preserve"> G</w:t>
      </w:r>
      <w:r>
        <w:rPr>
          <w:lang w:val="en-US"/>
        </w:rPr>
        <w:t xml:space="preserve">. </w:t>
      </w:r>
      <w:r w:rsidRPr="00B36BF6">
        <w:rPr>
          <w:lang w:val="en-US"/>
        </w:rPr>
        <w:t>J</w:t>
      </w:r>
      <w:r>
        <w:rPr>
          <w:lang w:val="en-US"/>
        </w:rPr>
        <w:t>.;</w:t>
      </w:r>
      <w:r w:rsidRPr="00B36BF6">
        <w:rPr>
          <w:lang w:val="en-US"/>
        </w:rPr>
        <w:t xml:space="preserve"> KLIWINSKI</w:t>
      </w:r>
      <w:r>
        <w:rPr>
          <w:lang w:val="en-US"/>
        </w:rPr>
        <w:t>,</w:t>
      </w:r>
      <w:r w:rsidRPr="00B36BF6">
        <w:rPr>
          <w:lang w:val="en-US"/>
        </w:rPr>
        <w:t xml:space="preserve"> C</w:t>
      </w:r>
      <w:r>
        <w:rPr>
          <w:lang w:val="en-US"/>
        </w:rPr>
        <w:t xml:space="preserve">. </w:t>
      </w:r>
      <w:r w:rsidRPr="00B36BF6">
        <w:rPr>
          <w:lang w:val="en-US"/>
        </w:rPr>
        <w:t>M</w:t>
      </w:r>
      <w:r>
        <w:rPr>
          <w:lang w:val="en-US"/>
        </w:rPr>
        <w:t>.</w:t>
      </w:r>
      <w:r w:rsidR="00647C4E" w:rsidRPr="00B36BF6">
        <w:rPr>
          <w:lang w:val="en-US"/>
        </w:rPr>
        <w:t xml:space="preserve"> et al. Efflux of monoclonal antibodies from rat brain by neonatal Fc receptor, FcRn</w:t>
      </w:r>
      <w:r w:rsidR="00647C4E" w:rsidRPr="00B36BF6">
        <w:rPr>
          <w:b/>
          <w:bCs/>
          <w:lang w:val="en-US"/>
        </w:rPr>
        <w:t>. Brain Res</w:t>
      </w:r>
      <w:r w:rsidR="00647C4E" w:rsidRPr="00B36BF6">
        <w:rPr>
          <w:lang w:val="en-US"/>
        </w:rPr>
        <w:t>.</w:t>
      </w:r>
      <w:r>
        <w:rPr>
          <w:lang w:val="en-US"/>
        </w:rPr>
        <w:t xml:space="preserve">, v. </w:t>
      </w:r>
      <w:r w:rsidR="00647C4E" w:rsidRPr="00B36BF6">
        <w:rPr>
          <w:lang w:val="en-US"/>
        </w:rPr>
        <w:t>1534</w:t>
      </w:r>
      <w:r>
        <w:rPr>
          <w:lang w:val="en-US"/>
        </w:rPr>
        <w:t xml:space="preserve">, p. </w:t>
      </w:r>
      <w:r w:rsidR="00647C4E" w:rsidRPr="00B36BF6">
        <w:rPr>
          <w:lang w:val="en-US"/>
        </w:rPr>
        <w:t>13‐21</w:t>
      </w:r>
      <w:r>
        <w:rPr>
          <w:lang w:val="en-US"/>
        </w:rPr>
        <w:t>, 2013.</w:t>
      </w:r>
    </w:p>
    <w:p w14:paraId="7A50AF3B" w14:textId="5F5F0BFB" w:rsidR="00647C4E" w:rsidRPr="00B36BF6" w:rsidRDefault="00B36BF6" w:rsidP="004974DB">
      <w:pPr>
        <w:spacing w:before="100" w:beforeAutospacing="1" w:after="100" w:afterAutospacing="1"/>
        <w:jc w:val="both"/>
        <w:rPr>
          <w:lang w:val="en-US"/>
        </w:rPr>
      </w:pPr>
      <w:r w:rsidRPr="00B36BF6">
        <w:rPr>
          <w:lang w:val="en-US"/>
        </w:rPr>
        <w:t>THÉVENOT</w:t>
      </w:r>
      <w:r>
        <w:rPr>
          <w:lang w:val="en-US"/>
        </w:rPr>
        <w:t xml:space="preserve"> D. R.;</w:t>
      </w:r>
      <w:r w:rsidRPr="00B36BF6">
        <w:rPr>
          <w:lang w:val="en-US"/>
        </w:rPr>
        <w:t xml:space="preserve"> TOTH</w:t>
      </w:r>
      <w:r>
        <w:rPr>
          <w:lang w:val="en-US"/>
        </w:rPr>
        <w:t>, K.;</w:t>
      </w:r>
      <w:r w:rsidRPr="00B36BF6">
        <w:rPr>
          <w:lang w:val="en-US"/>
        </w:rPr>
        <w:t xml:space="preserve"> DURST</w:t>
      </w:r>
      <w:r>
        <w:rPr>
          <w:lang w:val="en-US"/>
        </w:rPr>
        <w:t>, R. A;</w:t>
      </w:r>
      <w:r w:rsidRPr="00B36BF6">
        <w:rPr>
          <w:lang w:val="en-US"/>
        </w:rPr>
        <w:t xml:space="preserve"> WILSON</w:t>
      </w:r>
      <w:r>
        <w:rPr>
          <w:lang w:val="en-US"/>
        </w:rPr>
        <w:t>, G. S.</w:t>
      </w:r>
      <w:r w:rsidR="00647C4E" w:rsidRPr="00B36BF6">
        <w:rPr>
          <w:lang w:val="en-US"/>
        </w:rPr>
        <w:t xml:space="preserve"> Electrochemical biosensors: recommended definitions and classification</w:t>
      </w:r>
      <w:r>
        <w:rPr>
          <w:lang w:val="en-US"/>
        </w:rPr>
        <w:t>.</w:t>
      </w:r>
      <w:r w:rsidR="00647C4E" w:rsidRPr="00B36BF6">
        <w:rPr>
          <w:b/>
          <w:bCs/>
          <w:lang w:val="en-US"/>
        </w:rPr>
        <w:t xml:space="preserve"> International Union of Pure and Applied Chemistry: Physical Chemistry Division Commission I.7 (Biophysical Chemistry); Analytical Chemistry Division, Commission V.5 (Electroanalytical Chemistry) Biosensors and Bioelectronics</w:t>
      </w:r>
      <w:r w:rsidR="00647C4E" w:rsidRPr="00B36BF6">
        <w:rPr>
          <w:lang w:val="en-US"/>
        </w:rPr>
        <w:t xml:space="preserve">, </w:t>
      </w:r>
      <w:r>
        <w:rPr>
          <w:lang w:val="en-US"/>
        </w:rPr>
        <w:t>v.</w:t>
      </w:r>
      <w:r w:rsidR="00647C4E" w:rsidRPr="00B36BF6">
        <w:rPr>
          <w:lang w:val="en-US"/>
        </w:rPr>
        <w:t>16</w:t>
      </w:r>
      <w:r>
        <w:rPr>
          <w:lang w:val="en-US"/>
        </w:rPr>
        <w:t xml:space="preserve">, </w:t>
      </w:r>
      <w:r w:rsidR="00647C4E" w:rsidRPr="00B36BF6">
        <w:rPr>
          <w:lang w:val="en-US"/>
        </w:rPr>
        <w:t>p. 121-131</w:t>
      </w:r>
      <w:r>
        <w:rPr>
          <w:lang w:val="en-US"/>
        </w:rPr>
        <w:t>, 2001.</w:t>
      </w:r>
    </w:p>
    <w:p w14:paraId="045F512A" w14:textId="77777777" w:rsidR="00647C4E" w:rsidRPr="00B36BF6" w:rsidRDefault="00647C4E"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 xml:space="preserve">DELANEY, S. K. et al. Toward clinical genomics in everyday medicine: perspectives and recommendations. </w:t>
      </w:r>
      <w:r w:rsidRPr="00B36BF6">
        <w:rPr>
          <w:rFonts w:ascii="Times New Roman" w:hAnsi="Times New Roman" w:cs="Times New Roman"/>
          <w:b/>
          <w:bCs/>
          <w:sz w:val="24"/>
          <w:szCs w:val="24"/>
          <w:lang w:val="en-US"/>
        </w:rPr>
        <w:t>Expert Rev Mol Diagn</w:t>
      </w:r>
      <w:r w:rsidRPr="00B36BF6">
        <w:rPr>
          <w:rFonts w:ascii="Times New Roman" w:hAnsi="Times New Roman" w:cs="Times New Roman"/>
          <w:sz w:val="24"/>
          <w:szCs w:val="24"/>
          <w:lang w:val="en-US"/>
        </w:rPr>
        <w:t>, v. 16, n. 5, p. 521-32, 2016.</w:t>
      </w:r>
    </w:p>
    <w:p w14:paraId="57B96CEE" w14:textId="4E38ECEC" w:rsidR="00647C4E" w:rsidRPr="00B36BF6" w:rsidRDefault="00B36BF6"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ESSER</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L.</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TRUONG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N. P.</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KARAGOZ</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B.</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MOFFAT</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B. A.</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BOYER</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C.</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QUINN</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J. F.</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WHITTAKER</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M. R.</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DAVIS</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T. P. </w:t>
      </w:r>
      <w:r w:rsidR="00647C4E" w:rsidRPr="00B36BF6">
        <w:rPr>
          <w:rFonts w:ascii="Times New Roman" w:hAnsi="Times New Roman" w:cs="Times New Roman"/>
          <w:b/>
          <w:bCs/>
          <w:sz w:val="24"/>
          <w:szCs w:val="24"/>
          <w:lang w:val="en-US"/>
        </w:rPr>
        <w:t>Polym. Chem.</w:t>
      </w:r>
      <w:r w:rsidR="00647C4E"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00647C4E" w:rsidRPr="00B36BF6">
        <w:rPr>
          <w:rFonts w:ascii="Times New Roman" w:hAnsi="Times New Roman" w:cs="Times New Roman"/>
          <w:sz w:val="24"/>
          <w:szCs w:val="24"/>
          <w:lang w:val="en-US"/>
        </w:rPr>
        <w:t xml:space="preserve"> 7, </w:t>
      </w:r>
      <w:r>
        <w:rPr>
          <w:rFonts w:ascii="Times New Roman" w:hAnsi="Times New Roman" w:cs="Times New Roman"/>
          <w:sz w:val="24"/>
          <w:szCs w:val="24"/>
          <w:lang w:val="en-US"/>
        </w:rPr>
        <w:t xml:space="preserve">p. </w:t>
      </w:r>
      <w:r w:rsidR="00647C4E" w:rsidRPr="00B36BF6">
        <w:rPr>
          <w:rFonts w:ascii="Times New Roman" w:hAnsi="Times New Roman" w:cs="Times New Roman"/>
          <w:sz w:val="24"/>
          <w:szCs w:val="24"/>
          <w:lang w:val="en-US"/>
        </w:rPr>
        <w:t>7325</w:t>
      </w:r>
      <w:r>
        <w:rPr>
          <w:rFonts w:ascii="Times New Roman" w:hAnsi="Times New Roman" w:cs="Times New Roman"/>
          <w:sz w:val="24"/>
          <w:szCs w:val="24"/>
          <w:lang w:val="en-US"/>
        </w:rPr>
        <w:t>, 2016</w:t>
      </w:r>
      <w:r w:rsidR="00647C4E" w:rsidRPr="00B36BF6">
        <w:rPr>
          <w:rFonts w:ascii="Times New Roman" w:hAnsi="Times New Roman" w:cs="Times New Roman"/>
          <w:sz w:val="24"/>
          <w:szCs w:val="24"/>
          <w:lang w:val="en-US"/>
        </w:rPr>
        <w:t>.</w:t>
      </w:r>
    </w:p>
    <w:p w14:paraId="6E985BC3" w14:textId="77777777" w:rsidR="004974DB" w:rsidRDefault="004974DB" w:rsidP="004974DB">
      <w:pPr>
        <w:pStyle w:val="Normal1"/>
        <w:spacing w:before="100" w:beforeAutospacing="1" w:after="100" w:afterAutospacing="1" w:line="240" w:lineRule="auto"/>
        <w:jc w:val="both"/>
        <w:rPr>
          <w:rFonts w:ascii="Times New Roman" w:hAnsi="Times New Roman" w:cs="Times New Roman"/>
          <w:sz w:val="24"/>
          <w:szCs w:val="24"/>
          <w:lang w:val="en-US"/>
        </w:rPr>
      </w:pPr>
    </w:p>
    <w:p w14:paraId="7F94DAE5" w14:textId="30F2D313" w:rsidR="00647C4E" w:rsidRPr="00B36BF6" w:rsidRDefault="00B36BF6"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ESHRAGHI</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S.</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DAS</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t>
      </w:r>
      <w:r w:rsidR="00647C4E" w:rsidRPr="00B36BF6">
        <w:rPr>
          <w:rFonts w:ascii="Times New Roman" w:hAnsi="Times New Roman" w:cs="Times New Roman"/>
          <w:sz w:val="24"/>
          <w:szCs w:val="24"/>
          <w:lang w:val="en-US"/>
        </w:rPr>
        <w:t xml:space="preserve">S. Mechanical and microstructural properties of polycaprolactone scaffolds with one-dimensional, two-dimensional, and three-dimensional orthogonally oriented porous architectures produced by selective laser sintering. </w:t>
      </w:r>
      <w:r w:rsidR="00647C4E" w:rsidRPr="001977A1">
        <w:rPr>
          <w:rFonts w:ascii="Times New Roman" w:hAnsi="Times New Roman" w:cs="Times New Roman"/>
          <w:b/>
          <w:bCs/>
          <w:sz w:val="24"/>
          <w:szCs w:val="24"/>
          <w:lang w:val="en-US"/>
        </w:rPr>
        <w:t>Acta Biomater</w:t>
      </w:r>
      <w:r w:rsidR="00647C4E" w:rsidRPr="00B36BF6">
        <w:rPr>
          <w:rFonts w:ascii="Times New Roman" w:hAnsi="Times New Roman" w:cs="Times New Roman"/>
          <w:sz w:val="24"/>
          <w:szCs w:val="24"/>
          <w:lang w:val="en-US"/>
        </w:rPr>
        <w:t>.</w:t>
      </w:r>
      <w:r w:rsidR="001977A1">
        <w:rPr>
          <w:rFonts w:ascii="Times New Roman" w:hAnsi="Times New Roman" w:cs="Times New Roman"/>
          <w:sz w:val="24"/>
          <w:szCs w:val="24"/>
          <w:lang w:val="en-US"/>
        </w:rPr>
        <w:t>,</w:t>
      </w:r>
      <w:r w:rsidR="00647C4E" w:rsidRPr="00B36BF6">
        <w:rPr>
          <w:rFonts w:ascii="Times New Roman" w:hAnsi="Times New Roman" w:cs="Times New Roman"/>
          <w:sz w:val="24"/>
          <w:szCs w:val="24"/>
          <w:lang w:val="en-US"/>
        </w:rPr>
        <w:t xml:space="preserve"> </w:t>
      </w:r>
      <w:r w:rsidR="001977A1">
        <w:rPr>
          <w:rFonts w:ascii="Times New Roman" w:hAnsi="Times New Roman" w:cs="Times New Roman"/>
          <w:sz w:val="24"/>
          <w:szCs w:val="24"/>
          <w:lang w:val="en-US"/>
        </w:rPr>
        <w:t xml:space="preserve">v. </w:t>
      </w:r>
      <w:r w:rsidR="00647C4E" w:rsidRPr="00B36BF6">
        <w:rPr>
          <w:rFonts w:ascii="Times New Roman" w:hAnsi="Times New Roman" w:cs="Times New Roman"/>
          <w:sz w:val="24"/>
          <w:szCs w:val="24"/>
          <w:lang w:val="en-US"/>
        </w:rPr>
        <w:t>6</w:t>
      </w:r>
      <w:r w:rsidR="001977A1">
        <w:rPr>
          <w:rFonts w:ascii="Times New Roman" w:hAnsi="Times New Roman" w:cs="Times New Roman"/>
          <w:sz w:val="24"/>
          <w:szCs w:val="24"/>
          <w:lang w:val="en-US"/>
        </w:rPr>
        <w:t xml:space="preserve">, p. </w:t>
      </w:r>
      <w:r w:rsidR="00647C4E" w:rsidRPr="00B36BF6">
        <w:rPr>
          <w:rFonts w:ascii="Times New Roman" w:hAnsi="Times New Roman" w:cs="Times New Roman"/>
          <w:sz w:val="24"/>
          <w:szCs w:val="24"/>
          <w:lang w:val="en-US"/>
        </w:rPr>
        <w:t>2467–2476</w:t>
      </w:r>
      <w:r w:rsidR="001977A1">
        <w:rPr>
          <w:rFonts w:ascii="Times New Roman" w:hAnsi="Times New Roman" w:cs="Times New Roman"/>
          <w:sz w:val="24"/>
          <w:szCs w:val="24"/>
          <w:lang w:val="en-US"/>
        </w:rPr>
        <w:t>, 2010.</w:t>
      </w:r>
    </w:p>
    <w:p w14:paraId="0C9E8DBD" w14:textId="6A193D0B" w:rsidR="00647C4E" w:rsidRDefault="001977A1" w:rsidP="004974DB">
      <w:pPr>
        <w:pStyle w:val="Normal1"/>
        <w:spacing w:before="100" w:beforeAutospacing="1" w:after="100" w:afterAutospacing="1" w:line="240" w:lineRule="auto"/>
        <w:jc w:val="both"/>
        <w:rPr>
          <w:rFonts w:ascii="Times New Roman" w:hAnsi="Times New Roman" w:cs="Times New Roman"/>
          <w:sz w:val="24"/>
          <w:szCs w:val="24"/>
          <w:shd w:val="clear" w:color="auto" w:fill="FFFFFF"/>
          <w:lang w:val="en-US"/>
        </w:rPr>
      </w:pPr>
      <w:r w:rsidRPr="00B36BF6">
        <w:rPr>
          <w:rFonts w:ascii="Times New Roman" w:hAnsi="Times New Roman" w:cs="Times New Roman"/>
          <w:sz w:val="24"/>
          <w:szCs w:val="24"/>
          <w:shd w:val="clear" w:color="auto" w:fill="FFFFFF"/>
          <w:lang w:val="en-US"/>
        </w:rPr>
        <w:t>FAN</w:t>
      </w:r>
      <w:r>
        <w:rPr>
          <w:rFonts w:ascii="Times New Roman" w:hAnsi="Times New Roman" w:cs="Times New Roman"/>
          <w:sz w:val="24"/>
          <w:szCs w:val="24"/>
          <w:shd w:val="clear" w:color="auto" w:fill="FFFFFF"/>
          <w:lang w:val="en-US"/>
        </w:rPr>
        <w:t>,</w:t>
      </w:r>
      <w:r w:rsidRPr="00B36BF6">
        <w:rPr>
          <w:rFonts w:ascii="Times New Roman" w:hAnsi="Times New Roman" w:cs="Times New Roman"/>
          <w:sz w:val="24"/>
          <w:szCs w:val="24"/>
          <w:shd w:val="clear" w:color="auto" w:fill="FFFFFF"/>
          <w:lang w:val="en-US"/>
        </w:rPr>
        <w:t xml:space="preserve"> L</w:t>
      </w:r>
      <w:r>
        <w:rPr>
          <w:rFonts w:ascii="Times New Roman" w:hAnsi="Times New Roman" w:cs="Times New Roman"/>
          <w:sz w:val="24"/>
          <w:szCs w:val="24"/>
          <w:shd w:val="clear" w:color="auto" w:fill="FFFFFF"/>
          <w:lang w:val="en-US"/>
        </w:rPr>
        <w:t>.</w:t>
      </w:r>
      <w:r w:rsidRPr="00B36BF6">
        <w:rPr>
          <w:rFonts w:ascii="Times New Roman" w:hAnsi="Times New Roman" w:cs="Times New Roman"/>
          <w:sz w:val="24"/>
          <w:szCs w:val="24"/>
          <w:shd w:val="clear" w:color="auto" w:fill="FFFFFF"/>
          <w:lang w:val="en-US"/>
        </w:rPr>
        <w:t>; XIAOHONG</w:t>
      </w:r>
      <w:r>
        <w:rPr>
          <w:rFonts w:ascii="Times New Roman" w:hAnsi="Times New Roman" w:cs="Times New Roman"/>
          <w:sz w:val="24"/>
          <w:szCs w:val="24"/>
          <w:shd w:val="clear" w:color="auto" w:fill="FFFFFF"/>
          <w:lang w:val="en-US"/>
        </w:rPr>
        <w:t>,</w:t>
      </w:r>
      <w:r w:rsidRPr="00B36BF6">
        <w:rPr>
          <w:rFonts w:ascii="Times New Roman" w:hAnsi="Times New Roman" w:cs="Times New Roman"/>
          <w:sz w:val="24"/>
          <w:szCs w:val="24"/>
          <w:shd w:val="clear" w:color="auto" w:fill="FFFFFF"/>
          <w:lang w:val="en-US"/>
        </w:rPr>
        <w:t xml:space="preserve"> </w:t>
      </w:r>
      <w:r w:rsidR="00647C4E" w:rsidRPr="00B36BF6">
        <w:rPr>
          <w:rFonts w:ascii="Times New Roman" w:hAnsi="Times New Roman" w:cs="Times New Roman"/>
          <w:sz w:val="24"/>
          <w:szCs w:val="24"/>
          <w:shd w:val="clear" w:color="auto" w:fill="FFFFFF"/>
          <w:lang w:val="en-US"/>
        </w:rPr>
        <w:t xml:space="preserve">W. Synthetic Polymers for Organ 3D Printing. </w:t>
      </w:r>
      <w:r w:rsidR="00647C4E" w:rsidRPr="001977A1">
        <w:rPr>
          <w:rFonts w:ascii="Times New Roman" w:hAnsi="Times New Roman" w:cs="Times New Roman"/>
          <w:b/>
          <w:bCs/>
          <w:sz w:val="24"/>
          <w:szCs w:val="24"/>
          <w:shd w:val="clear" w:color="auto" w:fill="FFFFFF"/>
          <w:lang w:val="en-US"/>
        </w:rPr>
        <w:t>Polymers (Basel)</w:t>
      </w:r>
      <w:r w:rsidRPr="001977A1">
        <w:rPr>
          <w:rFonts w:ascii="Times New Roman" w:hAnsi="Times New Roman" w:cs="Times New Roman"/>
          <w:b/>
          <w:bCs/>
          <w:sz w:val="24"/>
          <w:szCs w:val="24"/>
          <w:shd w:val="clear" w:color="auto" w:fill="FFFFFF"/>
          <w:lang w:val="en-US"/>
        </w:rPr>
        <w:t>,</w:t>
      </w:r>
      <w:r w:rsidR="00647C4E" w:rsidRPr="001977A1">
        <w:rPr>
          <w:rFonts w:ascii="Times New Roman" w:hAnsi="Times New Roman" w:cs="Times New Roman"/>
          <w:sz w:val="24"/>
          <w:szCs w:val="24"/>
          <w:shd w:val="clear" w:color="auto" w:fill="FFFFFF"/>
          <w:lang w:val="en-US"/>
        </w:rPr>
        <w:t xml:space="preserve"> </w:t>
      </w:r>
      <w:r w:rsidRPr="001977A1">
        <w:rPr>
          <w:rFonts w:ascii="Times New Roman" w:hAnsi="Times New Roman" w:cs="Times New Roman"/>
          <w:sz w:val="24"/>
          <w:szCs w:val="24"/>
          <w:shd w:val="clear" w:color="auto" w:fill="FFFFFF"/>
          <w:lang w:val="en-US"/>
        </w:rPr>
        <w:t xml:space="preserve"> v. </w:t>
      </w:r>
      <w:r w:rsidR="00647C4E" w:rsidRPr="001977A1">
        <w:rPr>
          <w:rFonts w:ascii="Times New Roman" w:hAnsi="Times New Roman" w:cs="Times New Roman"/>
          <w:sz w:val="24"/>
          <w:szCs w:val="24"/>
          <w:shd w:val="clear" w:color="auto" w:fill="FFFFFF"/>
          <w:lang w:val="en-US"/>
        </w:rPr>
        <w:t>12</w:t>
      </w:r>
      <w:r w:rsidRPr="001977A1">
        <w:rPr>
          <w:rFonts w:ascii="Times New Roman" w:hAnsi="Times New Roman" w:cs="Times New Roman"/>
          <w:sz w:val="24"/>
          <w:szCs w:val="24"/>
          <w:shd w:val="clear" w:color="auto" w:fill="FFFFFF"/>
          <w:lang w:val="en-US"/>
        </w:rPr>
        <w:t xml:space="preserve">, n. </w:t>
      </w:r>
      <w:r w:rsidR="00647C4E" w:rsidRPr="001977A1">
        <w:rPr>
          <w:rFonts w:ascii="Times New Roman" w:hAnsi="Times New Roman" w:cs="Times New Roman"/>
          <w:sz w:val="24"/>
          <w:szCs w:val="24"/>
          <w:shd w:val="clear" w:color="auto" w:fill="FFFFFF"/>
          <w:lang w:val="en-US"/>
        </w:rPr>
        <w:t>8</w:t>
      </w:r>
      <w:r w:rsidRPr="001977A1">
        <w:rPr>
          <w:rFonts w:ascii="Times New Roman" w:hAnsi="Times New Roman" w:cs="Times New Roman"/>
          <w:sz w:val="24"/>
          <w:szCs w:val="24"/>
          <w:shd w:val="clear" w:color="auto" w:fill="FFFFFF"/>
          <w:lang w:val="en-US"/>
        </w:rPr>
        <w:t xml:space="preserve">, p. </w:t>
      </w:r>
      <w:r w:rsidR="00647C4E" w:rsidRPr="001977A1">
        <w:rPr>
          <w:rFonts w:ascii="Times New Roman" w:hAnsi="Times New Roman" w:cs="Times New Roman"/>
          <w:sz w:val="24"/>
          <w:szCs w:val="24"/>
          <w:shd w:val="clear" w:color="auto" w:fill="FFFFFF"/>
          <w:lang w:val="en-US"/>
        </w:rPr>
        <w:t>1765</w:t>
      </w:r>
      <w:r w:rsidRPr="001977A1">
        <w:rPr>
          <w:rFonts w:ascii="Times New Roman" w:hAnsi="Times New Roman" w:cs="Times New Roman"/>
          <w:sz w:val="24"/>
          <w:szCs w:val="24"/>
          <w:shd w:val="clear" w:color="auto" w:fill="FFFFFF"/>
          <w:lang w:val="en-US"/>
        </w:rPr>
        <w:t>, 2020.</w:t>
      </w:r>
    </w:p>
    <w:p w14:paraId="6547C6F4" w14:textId="12FA62F2" w:rsidR="00ED4788" w:rsidRPr="00ED4788" w:rsidRDefault="00ED4788"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ED4788">
        <w:rPr>
          <w:rFonts w:ascii="Times New Roman" w:hAnsi="Times New Roman" w:cs="Times New Roman"/>
          <w:sz w:val="24"/>
          <w:szCs w:val="24"/>
          <w:lang w:val="en-US"/>
        </w:rPr>
        <w:t xml:space="preserve">GHASEMI, M.; NABIPOUR, I.; OMRANI, A.; ALIPOUR, Z.; ASSADI, M. </w:t>
      </w:r>
      <w:r w:rsidRPr="00B36BF6">
        <w:rPr>
          <w:rFonts w:ascii="Times New Roman" w:hAnsi="Times New Roman" w:cs="Times New Roman"/>
          <w:sz w:val="24"/>
          <w:szCs w:val="24"/>
          <w:lang w:val="en-US"/>
        </w:rPr>
        <w:t xml:space="preserve">Precision medicine and molecular imaging: new targeted approaches toward cancer therapeutic and diagnosis. </w:t>
      </w:r>
      <w:r w:rsidRPr="00ED4788">
        <w:rPr>
          <w:rFonts w:ascii="Times New Roman" w:hAnsi="Times New Roman" w:cs="Times New Roman"/>
          <w:b/>
          <w:bCs/>
          <w:sz w:val="24"/>
          <w:szCs w:val="24"/>
          <w:lang w:val="en-US"/>
        </w:rPr>
        <w:t>American Journal of Nuclear Medicine and Molecular Imaging</w:t>
      </w:r>
      <w:r w:rsidRPr="00ED47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Pr="00ED4788">
        <w:rPr>
          <w:rFonts w:ascii="Times New Roman" w:hAnsi="Times New Roman" w:cs="Times New Roman"/>
          <w:sz w:val="24"/>
          <w:szCs w:val="24"/>
          <w:lang w:val="en-US"/>
        </w:rPr>
        <w:t>6</w:t>
      </w:r>
      <w:r>
        <w:rPr>
          <w:rFonts w:ascii="Times New Roman" w:hAnsi="Times New Roman" w:cs="Times New Roman"/>
          <w:sz w:val="24"/>
          <w:szCs w:val="24"/>
          <w:lang w:val="en-US"/>
        </w:rPr>
        <w:t>,</w:t>
      </w:r>
      <w:r w:rsidRPr="00ED4788">
        <w:rPr>
          <w:rFonts w:ascii="Times New Roman" w:hAnsi="Times New Roman" w:cs="Times New Roman"/>
          <w:sz w:val="24"/>
          <w:szCs w:val="24"/>
          <w:lang w:val="en-US"/>
        </w:rPr>
        <w:t xml:space="preserve"> p. 310-327</w:t>
      </w:r>
      <w:r>
        <w:rPr>
          <w:rFonts w:ascii="Times New Roman" w:hAnsi="Times New Roman" w:cs="Times New Roman"/>
          <w:sz w:val="24"/>
          <w:szCs w:val="24"/>
          <w:lang w:val="en-US"/>
        </w:rPr>
        <w:t>, 2016.</w:t>
      </w:r>
    </w:p>
    <w:p w14:paraId="39B03998" w14:textId="02B26A72" w:rsidR="00647C4E" w:rsidRDefault="00647C4E" w:rsidP="004974DB">
      <w:pPr>
        <w:spacing w:before="100" w:beforeAutospacing="1" w:after="100" w:afterAutospacing="1"/>
        <w:jc w:val="both"/>
        <w:rPr>
          <w:lang w:val="en-US"/>
        </w:rPr>
      </w:pPr>
      <w:r w:rsidRPr="00B36BF6">
        <w:t>GUIDO, R.</w:t>
      </w:r>
      <w:r w:rsidR="001977A1">
        <w:t xml:space="preserve"> </w:t>
      </w:r>
      <w:r w:rsidRPr="00B36BF6">
        <w:t>V.</w:t>
      </w:r>
      <w:r w:rsidR="001977A1">
        <w:t xml:space="preserve"> </w:t>
      </w:r>
      <w:r w:rsidRPr="00B36BF6">
        <w:t xml:space="preserve">C.; ANDRICOPULO, A. D.; OLIVA, G. Planejamento de medicamentos, biotecnologia e química medicinal: aplicações em doenças infecciosas. </w:t>
      </w:r>
      <w:r w:rsidRPr="001977A1">
        <w:rPr>
          <w:b/>
          <w:lang w:val="en-US"/>
        </w:rPr>
        <w:t>Estud. av.</w:t>
      </w:r>
      <w:r w:rsidRPr="001977A1">
        <w:rPr>
          <w:lang w:val="en-US"/>
        </w:rPr>
        <w:t>, v. 24, n. 70, p. 81-98, 2010.</w:t>
      </w:r>
    </w:p>
    <w:p w14:paraId="11AA3ADC" w14:textId="28FBD10D" w:rsidR="00587DF6" w:rsidRDefault="00587DF6" w:rsidP="004974DB">
      <w:pPr>
        <w:spacing w:before="100" w:beforeAutospacing="1" w:after="100" w:afterAutospacing="1"/>
        <w:jc w:val="both"/>
        <w:rPr>
          <w:lang w:val="en-US"/>
        </w:rPr>
      </w:pPr>
      <w:r w:rsidRPr="00B36BF6">
        <w:rPr>
          <w:lang w:val="en-US"/>
        </w:rPr>
        <w:t xml:space="preserve">HERTZ, </w:t>
      </w:r>
      <w:r>
        <w:rPr>
          <w:lang w:val="en-US"/>
        </w:rPr>
        <w:t xml:space="preserve">L.; </w:t>
      </w:r>
      <w:r w:rsidRPr="00B36BF6">
        <w:rPr>
          <w:lang w:val="en-US"/>
        </w:rPr>
        <w:t>GIBBS</w:t>
      </w:r>
      <w:r>
        <w:rPr>
          <w:lang w:val="en-US"/>
        </w:rPr>
        <w:t>, M. E.</w:t>
      </w:r>
      <w:r w:rsidRPr="00B36BF6">
        <w:rPr>
          <w:lang w:val="en-US"/>
        </w:rPr>
        <w:t xml:space="preserve"> What learning in day-old chickens can teach a neurochemist: focus on astrocyte metabolism</w:t>
      </w:r>
      <w:r>
        <w:rPr>
          <w:lang w:val="en-US"/>
        </w:rPr>
        <w:t>.</w:t>
      </w:r>
      <w:r w:rsidRPr="00B36BF6">
        <w:rPr>
          <w:lang w:val="en-US"/>
        </w:rPr>
        <w:t xml:space="preserve"> </w:t>
      </w:r>
      <w:r w:rsidRPr="00587DF6">
        <w:rPr>
          <w:b/>
          <w:bCs/>
          <w:lang w:val="en-US"/>
        </w:rPr>
        <w:t>Journal of Neurochemistry,</w:t>
      </w:r>
      <w:r w:rsidRPr="00B36BF6">
        <w:rPr>
          <w:lang w:val="en-US"/>
        </w:rPr>
        <w:t xml:space="preserve"> </w:t>
      </w:r>
      <w:r>
        <w:rPr>
          <w:lang w:val="en-US"/>
        </w:rPr>
        <w:t xml:space="preserve">v. </w:t>
      </w:r>
      <w:r w:rsidRPr="00B36BF6">
        <w:rPr>
          <w:lang w:val="en-US"/>
        </w:rPr>
        <w:t>109</w:t>
      </w:r>
      <w:r>
        <w:rPr>
          <w:lang w:val="en-US"/>
        </w:rPr>
        <w:t>,</w:t>
      </w:r>
      <w:r w:rsidRPr="00B36BF6">
        <w:rPr>
          <w:lang w:val="en-US"/>
        </w:rPr>
        <w:t xml:space="preserve"> p. 10-16</w:t>
      </w:r>
      <w:r>
        <w:rPr>
          <w:lang w:val="en-US"/>
        </w:rPr>
        <w:t>, 2009.</w:t>
      </w:r>
    </w:p>
    <w:p w14:paraId="5F8FB61D" w14:textId="6B7587F7" w:rsidR="004C1FDA" w:rsidRPr="00ED4788" w:rsidRDefault="004C1FDA"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HOME</w:t>
      </w:r>
      <w:r>
        <w:rPr>
          <w:rFonts w:ascii="Times New Roman" w:hAnsi="Times New Roman" w:cs="Times New Roman"/>
          <w:sz w:val="24"/>
          <w:szCs w:val="24"/>
          <w:lang w:val="en-US"/>
        </w:rPr>
        <w:t>, P. D.</w:t>
      </w:r>
      <w:r w:rsidRPr="00B36BF6">
        <w:rPr>
          <w:rFonts w:ascii="Times New Roman" w:hAnsi="Times New Roman" w:cs="Times New Roman"/>
          <w:sz w:val="24"/>
          <w:szCs w:val="24"/>
          <w:lang w:val="en-US"/>
        </w:rPr>
        <w:t xml:space="preserve"> The pharmacokinetics and pharmacodynamics of rapid-acting insulin analogues and their clinical consequences</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t>
      </w:r>
      <w:r w:rsidRPr="004C1FDA">
        <w:rPr>
          <w:rFonts w:ascii="Times New Roman" w:hAnsi="Times New Roman" w:cs="Times New Roman"/>
          <w:b/>
          <w:bCs/>
          <w:sz w:val="24"/>
          <w:szCs w:val="24"/>
          <w:lang w:val="en-US"/>
        </w:rPr>
        <w:t>Diabetes, Obesity and Metabolism</w:t>
      </w:r>
      <w:r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v. </w:t>
      </w:r>
      <w:r w:rsidRPr="00B36BF6">
        <w:rPr>
          <w:rFonts w:ascii="Times New Roman" w:hAnsi="Times New Roman" w:cs="Times New Roman"/>
          <w:sz w:val="24"/>
          <w:szCs w:val="24"/>
          <w:lang w:val="en-US"/>
        </w:rPr>
        <w:t>14 p. 780-788</w:t>
      </w:r>
      <w:r>
        <w:rPr>
          <w:rFonts w:ascii="Times New Roman" w:hAnsi="Times New Roman" w:cs="Times New Roman"/>
          <w:sz w:val="24"/>
          <w:szCs w:val="24"/>
          <w:lang w:val="en-US"/>
        </w:rPr>
        <w:t>, 2012.</w:t>
      </w:r>
    </w:p>
    <w:p w14:paraId="389E3CF5" w14:textId="0AF31750" w:rsidR="00647C4E" w:rsidRPr="00B36BF6" w:rsidRDefault="001977A1" w:rsidP="004974DB">
      <w:pPr>
        <w:spacing w:before="100" w:beforeAutospacing="1" w:after="100" w:afterAutospacing="1"/>
        <w:jc w:val="both"/>
        <w:rPr>
          <w:lang w:val="en-US"/>
        </w:rPr>
      </w:pPr>
      <w:r w:rsidRPr="00B36BF6">
        <w:rPr>
          <w:lang w:val="en-US"/>
        </w:rPr>
        <w:t>HUNG</w:t>
      </w:r>
      <w:r>
        <w:rPr>
          <w:lang w:val="en-US"/>
        </w:rPr>
        <w:t>,</w:t>
      </w:r>
      <w:r w:rsidRPr="00B36BF6">
        <w:rPr>
          <w:lang w:val="en-US"/>
        </w:rPr>
        <w:t xml:space="preserve"> B.</w:t>
      </w:r>
      <w:r>
        <w:rPr>
          <w:lang w:val="en-US"/>
        </w:rPr>
        <w:t xml:space="preserve"> </w:t>
      </w:r>
      <w:r w:rsidRPr="00B36BF6">
        <w:rPr>
          <w:lang w:val="en-US"/>
        </w:rPr>
        <w:t>P.</w:t>
      </w:r>
      <w:r>
        <w:rPr>
          <w:lang w:val="en-US"/>
        </w:rPr>
        <w:t>;</w:t>
      </w:r>
      <w:r w:rsidRPr="00B36BF6">
        <w:rPr>
          <w:lang w:val="en-US"/>
        </w:rPr>
        <w:t xml:space="preserve"> NAVED</w:t>
      </w:r>
      <w:r>
        <w:rPr>
          <w:lang w:val="en-US"/>
        </w:rPr>
        <w:t>,</w:t>
      </w:r>
      <w:r w:rsidRPr="00B36BF6">
        <w:rPr>
          <w:lang w:val="en-US"/>
        </w:rPr>
        <w:t xml:space="preserve"> B.</w:t>
      </w:r>
      <w:r>
        <w:rPr>
          <w:lang w:val="en-US"/>
        </w:rPr>
        <w:t xml:space="preserve"> </w:t>
      </w:r>
      <w:r w:rsidRPr="00B36BF6">
        <w:rPr>
          <w:lang w:val="en-US"/>
        </w:rPr>
        <w:t>A.</w:t>
      </w:r>
      <w:r>
        <w:rPr>
          <w:lang w:val="en-US"/>
        </w:rPr>
        <w:t>;</w:t>
      </w:r>
      <w:r w:rsidRPr="00B36BF6">
        <w:rPr>
          <w:lang w:val="en-US"/>
        </w:rPr>
        <w:t xml:space="preserve"> NYBERG</w:t>
      </w:r>
      <w:r>
        <w:rPr>
          <w:lang w:val="en-US"/>
        </w:rPr>
        <w:t>,</w:t>
      </w:r>
      <w:r w:rsidRPr="00B36BF6">
        <w:rPr>
          <w:lang w:val="en-US"/>
        </w:rPr>
        <w:t xml:space="preserve"> E.</w:t>
      </w:r>
      <w:r>
        <w:rPr>
          <w:lang w:val="en-US"/>
        </w:rPr>
        <w:t xml:space="preserve"> </w:t>
      </w:r>
      <w:r w:rsidRPr="00B36BF6">
        <w:rPr>
          <w:lang w:val="en-US"/>
        </w:rPr>
        <w:t>L.</w:t>
      </w:r>
      <w:r>
        <w:rPr>
          <w:lang w:val="en-US"/>
        </w:rPr>
        <w:t>;</w:t>
      </w:r>
      <w:r w:rsidRPr="00B36BF6">
        <w:rPr>
          <w:lang w:val="en-US"/>
        </w:rPr>
        <w:t xml:space="preserve"> DIAS</w:t>
      </w:r>
      <w:r>
        <w:rPr>
          <w:lang w:val="en-US"/>
        </w:rPr>
        <w:t>,</w:t>
      </w:r>
      <w:r w:rsidRPr="00B36BF6">
        <w:rPr>
          <w:lang w:val="en-US"/>
        </w:rPr>
        <w:t xml:space="preserve"> M.</w:t>
      </w:r>
      <w:r>
        <w:rPr>
          <w:lang w:val="en-US"/>
        </w:rPr>
        <w:t>;</w:t>
      </w:r>
      <w:r w:rsidRPr="00B36BF6">
        <w:rPr>
          <w:lang w:val="en-US"/>
        </w:rPr>
        <w:t xml:space="preserve"> HOLMES</w:t>
      </w:r>
      <w:r>
        <w:rPr>
          <w:lang w:val="en-US"/>
        </w:rPr>
        <w:t>,</w:t>
      </w:r>
      <w:r w:rsidRPr="00B36BF6">
        <w:rPr>
          <w:lang w:val="en-US"/>
        </w:rPr>
        <w:t xml:space="preserve"> C.</w:t>
      </w:r>
      <w:r>
        <w:rPr>
          <w:lang w:val="en-US"/>
        </w:rPr>
        <w:t xml:space="preserve"> </w:t>
      </w:r>
      <w:r w:rsidRPr="00B36BF6">
        <w:rPr>
          <w:lang w:val="en-US"/>
        </w:rPr>
        <w:t>A.</w:t>
      </w:r>
      <w:r>
        <w:rPr>
          <w:lang w:val="en-US"/>
        </w:rPr>
        <w:t>;</w:t>
      </w:r>
      <w:r w:rsidRPr="00B36BF6">
        <w:rPr>
          <w:lang w:val="en-US"/>
        </w:rPr>
        <w:t xml:space="preserve"> ELISSEEFF</w:t>
      </w:r>
      <w:r>
        <w:rPr>
          <w:lang w:val="en-US"/>
        </w:rPr>
        <w:t>,</w:t>
      </w:r>
      <w:r w:rsidRPr="00B36BF6">
        <w:rPr>
          <w:lang w:val="en-US"/>
        </w:rPr>
        <w:t xml:space="preserve"> J.</w:t>
      </w:r>
      <w:r>
        <w:rPr>
          <w:lang w:val="en-US"/>
        </w:rPr>
        <w:t xml:space="preserve"> </w:t>
      </w:r>
      <w:r w:rsidRPr="00B36BF6">
        <w:rPr>
          <w:lang w:val="en-US"/>
        </w:rPr>
        <w:t>H.</w:t>
      </w:r>
      <w:r>
        <w:rPr>
          <w:lang w:val="en-US"/>
        </w:rPr>
        <w:t xml:space="preserve">; </w:t>
      </w:r>
      <w:r w:rsidRPr="00B36BF6">
        <w:rPr>
          <w:lang w:val="en-US"/>
        </w:rPr>
        <w:t>DORAFSHAR</w:t>
      </w:r>
      <w:r>
        <w:rPr>
          <w:lang w:val="en-US"/>
        </w:rPr>
        <w:t>,</w:t>
      </w:r>
      <w:r w:rsidRPr="00B36BF6">
        <w:rPr>
          <w:lang w:val="en-US"/>
        </w:rPr>
        <w:t xml:space="preserve"> A.</w:t>
      </w:r>
      <w:r>
        <w:rPr>
          <w:lang w:val="en-US"/>
        </w:rPr>
        <w:t xml:space="preserve"> </w:t>
      </w:r>
      <w:r w:rsidRPr="00B36BF6">
        <w:rPr>
          <w:lang w:val="en-US"/>
        </w:rPr>
        <w:t>H.</w:t>
      </w:r>
      <w:r>
        <w:rPr>
          <w:lang w:val="en-US"/>
        </w:rPr>
        <w:t xml:space="preserve">; </w:t>
      </w:r>
      <w:r w:rsidRPr="00B36BF6">
        <w:rPr>
          <w:lang w:val="en-US"/>
        </w:rPr>
        <w:t>GRAYSON</w:t>
      </w:r>
      <w:r>
        <w:rPr>
          <w:lang w:val="en-US"/>
        </w:rPr>
        <w:t>,</w:t>
      </w:r>
      <w:r w:rsidRPr="00B36BF6">
        <w:rPr>
          <w:lang w:val="en-US"/>
        </w:rPr>
        <w:t xml:space="preserve"> </w:t>
      </w:r>
      <w:r w:rsidR="00647C4E" w:rsidRPr="00B36BF6">
        <w:rPr>
          <w:lang w:val="en-US"/>
        </w:rPr>
        <w:t>W.</w:t>
      </w:r>
      <w:r>
        <w:rPr>
          <w:lang w:val="en-US"/>
        </w:rPr>
        <w:t xml:space="preserve"> </w:t>
      </w:r>
      <w:r w:rsidR="00647C4E" w:rsidRPr="00B36BF6">
        <w:rPr>
          <w:lang w:val="en-US"/>
        </w:rPr>
        <w:t xml:space="preserve">L. Three-dimensional printing of bone extracellular matrix for craniofacial regeneration. </w:t>
      </w:r>
      <w:r w:rsidR="00647C4E" w:rsidRPr="001977A1">
        <w:rPr>
          <w:b/>
          <w:bCs/>
          <w:lang w:val="en-US"/>
        </w:rPr>
        <w:t>ACS Biomater. Sci. Eng</w:t>
      </w:r>
      <w:r w:rsidR="00647C4E" w:rsidRPr="00B36BF6">
        <w:rPr>
          <w:lang w:val="en-US"/>
        </w:rPr>
        <w:t xml:space="preserve">. </w:t>
      </w:r>
      <w:r>
        <w:rPr>
          <w:lang w:val="en-US"/>
        </w:rPr>
        <w:t xml:space="preserve">v. </w:t>
      </w:r>
      <w:r w:rsidR="00647C4E" w:rsidRPr="00B36BF6">
        <w:rPr>
          <w:lang w:val="en-US"/>
        </w:rPr>
        <w:t>2</w:t>
      </w:r>
      <w:r>
        <w:rPr>
          <w:lang w:val="en-US"/>
        </w:rPr>
        <w:t xml:space="preserve">, p. </w:t>
      </w:r>
      <w:r w:rsidR="00647C4E" w:rsidRPr="00B36BF6">
        <w:rPr>
          <w:lang w:val="en-US"/>
        </w:rPr>
        <w:t>1806–1816</w:t>
      </w:r>
      <w:r>
        <w:rPr>
          <w:lang w:val="en-US"/>
        </w:rPr>
        <w:t>, 2016.</w:t>
      </w:r>
    </w:p>
    <w:p w14:paraId="29955A72" w14:textId="2E1BF483" w:rsidR="00647C4E" w:rsidRPr="00B36BF6" w:rsidRDefault="001977A1" w:rsidP="004974DB">
      <w:pPr>
        <w:spacing w:before="100" w:beforeAutospacing="1" w:after="100" w:afterAutospacing="1"/>
        <w:jc w:val="both"/>
        <w:rPr>
          <w:lang w:val="en-US"/>
        </w:rPr>
      </w:pPr>
      <w:r w:rsidRPr="00B36BF6">
        <w:rPr>
          <w:lang w:val="en-US"/>
        </w:rPr>
        <w:t>IFKOVITS</w:t>
      </w:r>
      <w:r w:rsidR="00D10FF3">
        <w:rPr>
          <w:lang w:val="en-US"/>
        </w:rPr>
        <w:t>,</w:t>
      </w:r>
      <w:r w:rsidRPr="00B36BF6">
        <w:rPr>
          <w:lang w:val="en-US"/>
        </w:rPr>
        <w:t xml:space="preserve"> J.</w:t>
      </w:r>
      <w:r w:rsidR="00D10FF3">
        <w:rPr>
          <w:lang w:val="en-US"/>
        </w:rPr>
        <w:t xml:space="preserve"> </w:t>
      </w:r>
      <w:r w:rsidRPr="00B36BF6">
        <w:rPr>
          <w:lang w:val="en-US"/>
        </w:rPr>
        <w:t>L.</w:t>
      </w:r>
      <w:r w:rsidR="00D10FF3">
        <w:rPr>
          <w:lang w:val="en-US"/>
        </w:rPr>
        <w:t>;</w:t>
      </w:r>
      <w:r w:rsidRPr="00B36BF6">
        <w:rPr>
          <w:lang w:val="en-US"/>
        </w:rPr>
        <w:t xml:space="preserve"> BURDICK</w:t>
      </w:r>
      <w:r w:rsidR="00D10FF3">
        <w:rPr>
          <w:lang w:val="en-US"/>
        </w:rPr>
        <w:t>,</w:t>
      </w:r>
      <w:r w:rsidRPr="00B36BF6">
        <w:rPr>
          <w:lang w:val="en-US"/>
        </w:rPr>
        <w:t xml:space="preserve"> J</w:t>
      </w:r>
      <w:r w:rsidR="00647C4E" w:rsidRPr="00B36BF6">
        <w:rPr>
          <w:lang w:val="en-US"/>
        </w:rPr>
        <w:t>.</w:t>
      </w:r>
      <w:r w:rsidR="00D10FF3">
        <w:rPr>
          <w:lang w:val="en-US"/>
        </w:rPr>
        <w:t xml:space="preserve"> </w:t>
      </w:r>
      <w:r w:rsidR="00647C4E" w:rsidRPr="00B36BF6">
        <w:rPr>
          <w:lang w:val="en-US"/>
        </w:rPr>
        <w:t xml:space="preserve">A. Review: Photopolymerizable and degradable. </w:t>
      </w:r>
      <w:r w:rsidR="00647C4E" w:rsidRPr="00D10FF3">
        <w:rPr>
          <w:b/>
          <w:bCs/>
          <w:lang w:val="en-US"/>
        </w:rPr>
        <w:t>Tissue Eng.</w:t>
      </w:r>
      <w:r w:rsidR="00D10FF3" w:rsidRPr="00D10FF3">
        <w:rPr>
          <w:b/>
          <w:bCs/>
          <w:lang w:val="en-US"/>
        </w:rPr>
        <w:t>,</w:t>
      </w:r>
      <w:r w:rsidR="00647C4E" w:rsidRPr="00D10FF3">
        <w:rPr>
          <w:b/>
          <w:bCs/>
          <w:lang w:val="en-US"/>
        </w:rPr>
        <w:t xml:space="preserve"> </w:t>
      </w:r>
      <w:r w:rsidR="00D10FF3">
        <w:rPr>
          <w:lang w:val="en-US"/>
        </w:rPr>
        <w:t xml:space="preserve">v. </w:t>
      </w:r>
      <w:r w:rsidR="00647C4E" w:rsidRPr="00B36BF6">
        <w:rPr>
          <w:lang w:val="en-US"/>
        </w:rPr>
        <w:t>13</w:t>
      </w:r>
      <w:r w:rsidR="00D10FF3">
        <w:rPr>
          <w:lang w:val="en-US"/>
        </w:rPr>
        <w:t xml:space="preserve">, p. </w:t>
      </w:r>
      <w:r w:rsidR="00647C4E" w:rsidRPr="00B36BF6">
        <w:rPr>
          <w:lang w:val="en-US"/>
        </w:rPr>
        <w:t>2369–2385</w:t>
      </w:r>
      <w:r w:rsidR="00D10FF3">
        <w:rPr>
          <w:lang w:val="en-US"/>
        </w:rPr>
        <w:t>, 2007.</w:t>
      </w:r>
    </w:p>
    <w:p w14:paraId="61BBA047" w14:textId="0EF638F5" w:rsidR="00647C4E" w:rsidRPr="00B36BF6" w:rsidRDefault="00D10FF3" w:rsidP="004974DB">
      <w:pPr>
        <w:spacing w:before="100" w:beforeAutospacing="1" w:after="100" w:afterAutospacing="1"/>
        <w:jc w:val="both"/>
        <w:rPr>
          <w:lang w:val="en-US"/>
        </w:rPr>
      </w:pPr>
      <w:r w:rsidRPr="00B36BF6">
        <w:rPr>
          <w:lang w:val="en-US"/>
        </w:rPr>
        <w:t>IRVINE D. J.</w:t>
      </w:r>
      <w:r>
        <w:rPr>
          <w:lang w:val="en-US"/>
        </w:rPr>
        <w:t>;</w:t>
      </w:r>
      <w:r w:rsidRPr="00B36BF6">
        <w:rPr>
          <w:lang w:val="en-US"/>
        </w:rPr>
        <w:t xml:space="preserve"> DANE</w:t>
      </w:r>
      <w:r>
        <w:rPr>
          <w:lang w:val="en-US"/>
        </w:rPr>
        <w:t>,</w:t>
      </w:r>
      <w:r w:rsidRPr="00B36BF6">
        <w:rPr>
          <w:lang w:val="en-US"/>
        </w:rPr>
        <w:t xml:space="preserve"> E. </w:t>
      </w:r>
      <w:r w:rsidR="00647C4E" w:rsidRPr="00B36BF6">
        <w:rPr>
          <w:lang w:val="en-US"/>
        </w:rPr>
        <w:t xml:space="preserve">L. </w:t>
      </w:r>
      <w:r w:rsidR="00647C4E" w:rsidRPr="00D10FF3">
        <w:rPr>
          <w:b/>
          <w:bCs/>
          <w:lang w:val="en-US"/>
        </w:rPr>
        <w:t>Nat. Rev. Immunol</w:t>
      </w:r>
      <w:r w:rsidR="00647C4E" w:rsidRPr="00B36BF6">
        <w:rPr>
          <w:lang w:val="en-US"/>
        </w:rPr>
        <w:t xml:space="preserve">. </w:t>
      </w:r>
      <w:r>
        <w:rPr>
          <w:lang w:val="en-US"/>
        </w:rPr>
        <w:t xml:space="preserve">v. </w:t>
      </w:r>
      <w:r w:rsidR="00647C4E" w:rsidRPr="00B36BF6">
        <w:rPr>
          <w:lang w:val="en-US"/>
        </w:rPr>
        <w:t xml:space="preserve">20, </w:t>
      </w:r>
      <w:r>
        <w:rPr>
          <w:lang w:val="en-US"/>
        </w:rPr>
        <w:t xml:space="preserve">p. </w:t>
      </w:r>
      <w:r w:rsidR="00647C4E" w:rsidRPr="00B36BF6">
        <w:rPr>
          <w:lang w:val="en-US"/>
        </w:rPr>
        <w:t>321, 2020.</w:t>
      </w:r>
    </w:p>
    <w:p w14:paraId="7600ADF7" w14:textId="38924A61" w:rsidR="00647C4E" w:rsidRPr="00D10FF3" w:rsidRDefault="00D10FF3" w:rsidP="004974DB">
      <w:pPr>
        <w:spacing w:before="100" w:beforeAutospacing="1" w:after="100" w:afterAutospacing="1"/>
        <w:jc w:val="both"/>
        <w:rPr>
          <w:lang w:val="en-US"/>
        </w:rPr>
      </w:pPr>
      <w:r w:rsidRPr="00B36BF6">
        <w:rPr>
          <w:lang w:val="en-US"/>
        </w:rPr>
        <w:t>JAIN</w:t>
      </w:r>
      <w:r>
        <w:rPr>
          <w:lang w:val="en-US"/>
        </w:rPr>
        <w:t>,</w:t>
      </w:r>
      <w:r w:rsidRPr="00B36BF6">
        <w:rPr>
          <w:lang w:val="en-US"/>
        </w:rPr>
        <w:t xml:space="preserve"> R. K.</w:t>
      </w:r>
      <w:r>
        <w:rPr>
          <w:lang w:val="en-US"/>
        </w:rPr>
        <w:t>;</w:t>
      </w:r>
      <w:r w:rsidRPr="00B36BF6">
        <w:rPr>
          <w:lang w:val="en-US"/>
        </w:rPr>
        <w:t xml:space="preserve"> STYLIANOPOULOS</w:t>
      </w:r>
      <w:r>
        <w:rPr>
          <w:lang w:val="en-US"/>
        </w:rPr>
        <w:t>,</w:t>
      </w:r>
      <w:r w:rsidRPr="00B36BF6">
        <w:rPr>
          <w:lang w:val="en-US"/>
        </w:rPr>
        <w:t xml:space="preserve"> </w:t>
      </w:r>
      <w:r w:rsidR="00647C4E" w:rsidRPr="00B36BF6">
        <w:rPr>
          <w:lang w:val="en-US"/>
        </w:rPr>
        <w:t xml:space="preserve">T. </w:t>
      </w:r>
      <w:r w:rsidR="00647C4E" w:rsidRPr="00D10FF3">
        <w:rPr>
          <w:b/>
          <w:bCs/>
          <w:lang w:val="en-US"/>
        </w:rPr>
        <w:t>Nat. Rev. Clin. Oncol.</w:t>
      </w:r>
      <w:r>
        <w:rPr>
          <w:b/>
          <w:bCs/>
          <w:lang w:val="en-US"/>
        </w:rPr>
        <w:t>,</w:t>
      </w:r>
      <w:r w:rsidR="00647C4E" w:rsidRPr="00D10FF3">
        <w:rPr>
          <w:lang w:val="en-US"/>
        </w:rPr>
        <w:t xml:space="preserve"> </w:t>
      </w:r>
      <w:r>
        <w:rPr>
          <w:lang w:val="en-US"/>
        </w:rPr>
        <w:t xml:space="preserve">v. </w:t>
      </w:r>
      <w:r w:rsidR="00647C4E" w:rsidRPr="00D10FF3">
        <w:rPr>
          <w:lang w:val="en-US"/>
        </w:rPr>
        <w:t xml:space="preserve">7, </w:t>
      </w:r>
      <w:r>
        <w:rPr>
          <w:lang w:val="en-US"/>
        </w:rPr>
        <w:t xml:space="preserve">p. </w:t>
      </w:r>
      <w:r w:rsidR="00647C4E" w:rsidRPr="00D10FF3">
        <w:rPr>
          <w:lang w:val="en-US"/>
        </w:rPr>
        <w:t>653</w:t>
      </w:r>
      <w:r>
        <w:rPr>
          <w:lang w:val="en-US"/>
        </w:rPr>
        <w:t>, 2010.</w:t>
      </w:r>
    </w:p>
    <w:p w14:paraId="131EC555" w14:textId="07C3D30D" w:rsidR="00647C4E" w:rsidRPr="00B36BF6" w:rsidRDefault="00D10FF3" w:rsidP="004974DB">
      <w:pPr>
        <w:spacing w:before="100" w:beforeAutospacing="1" w:after="100" w:afterAutospacing="1"/>
        <w:jc w:val="both"/>
        <w:rPr>
          <w:lang w:val="en-US"/>
        </w:rPr>
      </w:pPr>
      <w:r w:rsidRPr="00B36BF6">
        <w:rPr>
          <w:lang w:val="en-US"/>
        </w:rPr>
        <w:t>KEIZER</w:t>
      </w:r>
      <w:r>
        <w:rPr>
          <w:lang w:val="en-US"/>
        </w:rPr>
        <w:t>,</w:t>
      </w:r>
      <w:r w:rsidRPr="00B36BF6">
        <w:rPr>
          <w:lang w:val="en-US"/>
        </w:rPr>
        <w:t xml:space="preserve"> R</w:t>
      </w:r>
      <w:r>
        <w:rPr>
          <w:lang w:val="en-US"/>
        </w:rPr>
        <w:t xml:space="preserve">. </w:t>
      </w:r>
      <w:r w:rsidRPr="00B36BF6">
        <w:rPr>
          <w:lang w:val="en-US"/>
        </w:rPr>
        <w:t>J</w:t>
      </w:r>
      <w:r>
        <w:rPr>
          <w:lang w:val="en-US"/>
        </w:rPr>
        <w:t>.;</w:t>
      </w:r>
      <w:r w:rsidRPr="00B36BF6">
        <w:rPr>
          <w:lang w:val="en-US"/>
        </w:rPr>
        <w:t xml:space="preserve"> HUITEMA</w:t>
      </w:r>
      <w:r>
        <w:rPr>
          <w:lang w:val="en-US"/>
        </w:rPr>
        <w:t>,</w:t>
      </w:r>
      <w:r w:rsidRPr="00B36BF6">
        <w:rPr>
          <w:lang w:val="en-US"/>
        </w:rPr>
        <w:t xml:space="preserve"> A</w:t>
      </w:r>
      <w:r>
        <w:rPr>
          <w:lang w:val="en-US"/>
        </w:rPr>
        <w:t xml:space="preserve">. </w:t>
      </w:r>
      <w:r w:rsidRPr="00B36BF6">
        <w:rPr>
          <w:lang w:val="en-US"/>
        </w:rPr>
        <w:t>D</w:t>
      </w:r>
      <w:r>
        <w:rPr>
          <w:lang w:val="en-US"/>
        </w:rPr>
        <w:t>.;</w:t>
      </w:r>
      <w:r w:rsidRPr="00B36BF6">
        <w:rPr>
          <w:lang w:val="en-US"/>
        </w:rPr>
        <w:t xml:space="preserve"> SCHELLENS</w:t>
      </w:r>
      <w:r>
        <w:rPr>
          <w:lang w:val="en-US"/>
        </w:rPr>
        <w:t>,</w:t>
      </w:r>
      <w:r w:rsidRPr="00B36BF6">
        <w:rPr>
          <w:lang w:val="en-US"/>
        </w:rPr>
        <w:t xml:space="preserve"> J</w:t>
      </w:r>
      <w:r>
        <w:rPr>
          <w:lang w:val="en-US"/>
        </w:rPr>
        <w:t xml:space="preserve">. </w:t>
      </w:r>
      <w:r w:rsidRPr="00B36BF6">
        <w:rPr>
          <w:lang w:val="en-US"/>
        </w:rPr>
        <w:t>H</w:t>
      </w:r>
      <w:r>
        <w:rPr>
          <w:lang w:val="en-US"/>
        </w:rPr>
        <w:t>.;</w:t>
      </w:r>
      <w:r w:rsidRPr="00B36BF6">
        <w:rPr>
          <w:lang w:val="en-US"/>
        </w:rPr>
        <w:t xml:space="preserve"> BEIJNEN</w:t>
      </w:r>
      <w:r>
        <w:rPr>
          <w:lang w:val="en-US"/>
        </w:rPr>
        <w:t>,</w:t>
      </w:r>
      <w:r w:rsidRPr="00B36BF6">
        <w:rPr>
          <w:lang w:val="en-US"/>
        </w:rPr>
        <w:t xml:space="preserve"> J</w:t>
      </w:r>
      <w:r>
        <w:rPr>
          <w:lang w:val="en-US"/>
        </w:rPr>
        <w:t xml:space="preserve">. </w:t>
      </w:r>
      <w:r w:rsidRPr="00B36BF6">
        <w:rPr>
          <w:lang w:val="en-US"/>
        </w:rPr>
        <w:t>H</w:t>
      </w:r>
      <w:r w:rsidR="00647C4E" w:rsidRPr="00B36BF6">
        <w:rPr>
          <w:lang w:val="en-US"/>
        </w:rPr>
        <w:t xml:space="preserve">. Clinical pharmacokinetics of therapeutic monoclonal antibodies. </w:t>
      </w:r>
      <w:r w:rsidR="00647C4E" w:rsidRPr="00D10FF3">
        <w:rPr>
          <w:b/>
          <w:bCs/>
          <w:lang w:val="en-US"/>
        </w:rPr>
        <w:t>Clin Pharmacokinet.</w:t>
      </w:r>
      <w:r w:rsidRPr="00D10FF3">
        <w:rPr>
          <w:b/>
          <w:bCs/>
          <w:lang w:val="en-US"/>
        </w:rPr>
        <w:t>,</w:t>
      </w:r>
      <w:r>
        <w:rPr>
          <w:lang w:val="en-US"/>
        </w:rPr>
        <w:t xml:space="preserve"> v. </w:t>
      </w:r>
      <w:r w:rsidR="00647C4E" w:rsidRPr="00B36BF6">
        <w:rPr>
          <w:lang w:val="en-US"/>
        </w:rPr>
        <w:t>49</w:t>
      </w:r>
      <w:r>
        <w:rPr>
          <w:lang w:val="en-US"/>
        </w:rPr>
        <w:t xml:space="preserve">, p. </w:t>
      </w:r>
      <w:r w:rsidR="00647C4E" w:rsidRPr="00B36BF6">
        <w:rPr>
          <w:lang w:val="en-US"/>
        </w:rPr>
        <w:t>493‐507</w:t>
      </w:r>
      <w:r>
        <w:rPr>
          <w:lang w:val="en-US"/>
        </w:rPr>
        <w:t>, 2010</w:t>
      </w:r>
    </w:p>
    <w:p w14:paraId="1E85173C" w14:textId="5A0C9C73" w:rsidR="00647C4E" w:rsidRPr="00B36BF6" w:rsidRDefault="00D10FF3" w:rsidP="004974DB">
      <w:pPr>
        <w:spacing w:before="100" w:beforeAutospacing="1" w:after="100" w:afterAutospacing="1"/>
        <w:jc w:val="both"/>
        <w:rPr>
          <w:lang w:val="en-US"/>
        </w:rPr>
      </w:pPr>
      <w:r w:rsidRPr="00B36BF6">
        <w:rPr>
          <w:lang w:val="en-US"/>
        </w:rPr>
        <w:t xml:space="preserve">KOHLER G, MILSTEIN C. </w:t>
      </w:r>
      <w:r w:rsidR="00647C4E" w:rsidRPr="00B36BF6">
        <w:rPr>
          <w:lang w:val="en-US"/>
        </w:rPr>
        <w:t xml:space="preserve">Derivation of specific antibody‐producing tissue culture and tumor lines by cell fusion. </w:t>
      </w:r>
      <w:r w:rsidR="00647C4E" w:rsidRPr="001E0712">
        <w:rPr>
          <w:b/>
          <w:bCs/>
          <w:lang w:val="en-US"/>
        </w:rPr>
        <w:t>Eur J Immunol</w:t>
      </w:r>
      <w:r w:rsidR="00647C4E" w:rsidRPr="00B36BF6">
        <w:rPr>
          <w:lang w:val="en-US"/>
        </w:rPr>
        <w:t>.</w:t>
      </w:r>
      <w:r w:rsidR="001E0712">
        <w:rPr>
          <w:lang w:val="en-US"/>
        </w:rPr>
        <w:t>,</w:t>
      </w:r>
      <w:r w:rsidR="00647C4E" w:rsidRPr="00B36BF6">
        <w:rPr>
          <w:lang w:val="en-US"/>
        </w:rPr>
        <w:t xml:space="preserve"> </w:t>
      </w:r>
      <w:r w:rsidR="001E0712">
        <w:rPr>
          <w:lang w:val="en-US"/>
        </w:rPr>
        <w:t xml:space="preserve">v. </w:t>
      </w:r>
      <w:r w:rsidR="00647C4E" w:rsidRPr="00B36BF6">
        <w:rPr>
          <w:lang w:val="en-US"/>
        </w:rPr>
        <w:t>6</w:t>
      </w:r>
      <w:r w:rsidR="001E0712">
        <w:rPr>
          <w:lang w:val="en-US"/>
        </w:rPr>
        <w:t xml:space="preserve">, p. </w:t>
      </w:r>
      <w:r w:rsidR="00647C4E" w:rsidRPr="00B36BF6">
        <w:rPr>
          <w:lang w:val="en-US"/>
        </w:rPr>
        <w:t>511‐519</w:t>
      </w:r>
      <w:r w:rsidR="001E0712">
        <w:rPr>
          <w:lang w:val="en-US"/>
        </w:rPr>
        <w:t>, 1976.</w:t>
      </w:r>
    </w:p>
    <w:p w14:paraId="72D92BF7" w14:textId="22FD0C37" w:rsidR="00647C4E" w:rsidRPr="00B36BF6" w:rsidRDefault="001E0712" w:rsidP="004974DB">
      <w:pPr>
        <w:spacing w:before="100" w:beforeAutospacing="1" w:after="100" w:afterAutospacing="1"/>
        <w:jc w:val="both"/>
        <w:rPr>
          <w:lang w:val="en-US"/>
        </w:rPr>
      </w:pPr>
      <w:r w:rsidRPr="00B36BF6">
        <w:rPr>
          <w:lang w:val="en-US"/>
        </w:rPr>
        <w:t>KRUTH</w:t>
      </w:r>
      <w:r>
        <w:rPr>
          <w:lang w:val="en-US"/>
        </w:rPr>
        <w:t>,</w:t>
      </w:r>
      <w:r w:rsidRPr="00B36BF6">
        <w:rPr>
          <w:lang w:val="en-US"/>
        </w:rPr>
        <w:t xml:space="preserve"> J.-P.</w:t>
      </w:r>
      <w:r>
        <w:rPr>
          <w:lang w:val="en-US"/>
        </w:rPr>
        <w:t>;</w:t>
      </w:r>
      <w:r w:rsidRPr="00B36BF6">
        <w:rPr>
          <w:lang w:val="en-US"/>
        </w:rPr>
        <w:t xml:space="preserve"> MERCELIS</w:t>
      </w:r>
      <w:r>
        <w:rPr>
          <w:lang w:val="en-US"/>
        </w:rPr>
        <w:t>,</w:t>
      </w:r>
      <w:r w:rsidRPr="00B36BF6">
        <w:rPr>
          <w:lang w:val="en-US"/>
        </w:rPr>
        <w:t xml:space="preserve"> P.</w:t>
      </w:r>
      <w:r>
        <w:rPr>
          <w:lang w:val="en-US"/>
        </w:rPr>
        <w:t xml:space="preserve">; </w:t>
      </w:r>
      <w:r w:rsidRPr="00B36BF6">
        <w:rPr>
          <w:lang w:val="en-US"/>
        </w:rPr>
        <w:t>VAERENBERGH</w:t>
      </w:r>
      <w:r>
        <w:rPr>
          <w:lang w:val="en-US"/>
        </w:rPr>
        <w:t xml:space="preserve">, </w:t>
      </w:r>
      <w:r w:rsidRPr="00B36BF6">
        <w:rPr>
          <w:lang w:val="en-US"/>
        </w:rPr>
        <w:t>J.</w:t>
      </w:r>
      <w:r>
        <w:rPr>
          <w:lang w:val="en-US"/>
        </w:rPr>
        <w:t xml:space="preserve">; </w:t>
      </w:r>
      <w:r w:rsidRPr="00B36BF6">
        <w:rPr>
          <w:lang w:val="en-US"/>
        </w:rPr>
        <w:t>VAN FROYEN</w:t>
      </w:r>
      <w:r>
        <w:rPr>
          <w:lang w:val="en-US"/>
        </w:rPr>
        <w:t>,</w:t>
      </w:r>
      <w:r w:rsidRPr="00B36BF6">
        <w:rPr>
          <w:lang w:val="en-US"/>
        </w:rPr>
        <w:t xml:space="preserve"> L. ROMBOUTS </w:t>
      </w:r>
      <w:r w:rsidR="00647C4E" w:rsidRPr="00B36BF6">
        <w:rPr>
          <w:lang w:val="en-US"/>
        </w:rPr>
        <w:t xml:space="preserve">M. Binding mechanisms in selective laser sintering and selective laser melting. </w:t>
      </w:r>
      <w:r w:rsidR="00647C4E" w:rsidRPr="001E0712">
        <w:rPr>
          <w:b/>
          <w:bCs/>
          <w:lang w:val="en-US"/>
        </w:rPr>
        <w:t>Rapid Prototyp. J.</w:t>
      </w:r>
      <w:r>
        <w:rPr>
          <w:lang w:val="en-US"/>
        </w:rPr>
        <w:t>,</w:t>
      </w:r>
      <w:r w:rsidR="00647C4E" w:rsidRPr="00B36BF6">
        <w:rPr>
          <w:lang w:val="en-US"/>
        </w:rPr>
        <w:t xml:space="preserve"> </w:t>
      </w:r>
      <w:r>
        <w:rPr>
          <w:lang w:val="en-US"/>
        </w:rPr>
        <w:t xml:space="preserve">v. </w:t>
      </w:r>
      <w:r w:rsidR="00647C4E" w:rsidRPr="00B36BF6">
        <w:rPr>
          <w:lang w:val="en-US"/>
        </w:rPr>
        <w:t>11</w:t>
      </w:r>
      <w:r>
        <w:rPr>
          <w:lang w:val="en-US"/>
        </w:rPr>
        <w:t xml:space="preserve">, p. </w:t>
      </w:r>
      <w:r w:rsidR="00647C4E" w:rsidRPr="00B36BF6">
        <w:rPr>
          <w:lang w:val="en-US"/>
        </w:rPr>
        <w:t>26–36</w:t>
      </w:r>
      <w:r>
        <w:rPr>
          <w:lang w:val="en-US"/>
        </w:rPr>
        <w:t>, 2013.</w:t>
      </w:r>
    </w:p>
    <w:p w14:paraId="7CE1D5A8" w14:textId="55F000CA" w:rsidR="00647C4E" w:rsidRPr="00587DF6" w:rsidRDefault="00587DF6" w:rsidP="004974DB">
      <w:pPr>
        <w:spacing w:before="100" w:beforeAutospacing="1" w:after="100" w:afterAutospacing="1"/>
        <w:jc w:val="both"/>
        <w:rPr>
          <w:lang w:val="en-US"/>
        </w:rPr>
      </w:pPr>
      <w:r w:rsidRPr="00B36BF6">
        <w:rPr>
          <w:lang w:val="en-US"/>
        </w:rPr>
        <w:t>LAM</w:t>
      </w:r>
      <w:r>
        <w:rPr>
          <w:lang w:val="en-US"/>
        </w:rPr>
        <w:t>,</w:t>
      </w:r>
      <w:r w:rsidRPr="00B36BF6">
        <w:rPr>
          <w:lang w:val="en-US"/>
        </w:rPr>
        <w:t xml:space="preserve"> F. C.</w:t>
      </w:r>
      <w:r>
        <w:rPr>
          <w:lang w:val="en-US"/>
        </w:rPr>
        <w:t>;</w:t>
      </w:r>
      <w:r w:rsidRPr="00B36BF6">
        <w:rPr>
          <w:lang w:val="en-US"/>
        </w:rPr>
        <w:t xml:space="preserve"> MORTON</w:t>
      </w:r>
      <w:r>
        <w:rPr>
          <w:lang w:val="en-US"/>
        </w:rPr>
        <w:t>,</w:t>
      </w:r>
      <w:r w:rsidRPr="00B36BF6">
        <w:rPr>
          <w:lang w:val="en-US"/>
        </w:rPr>
        <w:t xml:space="preserve"> S. W.</w:t>
      </w:r>
      <w:r>
        <w:rPr>
          <w:lang w:val="en-US"/>
        </w:rPr>
        <w:t>;</w:t>
      </w:r>
      <w:r w:rsidRPr="00B36BF6">
        <w:rPr>
          <w:lang w:val="en-US"/>
        </w:rPr>
        <w:t xml:space="preserve"> WYCKOFF</w:t>
      </w:r>
      <w:r>
        <w:rPr>
          <w:lang w:val="en-US"/>
        </w:rPr>
        <w:t>,</w:t>
      </w:r>
      <w:r w:rsidRPr="00B36BF6">
        <w:rPr>
          <w:lang w:val="en-US"/>
        </w:rPr>
        <w:t xml:space="preserve"> J.</w:t>
      </w:r>
      <w:r>
        <w:rPr>
          <w:lang w:val="en-US"/>
        </w:rPr>
        <w:t>;</w:t>
      </w:r>
      <w:r w:rsidRPr="00B36BF6">
        <w:rPr>
          <w:lang w:val="en-US"/>
        </w:rPr>
        <w:t xml:space="preserve"> HAN</w:t>
      </w:r>
      <w:r>
        <w:rPr>
          <w:lang w:val="en-US"/>
        </w:rPr>
        <w:t xml:space="preserve">, </w:t>
      </w:r>
      <w:r w:rsidRPr="00B36BF6">
        <w:rPr>
          <w:lang w:val="en-US"/>
        </w:rPr>
        <w:t>T. L. V.</w:t>
      </w:r>
      <w:r>
        <w:rPr>
          <w:lang w:val="en-US"/>
        </w:rPr>
        <w:t xml:space="preserve">; </w:t>
      </w:r>
      <w:r w:rsidRPr="00B36BF6">
        <w:rPr>
          <w:lang w:val="en-US"/>
        </w:rPr>
        <w:t>HWANG</w:t>
      </w:r>
      <w:r>
        <w:rPr>
          <w:lang w:val="en-US"/>
        </w:rPr>
        <w:t>,</w:t>
      </w:r>
      <w:r w:rsidRPr="00B36BF6">
        <w:rPr>
          <w:lang w:val="en-US"/>
        </w:rPr>
        <w:t xml:space="preserve"> M. K.</w:t>
      </w:r>
      <w:r>
        <w:rPr>
          <w:lang w:val="en-US"/>
        </w:rPr>
        <w:t>;</w:t>
      </w:r>
      <w:r w:rsidRPr="00B36BF6">
        <w:rPr>
          <w:lang w:val="en-US"/>
        </w:rPr>
        <w:t xml:space="preserve"> MAFFA</w:t>
      </w:r>
      <w:r>
        <w:rPr>
          <w:lang w:val="en-US"/>
        </w:rPr>
        <w:t>,</w:t>
      </w:r>
      <w:r w:rsidRPr="00B36BF6">
        <w:rPr>
          <w:lang w:val="en-US"/>
        </w:rPr>
        <w:t xml:space="preserve"> A.</w:t>
      </w:r>
      <w:r>
        <w:rPr>
          <w:lang w:val="en-US"/>
        </w:rPr>
        <w:t>;</w:t>
      </w:r>
      <w:r w:rsidRPr="00B36BF6">
        <w:rPr>
          <w:lang w:val="en-US"/>
        </w:rPr>
        <w:t xml:space="preserve"> BALKANSKA‐SINCLAIR</w:t>
      </w:r>
      <w:r>
        <w:rPr>
          <w:lang w:val="en-US"/>
        </w:rPr>
        <w:t>,</w:t>
      </w:r>
      <w:r w:rsidRPr="00B36BF6">
        <w:rPr>
          <w:lang w:val="en-US"/>
        </w:rPr>
        <w:t xml:space="preserve"> E.</w:t>
      </w:r>
      <w:r>
        <w:rPr>
          <w:lang w:val="en-US"/>
        </w:rPr>
        <w:t>;</w:t>
      </w:r>
      <w:r w:rsidRPr="00B36BF6">
        <w:rPr>
          <w:lang w:val="en-US"/>
        </w:rPr>
        <w:t xml:space="preserve"> YAFFE</w:t>
      </w:r>
      <w:r>
        <w:rPr>
          <w:lang w:val="en-US"/>
        </w:rPr>
        <w:t>,</w:t>
      </w:r>
      <w:r w:rsidRPr="00B36BF6">
        <w:rPr>
          <w:lang w:val="en-US"/>
        </w:rPr>
        <w:t xml:space="preserve"> M. B.</w:t>
      </w:r>
      <w:r>
        <w:rPr>
          <w:lang w:val="en-US"/>
        </w:rPr>
        <w:t>;</w:t>
      </w:r>
      <w:r w:rsidRPr="00B36BF6">
        <w:rPr>
          <w:lang w:val="en-US"/>
        </w:rPr>
        <w:t xml:space="preserve"> FLOYD</w:t>
      </w:r>
      <w:r>
        <w:rPr>
          <w:lang w:val="en-US"/>
        </w:rPr>
        <w:t>,</w:t>
      </w:r>
      <w:r w:rsidRPr="00B36BF6">
        <w:rPr>
          <w:lang w:val="en-US"/>
        </w:rPr>
        <w:t xml:space="preserve"> S. R.</w:t>
      </w:r>
      <w:r>
        <w:rPr>
          <w:lang w:val="en-US"/>
        </w:rPr>
        <w:t>;</w:t>
      </w:r>
      <w:r w:rsidRPr="00B36BF6">
        <w:rPr>
          <w:lang w:val="en-US"/>
        </w:rPr>
        <w:t xml:space="preserve"> HAMMOND</w:t>
      </w:r>
      <w:r>
        <w:rPr>
          <w:lang w:val="en-US"/>
        </w:rPr>
        <w:t>,</w:t>
      </w:r>
      <w:r w:rsidRPr="00B36BF6">
        <w:rPr>
          <w:lang w:val="en-US"/>
        </w:rPr>
        <w:t xml:space="preserve"> P. </w:t>
      </w:r>
      <w:r w:rsidR="00647C4E" w:rsidRPr="00B36BF6">
        <w:rPr>
          <w:lang w:val="en-US"/>
        </w:rPr>
        <w:t xml:space="preserve">T. </w:t>
      </w:r>
      <w:r w:rsidR="00647C4E" w:rsidRPr="00587DF6">
        <w:rPr>
          <w:b/>
          <w:bCs/>
          <w:lang w:val="en-US"/>
        </w:rPr>
        <w:t>Nat. Commun</w:t>
      </w:r>
      <w:r w:rsidR="00647C4E" w:rsidRPr="00587DF6">
        <w:rPr>
          <w:lang w:val="en-US"/>
        </w:rPr>
        <w:t>.</w:t>
      </w:r>
      <w:r>
        <w:rPr>
          <w:lang w:val="en-US"/>
        </w:rPr>
        <w:t>,</w:t>
      </w:r>
      <w:r w:rsidR="00647C4E" w:rsidRPr="00587DF6">
        <w:rPr>
          <w:lang w:val="en-US"/>
        </w:rPr>
        <w:t xml:space="preserve"> </w:t>
      </w:r>
      <w:r>
        <w:rPr>
          <w:lang w:val="en-US"/>
        </w:rPr>
        <w:t xml:space="preserve">v. </w:t>
      </w:r>
      <w:r w:rsidR="00647C4E" w:rsidRPr="00587DF6">
        <w:rPr>
          <w:lang w:val="en-US"/>
        </w:rPr>
        <w:t xml:space="preserve">9, </w:t>
      </w:r>
      <w:r>
        <w:rPr>
          <w:lang w:val="en-US"/>
        </w:rPr>
        <w:t xml:space="preserve">p. </w:t>
      </w:r>
      <w:r w:rsidR="00647C4E" w:rsidRPr="00587DF6">
        <w:rPr>
          <w:lang w:val="en-US"/>
        </w:rPr>
        <w:t>1991</w:t>
      </w:r>
      <w:r>
        <w:rPr>
          <w:lang w:val="en-US"/>
        </w:rPr>
        <w:t>, 2018.</w:t>
      </w:r>
    </w:p>
    <w:p w14:paraId="7ECE8E9B" w14:textId="686CA617" w:rsidR="00647C4E" w:rsidRPr="00B36BF6" w:rsidRDefault="00587DF6" w:rsidP="004974DB">
      <w:pPr>
        <w:spacing w:before="100" w:beforeAutospacing="1" w:after="100" w:afterAutospacing="1"/>
        <w:jc w:val="both"/>
        <w:rPr>
          <w:lang w:val="en-US"/>
        </w:rPr>
      </w:pPr>
      <w:r w:rsidRPr="00B36BF6">
        <w:rPr>
          <w:lang w:val="en-US"/>
        </w:rPr>
        <w:t>LEVENE</w:t>
      </w:r>
      <w:r>
        <w:rPr>
          <w:lang w:val="en-US"/>
        </w:rPr>
        <w:t>,</w:t>
      </w:r>
      <w:r w:rsidRPr="00B36BF6">
        <w:rPr>
          <w:lang w:val="en-US"/>
        </w:rPr>
        <w:t xml:space="preserve"> A</w:t>
      </w:r>
      <w:r>
        <w:rPr>
          <w:lang w:val="en-US"/>
        </w:rPr>
        <w:t xml:space="preserve">. </w:t>
      </w:r>
      <w:r w:rsidRPr="00B36BF6">
        <w:rPr>
          <w:lang w:val="en-US"/>
        </w:rPr>
        <w:t>P</w:t>
      </w:r>
      <w:r>
        <w:rPr>
          <w:lang w:val="en-US"/>
        </w:rPr>
        <w:t>.;</w:t>
      </w:r>
      <w:r w:rsidRPr="00B36BF6">
        <w:rPr>
          <w:lang w:val="en-US"/>
        </w:rPr>
        <w:t xml:space="preserve"> SINGH</w:t>
      </w:r>
      <w:r>
        <w:rPr>
          <w:lang w:val="en-US"/>
        </w:rPr>
        <w:t>,</w:t>
      </w:r>
      <w:r w:rsidRPr="00B36BF6">
        <w:rPr>
          <w:lang w:val="en-US"/>
        </w:rPr>
        <w:t xml:space="preserve"> G</w:t>
      </w:r>
      <w:r>
        <w:rPr>
          <w:lang w:val="en-US"/>
        </w:rPr>
        <w:t>.;</w:t>
      </w:r>
      <w:r w:rsidRPr="00B36BF6">
        <w:rPr>
          <w:lang w:val="en-US"/>
        </w:rPr>
        <w:t xml:space="preserve"> PALMIERI</w:t>
      </w:r>
      <w:r>
        <w:rPr>
          <w:lang w:val="en-US"/>
        </w:rPr>
        <w:t>,</w:t>
      </w:r>
      <w:r w:rsidRPr="00B36BF6">
        <w:rPr>
          <w:lang w:val="en-US"/>
        </w:rPr>
        <w:t xml:space="preserve"> </w:t>
      </w:r>
      <w:r w:rsidR="00647C4E" w:rsidRPr="00B36BF6">
        <w:rPr>
          <w:lang w:val="en-US"/>
        </w:rPr>
        <w:t xml:space="preserve">C. Therapeutic monoclonal antibodies in oncology. </w:t>
      </w:r>
      <w:r w:rsidR="00647C4E" w:rsidRPr="00587DF6">
        <w:rPr>
          <w:b/>
          <w:bCs/>
          <w:lang w:val="en-US"/>
        </w:rPr>
        <w:t>J R Soc Med.</w:t>
      </w:r>
      <w:r w:rsidRPr="00587DF6">
        <w:rPr>
          <w:b/>
          <w:bCs/>
          <w:lang w:val="en-US"/>
        </w:rPr>
        <w:t>,</w:t>
      </w:r>
      <w:r w:rsidR="00647C4E" w:rsidRPr="00B36BF6">
        <w:rPr>
          <w:lang w:val="en-US"/>
        </w:rPr>
        <w:t xml:space="preserve"> </w:t>
      </w:r>
      <w:r>
        <w:rPr>
          <w:lang w:val="en-US"/>
        </w:rPr>
        <w:t xml:space="preserve">v. </w:t>
      </w:r>
      <w:r w:rsidR="00647C4E" w:rsidRPr="00B36BF6">
        <w:rPr>
          <w:lang w:val="en-US"/>
        </w:rPr>
        <w:t>98</w:t>
      </w:r>
      <w:r>
        <w:rPr>
          <w:lang w:val="en-US"/>
        </w:rPr>
        <w:t xml:space="preserve">, p. </w:t>
      </w:r>
      <w:r w:rsidR="00647C4E" w:rsidRPr="00B36BF6">
        <w:rPr>
          <w:lang w:val="en-US"/>
        </w:rPr>
        <w:t>146‐152</w:t>
      </w:r>
      <w:r>
        <w:rPr>
          <w:lang w:val="en-US"/>
        </w:rPr>
        <w:t>, 2005.</w:t>
      </w:r>
    </w:p>
    <w:p w14:paraId="5541C4D2" w14:textId="72032600" w:rsidR="00647C4E" w:rsidRPr="00B36BF6" w:rsidRDefault="00587DF6" w:rsidP="004974DB">
      <w:pPr>
        <w:spacing w:before="100" w:beforeAutospacing="1" w:after="100" w:afterAutospacing="1"/>
        <w:jc w:val="both"/>
        <w:rPr>
          <w:lang w:val="en-US"/>
        </w:rPr>
      </w:pPr>
      <w:r w:rsidRPr="00B36BF6">
        <w:rPr>
          <w:lang w:val="en-US"/>
        </w:rPr>
        <w:t>LIGON</w:t>
      </w:r>
      <w:r>
        <w:rPr>
          <w:lang w:val="en-US"/>
        </w:rPr>
        <w:t>,</w:t>
      </w:r>
      <w:r w:rsidRPr="00B36BF6">
        <w:rPr>
          <w:lang w:val="en-US"/>
        </w:rPr>
        <w:t xml:space="preserve"> S.C.</w:t>
      </w:r>
      <w:r>
        <w:rPr>
          <w:lang w:val="en-US"/>
        </w:rPr>
        <w:t>;</w:t>
      </w:r>
      <w:r w:rsidRPr="00B36BF6">
        <w:rPr>
          <w:lang w:val="en-US"/>
        </w:rPr>
        <w:t xml:space="preserve"> LISKA</w:t>
      </w:r>
      <w:r>
        <w:rPr>
          <w:lang w:val="en-US"/>
        </w:rPr>
        <w:t>,</w:t>
      </w:r>
      <w:r w:rsidRPr="00B36BF6">
        <w:rPr>
          <w:lang w:val="en-US"/>
        </w:rPr>
        <w:t xml:space="preserve"> R.</w:t>
      </w:r>
      <w:r>
        <w:rPr>
          <w:lang w:val="en-US"/>
        </w:rPr>
        <w:t>;</w:t>
      </w:r>
      <w:r w:rsidRPr="00B36BF6">
        <w:rPr>
          <w:lang w:val="en-US"/>
        </w:rPr>
        <w:t xml:space="preserve"> STAMPFL</w:t>
      </w:r>
      <w:r>
        <w:rPr>
          <w:lang w:val="en-US"/>
        </w:rPr>
        <w:t>,</w:t>
      </w:r>
      <w:r w:rsidRPr="00B36BF6">
        <w:rPr>
          <w:lang w:val="en-US"/>
        </w:rPr>
        <w:t xml:space="preserve"> J.</w:t>
      </w:r>
      <w:r>
        <w:rPr>
          <w:lang w:val="en-US"/>
        </w:rPr>
        <w:t>;</w:t>
      </w:r>
      <w:r w:rsidRPr="00B36BF6">
        <w:rPr>
          <w:lang w:val="en-US"/>
        </w:rPr>
        <w:t xml:space="preserve"> GURR</w:t>
      </w:r>
      <w:r>
        <w:rPr>
          <w:lang w:val="en-US"/>
        </w:rPr>
        <w:t>,</w:t>
      </w:r>
      <w:r w:rsidRPr="00B36BF6">
        <w:rPr>
          <w:lang w:val="en-US"/>
        </w:rPr>
        <w:t xml:space="preserve"> M.</w:t>
      </w:r>
      <w:r>
        <w:rPr>
          <w:lang w:val="en-US"/>
        </w:rPr>
        <w:t xml:space="preserve">; </w:t>
      </w:r>
      <w:r w:rsidRPr="00B36BF6">
        <w:rPr>
          <w:lang w:val="en-US"/>
        </w:rPr>
        <w:t>MÜLHAUPT</w:t>
      </w:r>
      <w:r>
        <w:rPr>
          <w:lang w:val="en-US"/>
        </w:rPr>
        <w:t>,</w:t>
      </w:r>
      <w:r w:rsidRPr="00B36BF6">
        <w:rPr>
          <w:lang w:val="en-US"/>
        </w:rPr>
        <w:t xml:space="preserve"> R. </w:t>
      </w:r>
      <w:r w:rsidR="00647C4E" w:rsidRPr="00B36BF6">
        <w:rPr>
          <w:lang w:val="en-US"/>
        </w:rPr>
        <w:t xml:space="preserve">Polymers for 3D printing and customized additive manufacturing. </w:t>
      </w:r>
      <w:r w:rsidR="00647C4E" w:rsidRPr="00587DF6">
        <w:rPr>
          <w:b/>
          <w:bCs/>
          <w:lang w:val="en-US"/>
        </w:rPr>
        <w:t>Chem. Rev.</w:t>
      </w:r>
      <w:r w:rsidRPr="00587DF6">
        <w:rPr>
          <w:b/>
          <w:bCs/>
          <w:lang w:val="en-US"/>
        </w:rPr>
        <w:t xml:space="preserve">, </w:t>
      </w:r>
      <w:r>
        <w:rPr>
          <w:lang w:val="en-US"/>
        </w:rPr>
        <w:t xml:space="preserve">v. </w:t>
      </w:r>
      <w:r w:rsidR="00647C4E" w:rsidRPr="00B36BF6">
        <w:rPr>
          <w:lang w:val="en-US"/>
        </w:rPr>
        <w:t>117</w:t>
      </w:r>
      <w:r>
        <w:rPr>
          <w:lang w:val="en-US"/>
        </w:rPr>
        <w:t xml:space="preserve">, p. </w:t>
      </w:r>
      <w:r w:rsidR="00647C4E" w:rsidRPr="00B36BF6">
        <w:rPr>
          <w:lang w:val="en-US"/>
        </w:rPr>
        <w:t>10212–10290</w:t>
      </w:r>
      <w:r>
        <w:rPr>
          <w:lang w:val="en-US"/>
        </w:rPr>
        <w:t>, 2017.</w:t>
      </w:r>
    </w:p>
    <w:p w14:paraId="57289783" w14:textId="3CB3AD94" w:rsidR="00647C4E" w:rsidRPr="00587DF6" w:rsidRDefault="00587DF6" w:rsidP="004974DB">
      <w:pPr>
        <w:spacing w:before="100" w:beforeAutospacing="1" w:after="100" w:afterAutospacing="1"/>
        <w:jc w:val="both"/>
        <w:rPr>
          <w:shd w:val="clear" w:color="auto" w:fill="FFFFFF"/>
        </w:rPr>
      </w:pPr>
      <w:r w:rsidRPr="00B36BF6">
        <w:rPr>
          <w:shd w:val="clear" w:color="auto" w:fill="FFFFFF"/>
          <w:lang w:val="en-US"/>
        </w:rPr>
        <w:t>LOW</w:t>
      </w:r>
      <w:r>
        <w:rPr>
          <w:shd w:val="clear" w:color="auto" w:fill="FFFFFF"/>
          <w:lang w:val="en-US"/>
        </w:rPr>
        <w:t>,</w:t>
      </w:r>
      <w:r w:rsidRPr="00B36BF6">
        <w:rPr>
          <w:shd w:val="clear" w:color="auto" w:fill="FFFFFF"/>
          <w:lang w:val="en-US"/>
        </w:rPr>
        <w:t xml:space="preserve"> L</w:t>
      </w:r>
      <w:r>
        <w:rPr>
          <w:shd w:val="clear" w:color="auto" w:fill="FFFFFF"/>
          <w:lang w:val="en-US"/>
        </w:rPr>
        <w:t xml:space="preserve">. </w:t>
      </w:r>
      <w:r w:rsidRPr="00B36BF6">
        <w:rPr>
          <w:shd w:val="clear" w:color="auto" w:fill="FFFFFF"/>
          <w:lang w:val="en-US"/>
        </w:rPr>
        <w:t>A</w:t>
      </w:r>
      <w:r>
        <w:rPr>
          <w:shd w:val="clear" w:color="auto" w:fill="FFFFFF"/>
          <w:lang w:val="en-US"/>
        </w:rPr>
        <w:t>.;</w:t>
      </w:r>
      <w:r w:rsidRPr="00B36BF6">
        <w:rPr>
          <w:shd w:val="clear" w:color="auto" w:fill="FFFFFF"/>
          <w:lang w:val="en-US"/>
        </w:rPr>
        <w:t xml:space="preserve"> TAGLE</w:t>
      </w:r>
      <w:r>
        <w:rPr>
          <w:shd w:val="clear" w:color="auto" w:fill="FFFFFF"/>
          <w:lang w:val="en-US"/>
        </w:rPr>
        <w:t>,</w:t>
      </w:r>
      <w:r w:rsidRPr="00B36BF6">
        <w:rPr>
          <w:shd w:val="clear" w:color="auto" w:fill="FFFFFF"/>
          <w:lang w:val="en-US"/>
        </w:rPr>
        <w:t xml:space="preserve"> </w:t>
      </w:r>
      <w:r w:rsidR="00647C4E" w:rsidRPr="00B36BF6">
        <w:rPr>
          <w:shd w:val="clear" w:color="auto" w:fill="FFFFFF"/>
          <w:lang w:val="en-US"/>
        </w:rPr>
        <w:t>D</w:t>
      </w:r>
      <w:r>
        <w:rPr>
          <w:shd w:val="clear" w:color="auto" w:fill="FFFFFF"/>
          <w:lang w:val="en-US"/>
        </w:rPr>
        <w:t xml:space="preserve">. </w:t>
      </w:r>
      <w:r w:rsidR="00647C4E" w:rsidRPr="00B36BF6">
        <w:rPr>
          <w:shd w:val="clear" w:color="auto" w:fill="FFFFFF"/>
          <w:lang w:val="en-US"/>
        </w:rPr>
        <w:t>A</w:t>
      </w:r>
      <w:r>
        <w:rPr>
          <w:shd w:val="clear" w:color="auto" w:fill="FFFFFF"/>
          <w:lang w:val="en-US"/>
        </w:rPr>
        <w:t>.</w:t>
      </w:r>
      <w:r w:rsidR="00647C4E" w:rsidRPr="00B36BF6">
        <w:rPr>
          <w:shd w:val="clear" w:color="auto" w:fill="FFFFFF"/>
          <w:lang w:val="en-US"/>
        </w:rPr>
        <w:t xml:space="preserve"> </w:t>
      </w:r>
      <w:r w:rsidR="00647C4E" w:rsidRPr="00B36BF6">
        <w:rPr>
          <w:rStyle w:val="ref-title"/>
          <w:shd w:val="clear" w:color="auto" w:fill="FFFFFF"/>
          <w:lang w:val="en-US"/>
        </w:rPr>
        <w:t>Microphysiological systems (“organs-on-chips”) for drug efficacy and toxicity testing.</w:t>
      </w:r>
      <w:r w:rsidR="00647C4E" w:rsidRPr="00B36BF6">
        <w:rPr>
          <w:shd w:val="clear" w:color="auto" w:fill="FFFFFF"/>
          <w:lang w:val="en-US"/>
        </w:rPr>
        <w:t> </w:t>
      </w:r>
      <w:r w:rsidR="00647C4E" w:rsidRPr="00587DF6">
        <w:rPr>
          <w:rStyle w:val="ref-journal"/>
          <w:b/>
          <w:bCs/>
          <w:shd w:val="clear" w:color="auto" w:fill="FFFFFF"/>
          <w:lang w:val="en-US"/>
        </w:rPr>
        <w:t xml:space="preserve">Clin. Transl. </w:t>
      </w:r>
      <w:r w:rsidR="00647C4E" w:rsidRPr="00587DF6">
        <w:rPr>
          <w:rStyle w:val="ref-journal"/>
          <w:b/>
          <w:bCs/>
          <w:shd w:val="clear" w:color="auto" w:fill="FFFFFF"/>
        </w:rPr>
        <w:t>Sci</w:t>
      </w:r>
      <w:r w:rsidRPr="00587DF6">
        <w:rPr>
          <w:shd w:val="clear" w:color="auto" w:fill="FFFFFF"/>
        </w:rPr>
        <w:t xml:space="preserve">., v. </w:t>
      </w:r>
      <w:r w:rsidR="00647C4E" w:rsidRPr="00587DF6">
        <w:rPr>
          <w:rStyle w:val="ref-vol"/>
          <w:shd w:val="clear" w:color="auto" w:fill="FFFFFF"/>
        </w:rPr>
        <w:t>10</w:t>
      </w:r>
      <w:r w:rsidR="00647C4E" w:rsidRPr="00587DF6">
        <w:rPr>
          <w:shd w:val="clear" w:color="auto" w:fill="FFFFFF"/>
        </w:rPr>
        <w:t xml:space="preserve">, </w:t>
      </w:r>
      <w:r w:rsidRPr="00587DF6">
        <w:rPr>
          <w:shd w:val="clear" w:color="auto" w:fill="FFFFFF"/>
        </w:rPr>
        <w:t xml:space="preserve">p. </w:t>
      </w:r>
      <w:r w:rsidR="00647C4E" w:rsidRPr="00587DF6">
        <w:rPr>
          <w:shd w:val="clear" w:color="auto" w:fill="FFFFFF"/>
        </w:rPr>
        <w:t>237–239</w:t>
      </w:r>
      <w:r w:rsidRPr="00587DF6">
        <w:rPr>
          <w:shd w:val="clear" w:color="auto" w:fill="FFFFFF"/>
        </w:rPr>
        <w:t>, 2017.</w:t>
      </w:r>
    </w:p>
    <w:p w14:paraId="4B4953A8" w14:textId="21819345" w:rsidR="00647C4E" w:rsidRPr="00B36BF6" w:rsidRDefault="00647C4E" w:rsidP="004974DB">
      <w:pPr>
        <w:spacing w:before="100" w:beforeAutospacing="1" w:after="100" w:afterAutospacing="1"/>
        <w:jc w:val="both"/>
        <w:rPr>
          <w:i/>
          <w:lang w:val="en-US"/>
        </w:rPr>
      </w:pPr>
      <w:r w:rsidRPr="00587DF6">
        <w:rPr>
          <w:lang w:val="en-US"/>
        </w:rPr>
        <w:t>LU, Q.</w:t>
      </w:r>
      <w:r w:rsidR="00587DF6" w:rsidRPr="00587DF6">
        <w:rPr>
          <w:lang w:val="en-US"/>
        </w:rPr>
        <w:t>;</w:t>
      </w:r>
      <w:r w:rsidRPr="00587DF6">
        <w:rPr>
          <w:lang w:val="en-US"/>
        </w:rPr>
        <w:t xml:space="preserve"> LIVI, G. P.</w:t>
      </w:r>
      <w:r w:rsidR="00587DF6" w:rsidRPr="00587DF6">
        <w:rPr>
          <w:lang w:val="en-US"/>
        </w:rPr>
        <w:t>;</w:t>
      </w:r>
      <w:r w:rsidRPr="00587DF6">
        <w:rPr>
          <w:lang w:val="en-US"/>
        </w:rPr>
        <w:t xml:space="preserve"> MODHA, S.</w:t>
      </w:r>
      <w:r w:rsidR="00587DF6" w:rsidRPr="00587DF6">
        <w:rPr>
          <w:lang w:val="en-US"/>
        </w:rPr>
        <w:t>;</w:t>
      </w:r>
      <w:r w:rsidRPr="00587DF6">
        <w:rPr>
          <w:lang w:val="en-US"/>
        </w:rPr>
        <w:t xml:space="preserve"> YUSA, K.</w:t>
      </w:r>
      <w:r w:rsidR="00587DF6">
        <w:rPr>
          <w:lang w:val="en-US"/>
        </w:rPr>
        <w:t>;</w:t>
      </w:r>
      <w:r w:rsidRPr="00587DF6">
        <w:rPr>
          <w:lang w:val="en-US"/>
        </w:rPr>
        <w:t xml:space="preserve"> MACARRÓN, R.</w:t>
      </w:r>
      <w:r w:rsidR="00587DF6" w:rsidRPr="00587DF6">
        <w:rPr>
          <w:lang w:val="en-US"/>
        </w:rPr>
        <w:t xml:space="preserve">; </w:t>
      </w:r>
      <w:r w:rsidRPr="00587DF6">
        <w:rPr>
          <w:lang w:val="en-US"/>
        </w:rPr>
        <w:t xml:space="preserve">DOW, D. J. </w:t>
      </w:r>
      <w:r w:rsidRPr="00587DF6">
        <w:rPr>
          <w:iCs/>
          <w:lang w:val="en-US"/>
        </w:rPr>
        <w:t>Applications of CRISPR genome editing technology in drug target identification and validation.</w:t>
      </w:r>
      <w:r w:rsidRPr="00B36BF6">
        <w:rPr>
          <w:i/>
          <w:lang w:val="en-US"/>
        </w:rPr>
        <w:t xml:space="preserve"> </w:t>
      </w:r>
      <w:r w:rsidRPr="00587DF6">
        <w:rPr>
          <w:b/>
          <w:bCs/>
          <w:iCs/>
          <w:lang w:val="en-US"/>
        </w:rPr>
        <w:t>Expert Opinion on Drug Discovery</w:t>
      </w:r>
      <w:r w:rsidRPr="00587DF6">
        <w:rPr>
          <w:iCs/>
          <w:lang w:val="en-US"/>
        </w:rPr>
        <w:t xml:space="preserve">, </w:t>
      </w:r>
      <w:r w:rsidR="00587DF6">
        <w:rPr>
          <w:iCs/>
          <w:lang w:val="en-US"/>
        </w:rPr>
        <w:t xml:space="preserve">v. </w:t>
      </w:r>
      <w:r w:rsidRPr="00587DF6">
        <w:rPr>
          <w:iCs/>
          <w:lang w:val="en-US"/>
        </w:rPr>
        <w:t>12</w:t>
      </w:r>
      <w:r w:rsidR="00587DF6">
        <w:rPr>
          <w:iCs/>
          <w:lang w:val="en-US"/>
        </w:rPr>
        <w:t xml:space="preserve">, p. </w:t>
      </w:r>
      <w:r w:rsidRPr="00587DF6">
        <w:rPr>
          <w:iCs/>
          <w:lang w:val="en-US"/>
        </w:rPr>
        <w:t xml:space="preserve">6, </w:t>
      </w:r>
      <w:r w:rsidR="00587DF6">
        <w:rPr>
          <w:iCs/>
          <w:lang w:val="en-US"/>
        </w:rPr>
        <w:t xml:space="preserve">p. </w:t>
      </w:r>
      <w:r w:rsidRPr="00587DF6">
        <w:rPr>
          <w:iCs/>
          <w:lang w:val="en-US"/>
        </w:rPr>
        <w:t>541–552</w:t>
      </w:r>
      <w:r w:rsidR="00587DF6" w:rsidRPr="00587DF6">
        <w:rPr>
          <w:iCs/>
          <w:lang w:val="en-US"/>
        </w:rPr>
        <w:t>, 2017.</w:t>
      </w:r>
    </w:p>
    <w:p w14:paraId="571B306B" w14:textId="359B7CB7" w:rsidR="00647C4E" w:rsidRPr="00B36BF6" w:rsidRDefault="00587DF6"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LUBINIECKI</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A</w:t>
      </w:r>
      <w:r>
        <w:rPr>
          <w:rFonts w:ascii="Times New Roman" w:hAnsi="Times New Roman" w:cs="Times New Roman"/>
          <w:sz w:val="24"/>
          <w:szCs w:val="24"/>
          <w:lang w:val="en-US"/>
        </w:rPr>
        <w:t>.</w:t>
      </w:r>
      <w:r w:rsidR="00647C4E" w:rsidRPr="00B36BF6">
        <w:rPr>
          <w:rFonts w:ascii="Times New Roman" w:hAnsi="Times New Roman" w:cs="Times New Roman"/>
          <w:sz w:val="24"/>
          <w:szCs w:val="24"/>
          <w:lang w:val="en-US"/>
        </w:rPr>
        <w:t xml:space="preserve"> Potencial influence of international harmonization of pharmaceutical regulation on biopharmaceutical development. </w:t>
      </w:r>
      <w:r w:rsidR="00647C4E" w:rsidRPr="00ED4788">
        <w:rPr>
          <w:rFonts w:ascii="Times New Roman" w:hAnsi="Times New Roman" w:cs="Times New Roman"/>
          <w:b/>
          <w:bCs/>
          <w:sz w:val="24"/>
          <w:szCs w:val="24"/>
          <w:lang w:val="en-US"/>
        </w:rPr>
        <w:t>Curr Opin Biotechnol</w:t>
      </w:r>
      <w:r w:rsidR="00647C4E" w:rsidRPr="00B36BF6">
        <w:rPr>
          <w:rFonts w:ascii="Times New Roman" w:hAnsi="Times New Roman" w:cs="Times New Roman"/>
          <w:sz w:val="24"/>
          <w:szCs w:val="24"/>
          <w:lang w:val="en-US"/>
        </w:rPr>
        <w:t xml:space="preserve">, </w:t>
      </w:r>
      <w:r w:rsidR="00ED4788">
        <w:rPr>
          <w:rFonts w:ascii="Times New Roman" w:hAnsi="Times New Roman" w:cs="Times New Roman"/>
          <w:sz w:val="24"/>
          <w:szCs w:val="24"/>
          <w:lang w:val="en-US"/>
        </w:rPr>
        <w:t>v.</w:t>
      </w:r>
      <w:r w:rsidR="00647C4E" w:rsidRPr="00B36BF6">
        <w:rPr>
          <w:rFonts w:ascii="Times New Roman" w:hAnsi="Times New Roman" w:cs="Times New Roman"/>
          <w:sz w:val="24"/>
          <w:szCs w:val="24"/>
          <w:lang w:val="en-US"/>
        </w:rPr>
        <w:t xml:space="preserve"> 8, </w:t>
      </w:r>
      <w:r w:rsidR="00ED4788">
        <w:rPr>
          <w:rFonts w:ascii="Times New Roman" w:hAnsi="Times New Roman" w:cs="Times New Roman"/>
          <w:sz w:val="24"/>
          <w:szCs w:val="24"/>
          <w:lang w:val="en-US"/>
        </w:rPr>
        <w:t xml:space="preserve">p. </w:t>
      </w:r>
      <w:r w:rsidR="00647C4E" w:rsidRPr="00B36BF6">
        <w:rPr>
          <w:rFonts w:ascii="Times New Roman" w:hAnsi="Times New Roman" w:cs="Times New Roman"/>
          <w:sz w:val="24"/>
          <w:szCs w:val="24"/>
          <w:lang w:val="en-US"/>
        </w:rPr>
        <w:t>350–356</w:t>
      </w:r>
      <w:r w:rsidR="00ED4788">
        <w:rPr>
          <w:rFonts w:ascii="Times New Roman" w:hAnsi="Times New Roman" w:cs="Times New Roman"/>
          <w:sz w:val="24"/>
          <w:szCs w:val="24"/>
          <w:lang w:val="en-US"/>
        </w:rPr>
        <w:t>, 1997.</w:t>
      </w:r>
    </w:p>
    <w:p w14:paraId="04C44440" w14:textId="77777777" w:rsidR="00647C4E" w:rsidRPr="00B36BF6" w:rsidRDefault="00647C4E"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 xml:space="preserve">M.Grayab; J.Meehanbc; C.Wardab; S.P.Langdonb; I.H.Kunklerb; A.Murrayd; D.Argylea: Implantable biosensors and their contribution to the future of precision medicine. Elsevier, 2018, 21-29. </w:t>
      </w:r>
    </w:p>
    <w:p w14:paraId="787AFFD9" w14:textId="2B61877C" w:rsidR="00647C4E" w:rsidRPr="00B36BF6" w:rsidRDefault="00ED4788" w:rsidP="004974DB">
      <w:pPr>
        <w:pStyle w:val="Normal1"/>
        <w:spacing w:before="100" w:beforeAutospacing="1" w:after="100" w:afterAutospacing="1" w:line="240" w:lineRule="auto"/>
        <w:jc w:val="both"/>
        <w:rPr>
          <w:rFonts w:ascii="Times New Roman" w:hAnsi="Times New Roman" w:cs="Times New Roman"/>
          <w:sz w:val="24"/>
          <w:szCs w:val="24"/>
          <w:shd w:val="clear" w:color="auto" w:fill="FFFFFF"/>
          <w:lang w:val="en-US"/>
        </w:rPr>
      </w:pPr>
      <w:r w:rsidRPr="00B36BF6">
        <w:rPr>
          <w:rFonts w:ascii="Times New Roman" w:hAnsi="Times New Roman" w:cs="Times New Roman"/>
          <w:sz w:val="24"/>
          <w:szCs w:val="24"/>
          <w:shd w:val="clear" w:color="auto" w:fill="FFFFFF"/>
          <w:lang w:val="en-US"/>
        </w:rPr>
        <w:t>MA, Q.</w:t>
      </w:r>
      <w:r>
        <w:rPr>
          <w:rFonts w:ascii="Times New Roman" w:hAnsi="Times New Roman" w:cs="Times New Roman"/>
          <w:sz w:val="24"/>
          <w:szCs w:val="24"/>
          <w:shd w:val="clear" w:color="auto" w:fill="FFFFFF"/>
          <w:lang w:val="en-US"/>
        </w:rPr>
        <w:t>;</w:t>
      </w:r>
      <w:r w:rsidRPr="00B36BF6">
        <w:rPr>
          <w:rFonts w:ascii="Times New Roman" w:hAnsi="Times New Roman" w:cs="Times New Roman"/>
          <w:sz w:val="24"/>
          <w:szCs w:val="24"/>
          <w:shd w:val="clear" w:color="auto" w:fill="FFFFFF"/>
          <w:lang w:val="en-US"/>
        </w:rPr>
        <w:t xml:space="preserve"> LU</w:t>
      </w:r>
      <w:r>
        <w:rPr>
          <w:rFonts w:ascii="Times New Roman" w:hAnsi="Times New Roman" w:cs="Times New Roman"/>
          <w:sz w:val="24"/>
          <w:szCs w:val="24"/>
          <w:shd w:val="clear" w:color="auto" w:fill="FFFFFF"/>
          <w:lang w:val="en-US"/>
        </w:rPr>
        <w:t>, A. Y.</w:t>
      </w:r>
      <w:r w:rsidR="00647C4E" w:rsidRPr="00B36BF6">
        <w:rPr>
          <w:rFonts w:ascii="Times New Roman" w:hAnsi="Times New Roman" w:cs="Times New Roman"/>
          <w:sz w:val="24"/>
          <w:szCs w:val="24"/>
          <w:shd w:val="clear" w:color="auto" w:fill="FFFFFF"/>
          <w:lang w:val="en-US"/>
        </w:rPr>
        <w:t xml:space="preserve"> Pharmacogenetics, pharmacogenomics, and individualized medicine. </w:t>
      </w:r>
      <w:r w:rsidR="00647C4E" w:rsidRPr="00ED4788">
        <w:rPr>
          <w:rFonts w:ascii="Times New Roman" w:hAnsi="Times New Roman" w:cs="Times New Roman"/>
          <w:b/>
          <w:bCs/>
          <w:sz w:val="24"/>
          <w:szCs w:val="24"/>
          <w:shd w:val="clear" w:color="auto" w:fill="FFFFFF"/>
          <w:lang w:val="en-US"/>
        </w:rPr>
        <w:t>Pharmacol Rev</w:t>
      </w:r>
      <w:r w:rsidR="00647C4E" w:rsidRPr="00B36BF6">
        <w:rPr>
          <w:rFonts w:ascii="Times New Roman" w:hAnsi="Times New Roman" w:cs="Times New Roman"/>
          <w:sz w:val="24"/>
          <w:szCs w:val="24"/>
          <w:shd w:val="clear" w:color="auto" w:fill="FFFFFF"/>
          <w:lang w:val="en-US"/>
        </w:rPr>
        <w:t>, v.</w:t>
      </w:r>
      <w:r>
        <w:rPr>
          <w:rFonts w:ascii="Times New Roman" w:hAnsi="Times New Roman" w:cs="Times New Roman"/>
          <w:sz w:val="24"/>
          <w:szCs w:val="24"/>
          <w:shd w:val="clear" w:color="auto" w:fill="FFFFFF"/>
          <w:lang w:val="en-US"/>
        </w:rPr>
        <w:t xml:space="preserve"> </w:t>
      </w:r>
      <w:r w:rsidR="00647C4E" w:rsidRPr="00B36BF6">
        <w:rPr>
          <w:rFonts w:ascii="Times New Roman" w:hAnsi="Times New Roman" w:cs="Times New Roman"/>
          <w:sz w:val="24"/>
          <w:szCs w:val="24"/>
          <w:shd w:val="clear" w:color="auto" w:fill="FFFFFF"/>
          <w:lang w:val="en-US"/>
        </w:rPr>
        <w:t>63, n.</w:t>
      </w:r>
      <w:r>
        <w:rPr>
          <w:rFonts w:ascii="Times New Roman" w:hAnsi="Times New Roman" w:cs="Times New Roman"/>
          <w:sz w:val="24"/>
          <w:szCs w:val="24"/>
          <w:shd w:val="clear" w:color="auto" w:fill="FFFFFF"/>
          <w:lang w:val="en-US"/>
        </w:rPr>
        <w:t xml:space="preserve"> </w:t>
      </w:r>
      <w:r w:rsidR="00647C4E" w:rsidRPr="00B36BF6">
        <w:rPr>
          <w:rFonts w:ascii="Times New Roman" w:hAnsi="Times New Roman" w:cs="Times New Roman"/>
          <w:sz w:val="24"/>
          <w:szCs w:val="24"/>
          <w:shd w:val="clear" w:color="auto" w:fill="FFFFFF"/>
          <w:lang w:val="en-US"/>
        </w:rPr>
        <w:t>2, p.437-5</w:t>
      </w:r>
      <w:r>
        <w:rPr>
          <w:rFonts w:ascii="Times New Roman" w:hAnsi="Times New Roman" w:cs="Times New Roman"/>
          <w:sz w:val="24"/>
          <w:szCs w:val="24"/>
          <w:shd w:val="clear" w:color="auto" w:fill="FFFFFF"/>
          <w:lang w:val="en-US"/>
        </w:rPr>
        <w:t>,</w:t>
      </w:r>
      <w:r w:rsidR="00647C4E" w:rsidRPr="00B36BF6">
        <w:rPr>
          <w:rFonts w:ascii="Times New Roman" w:hAnsi="Times New Roman" w:cs="Times New Roman"/>
          <w:sz w:val="24"/>
          <w:szCs w:val="24"/>
          <w:shd w:val="clear" w:color="auto" w:fill="FFFFFF"/>
          <w:lang w:val="en-US"/>
        </w:rPr>
        <w:t xml:space="preserve"> 2011.</w:t>
      </w:r>
    </w:p>
    <w:p w14:paraId="21B6154E" w14:textId="3A726571" w:rsidR="00647C4E" w:rsidRPr="004C1FDA" w:rsidRDefault="004C1FDA" w:rsidP="004974DB">
      <w:pPr>
        <w:pStyle w:val="Normal1"/>
        <w:spacing w:before="100" w:beforeAutospacing="1" w:after="100" w:afterAutospacing="1" w:line="240" w:lineRule="auto"/>
        <w:jc w:val="both"/>
        <w:rPr>
          <w:rFonts w:ascii="Times New Roman" w:hAnsi="Times New Roman" w:cs="Times New Roman"/>
          <w:sz w:val="24"/>
          <w:szCs w:val="24"/>
          <w:shd w:val="clear" w:color="auto" w:fill="FFFFFF"/>
          <w:lang w:val="en-US"/>
        </w:rPr>
      </w:pPr>
      <w:r w:rsidRPr="00B36BF6">
        <w:rPr>
          <w:rFonts w:ascii="Times New Roman" w:hAnsi="Times New Roman" w:cs="Times New Roman"/>
          <w:sz w:val="24"/>
          <w:szCs w:val="24"/>
          <w:shd w:val="clear" w:color="auto" w:fill="FFFFFF"/>
          <w:lang w:val="en-US"/>
        </w:rPr>
        <w:t>MAI</w:t>
      </w:r>
      <w:r>
        <w:rPr>
          <w:rFonts w:ascii="Times New Roman" w:hAnsi="Times New Roman" w:cs="Times New Roman"/>
          <w:sz w:val="24"/>
          <w:szCs w:val="24"/>
          <w:shd w:val="clear" w:color="auto" w:fill="FFFFFF"/>
          <w:lang w:val="en-US"/>
        </w:rPr>
        <w:t>,</w:t>
      </w:r>
      <w:r w:rsidRPr="00B36BF6">
        <w:rPr>
          <w:rFonts w:ascii="Times New Roman" w:hAnsi="Times New Roman" w:cs="Times New Roman"/>
          <w:sz w:val="24"/>
          <w:szCs w:val="24"/>
          <w:shd w:val="clear" w:color="auto" w:fill="FFFFFF"/>
          <w:lang w:val="en-US"/>
        </w:rPr>
        <w:t xml:space="preserve"> N</w:t>
      </w:r>
      <w:r>
        <w:rPr>
          <w:rFonts w:ascii="Times New Roman" w:hAnsi="Times New Roman" w:cs="Times New Roman"/>
          <w:sz w:val="24"/>
          <w:szCs w:val="24"/>
          <w:shd w:val="clear" w:color="auto" w:fill="FFFFFF"/>
          <w:lang w:val="en-US"/>
        </w:rPr>
        <w:t>.</w:t>
      </w:r>
      <w:r w:rsidRPr="00B36BF6">
        <w:rPr>
          <w:rFonts w:ascii="Times New Roman" w:hAnsi="Times New Roman" w:cs="Times New Roman"/>
          <w:sz w:val="24"/>
          <w:szCs w:val="24"/>
          <w:shd w:val="clear" w:color="auto" w:fill="FFFFFF"/>
          <w:lang w:val="en-US"/>
        </w:rPr>
        <w:t xml:space="preserve"> V</w:t>
      </w:r>
      <w:r>
        <w:rPr>
          <w:rFonts w:ascii="Times New Roman" w:hAnsi="Times New Roman" w:cs="Times New Roman"/>
          <w:sz w:val="24"/>
          <w:szCs w:val="24"/>
          <w:shd w:val="clear" w:color="auto" w:fill="FFFFFF"/>
          <w:lang w:val="en-US"/>
        </w:rPr>
        <w:t>.</w:t>
      </w:r>
      <w:r w:rsidRPr="00B36BF6">
        <w:rPr>
          <w:rFonts w:ascii="Times New Roman" w:hAnsi="Times New Roman" w:cs="Times New Roman"/>
          <w:sz w:val="24"/>
          <w:szCs w:val="24"/>
          <w:shd w:val="clear" w:color="auto" w:fill="FFFFFF"/>
          <w:lang w:val="en-US"/>
        </w:rPr>
        <w:t>; HANNAH</w:t>
      </w:r>
      <w:r>
        <w:rPr>
          <w:rFonts w:ascii="Times New Roman" w:hAnsi="Times New Roman" w:cs="Times New Roman"/>
          <w:sz w:val="24"/>
          <w:szCs w:val="24"/>
          <w:shd w:val="clear" w:color="auto" w:fill="FFFFFF"/>
          <w:lang w:val="en-US"/>
        </w:rPr>
        <w:t>,</w:t>
      </w:r>
      <w:r w:rsidRPr="00B36BF6">
        <w:rPr>
          <w:rFonts w:ascii="Times New Roman" w:hAnsi="Times New Roman" w:cs="Times New Roman"/>
          <w:sz w:val="24"/>
          <w:szCs w:val="24"/>
          <w:shd w:val="clear" w:color="auto" w:fill="FFFFFF"/>
          <w:lang w:val="en-US"/>
        </w:rPr>
        <w:t xml:space="preserve"> G</w:t>
      </w:r>
      <w:r>
        <w:rPr>
          <w:rFonts w:ascii="Times New Roman" w:hAnsi="Times New Roman" w:cs="Times New Roman"/>
          <w:sz w:val="24"/>
          <w:szCs w:val="24"/>
          <w:shd w:val="clear" w:color="auto" w:fill="FFFFFF"/>
          <w:lang w:val="en-US"/>
        </w:rPr>
        <w:t>.</w:t>
      </w:r>
      <w:r w:rsidRPr="00B36BF6">
        <w:rPr>
          <w:rFonts w:ascii="Times New Roman" w:hAnsi="Times New Roman" w:cs="Times New Roman"/>
          <w:sz w:val="24"/>
          <w:szCs w:val="24"/>
          <w:shd w:val="clear" w:color="auto" w:fill="FFFFFF"/>
          <w:lang w:val="en-US"/>
        </w:rPr>
        <w:t xml:space="preserve"> K</w:t>
      </w:r>
      <w:r>
        <w:rPr>
          <w:rFonts w:ascii="Times New Roman" w:hAnsi="Times New Roman" w:cs="Times New Roman"/>
          <w:sz w:val="24"/>
          <w:szCs w:val="24"/>
          <w:shd w:val="clear" w:color="auto" w:fill="FFFFFF"/>
          <w:lang w:val="en-US"/>
        </w:rPr>
        <w:t>.</w:t>
      </w:r>
      <w:r w:rsidRPr="00B36BF6">
        <w:rPr>
          <w:rFonts w:ascii="Times New Roman" w:hAnsi="Times New Roman" w:cs="Times New Roman"/>
          <w:sz w:val="24"/>
          <w:szCs w:val="24"/>
          <w:shd w:val="clear" w:color="auto" w:fill="FFFFFF"/>
          <w:lang w:val="en-US"/>
        </w:rPr>
        <w:t>; WHEATLEY</w:t>
      </w:r>
      <w:r>
        <w:rPr>
          <w:rFonts w:ascii="Times New Roman" w:hAnsi="Times New Roman" w:cs="Times New Roman"/>
          <w:sz w:val="24"/>
          <w:szCs w:val="24"/>
          <w:shd w:val="clear" w:color="auto" w:fill="FFFFFF"/>
          <w:lang w:val="en-US"/>
        </w:rPr>
        <w:t xml:space="preserve"> A. K.</w:t>
      </w:r>
      <w:r w:rsidRPr="00B36BF6">
        <w:rPr>
          <w:rFonts w:ascii="Times New Roman" w:hAnsi="Times New Roman" w:cs="Times New Roman"/>
          <w:sz w:val="24"/>
          <w:szCs w:val="24"/>
          <w:shd w:val="clear" w:color="auto" w:fill="FFFFFF"/>
          <w:lang w:val="en-US"/>
        </w:rPr>
        <w:t>; PENG</w:t>
      </w:r>
      <w:r>
        <w:rPr>
          <w:rFonts w:ascii="Times New Roman" w:hAnsi="Times New Roman" w:cs="Times New Roman"/>
          <w:sz w:val="24"/>
          <w:szCs w:val="24"/>
          <w:shd w:val="clear" w:color="auto" w:fill="FFFFFF"/>
          <w:lang w:val="en-US"/>
        </w:rPr>
        <w:t xml:space="preserve"> S.</w:t>
      </w:r>
      <w:r w:rsidRPr="00B36BF6">
        <w:rPr>
          <w:rFonts w:ascii="Times New Roman" w:hAnsi="Times New Roman" w:cs="Times New Roman"/>
          <w:sz w:val="24"/>
          <w:szCs w:val="24"/>
          <w:shd w:val="clear" w:color="auto" w:fill="FFFFFF"/>
          <w:lang w:val="en-US"/>
        </w:rPr>
        <w:t>; PILKINGTON</w:t>
      </w:r>
      <w:r>
        <w:rPr>
          <w:rFonts w:ascii="Times New Roman" w:hAnsi="Times New Roman" w:cs="Times New Roman"/>
          <w:sz w:val="24"/>
          <w:szCs w:val="24"/>
          <w:shd w:val="clear" w:color="auto" w:fill="FFFFFF"/>
          <w:lang w:val="en-US"/>
        </w:rPr>
        <w:t xml:space="preserve"> E. H.</w:t>
      </w:r>
      <w:r w:rsidRPr="00B36BF6">
        <w:rPr>
          <w:rFonts w:ascii="Times New Roman" w:hAnsi="Times New Roman" w:cs="Times New Roman"/>
          <w:sz w:val="24"/>
          <w:szCs w:val="24"/>
          <w:shd w:val="clear" w:color="auto" w:fill="FFFFFF"/>
          <w:lang w:val="en-US"/>
        </w:rPr>
        <w:t>; VELDHUIS</w:t>
      </w:r>
      <w:r>
        <w:rPr>
          <w:rFonts w:ascii="Times New Roman" w:hAnsi="Times New Roman" w:cs="Times New Roman"/>
          <w:sz w:val="24"/>
          <w:szCs w:val="24"/>
          <w:shd w:val="clear" w:color="auto" w:fill="FFFFFF"/>
          <w:lang w:val="en-US"/>
        </w:rPr>
        <w:t>, N. A.</w:t>
      </w:r>
      <w:r w:rsidRPr="00B36BF6">
        <w:rPr>
          <w:rFonts w:ascii="Times New Roman" w:hAnsi="Times New Roman" w:cs="Times New Roman"/>
          <w:sz w:val="24"/>
          <w:szCs w:val="24"/>
          <w:shd w:val="clear" w:color="auto" w:fill="FFFFFF"/>
          <w:lang w:val="en-US"/>
        </w:rPr>
        <w:t>; DAVIS</w:t>
      </w:r>
      <w:r>
        <w:rPr>
          <w:rFonts w:ascii="Times New Roman" w:hAnsi="Times New Roman" w:cs="Times New Roman"/>
          <w:sz w:val="24"/>
          <w:szCs w:val="24"/>
          <w:shd w:val="clear" w:color="auto" w:fill="FFFFFF"/>
          <w:lang w:val="en-US"/>
        </w:rPr>
        <w:t xml:space="preserve"> T. P.</w:t>
      </w:r>
      <w:r w:rsidRPr="00B36BF6">
        <w:rPr>
          <w:rFonts w:ascii="Times New Roman" w:hAnsi="Times New Roman" w:cs="Times New Roman"/>
          <w:sz w:val="24"/>
          <w:szCs w:val="24"/>
          <w:shd w:val="clear" w:color="auto" w:fill="FFFFFF"/>
          <w:lang w:val="en-US"/>
        </w:rPr>
        <w:t>; KENT</w:t>
      </w:r>
      <w:r>
        <w:rPr>
          <w:rFonts w:ascii="Times New Roman" w:hAnsi="Times New Roman" w:cs="Times New Roman"/>
          <w:sz w:val="24"/>
          <w:szCs w:val="24"/>
          <w:shd w:val="clear" w:color="auto" w:fill="FFFFFF"/>
          <w:lang w:val="en-US"/>
        </w:rPr>
        <w:t>, S. J.</w:t>
      </w:r>
      <w:r w:rsidRPr="00B36BF6">
        <w:rPr>
          <w:rFonts w:ascii="Times New Roman" w:hAnsi="Times New Roman" w:cs="Times New Roman"/>
          <w:sz w:val="24"/>
          <w:szCs w:val="24"/>
          <w:shd w:val="clear" w:color="auto" w:fill="FFFFFF"/>
          <w:lang w:val="en-US"/>
        </w:rPr>
        <w:t>; TRUONG</w:t>
      </w:r>
      <w:r>
        <w:rPr>
          <w:rFonts w:ascii="Times New Roman" w:hAnsi="Times New Roman" w:cs="Times New Roman"/>
          <w:sz w:val="24"/>
          <w:szCs w:val="24"/>
          <w:shd w:val="clear" w:color="auto" w:fill="FFFFFF"/>
          <w:lang w:val="en-US"/>
        </w:rPr>
        <w:t>, N. P.</w:t>
      </w:r>
      <w:r w:rsidR="00647C4E" w:rsidRPr="00B36BF6">
        <w:rPr>
          <w:rFonts w:ascii="Times New Roman" w:hAnsi="Times New Roman" w:cs="Times New Roman"/>
          <w:sz w:val="24"/>
          <w:szCs w:val="24"/>
          <w:shd w:val="clear" w:color="auto" w:fill="FFFFFF"/>
          <w:lang w:val="en-US"/>
        </w:rPr>
        <w:t xml:space="preserve"> Cellular Interactions of Liposomes and PISA Nanoparticles during Human Blood Flow in a Microvascular Network. </w:t>
      </w:r>
      <w:r w:rsidR="00647C4E" w:rsidRPr="004C1FDA">
        <w:rPr>
          <w:rFonts w:ascii="Times New Roman" w:hAnsi="Times New Roman" w:cs="Times New Roman"/>
          <w:b/>
          <w:bCs/>
          <w:sz w:val="24"/>
          <w:szCs w:val="24"/>
          <w:shd w:val="clear" w:color="auto" w:fill="FFFFFF"/>
          <w:lang w:val="en-US"/>
        </w:rPr>
        <w:t>Wilwey</w:t>
      </w:r>
      <w:r>
        <w:rPr>
          <w:rFonts w:ascii="Times New Roman" w:hAnsi="Times New Roman" w:cs="Times New Roman"/>
          <w:sz w:val="24"/>
          <w:szCs w:val="24"/>
          <w:shd w:val="clear" w:color="auto" w:fill="FFFFFF"/>
          <w:lang w:val="en-US"/>
        </w:rPr>
        <w:t>,</w:t>
      </w:r>
      <w:r w:rsidR="00647C4E" w:rsidRPr="004C1FDA">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 xml:space="preserve">v. </w:t>
      </w:r>
      <w:r w:rsidR="00647C4E" w:rsidRPr="004C1FDA">
        <w:rPr>
          <w:rFonts w:ascii="Times New Roman" w:hAnsi="Times New Roman" w:cs="Times New Roman"/>
          <w:sz w:val="24"/>
          <w:szCs w:val="24"/>
          <w:shd w:val="clear" w:color="auto" w:fill="FFFFFF"/>
          <w:lang w:val="en-US"/>
        </w:rPr>
        <w:t>16</w:t>
      </w:r>
      <w:r>
        <w:rPr>
          <w:rFonts w:ascii="Times New Roman" w:hAnsi="Times New Roman" w:cs="Times New Roman"/>
          <w:sz w:val="24"/>
          <w:szCs w:val="24"/>
          <w:shd w:val="clear" w:color="auto" w:fill="FFFFFF"/>
          <w:lang w:val="en-US"/>
        </w:rPr>
        <w:t xml:space="preserve">, n. </w:t>
      </w:r>
      <w:r w:rsidR="00647C4E" w:rsidRPr="004C1FDA">
        <w:rPr>
          <w:rFonts w:ascii="Times New Roman" w:hAnsi="Times New Roman" w:cs="Times New Roman"/>
          <w:sz w:val="24"/>
          <w:szCs w:val="24"/>
          <w:shd w:val="clear" w:color="auto" w:fill="FFFFFF"/>
          <w:lang w:val="en-US"/>
        </w:rPr>
        <w:t>33</w:t>
      </w:r>
      <w:r>
        <w:rPr>
          <w:rFonts w:ascii="Times New Roman" w:hAnsi="Times New Roman" w:cs="Times New Roman"/>
          <w:sz w:val="24"/>
          <w:szCs w:val="24"/>
          <w:shd w:val="clear" w:color="auto" w:fill="FFFFFF"/>
          <w:lang w:val="en-US"/>
        </w:rPr>
        <w:t xml:space="preserve">, p. </w:t>
      </w:r>
      <w:r w:rsidR="00647C4E" w:rsidRPr="004C1FDA">
        <w:rPr>
          <w:rFonts w:ascii="Times New Roman" w:hAnsi="Times New Roman" w:cs="Times New Roman"/>
          <w:sz w:val="24"/>
          <w:szCs w:val="24"/>
          <w:shd w:val="clear" w:color="auto" w:fill="FFFFFF"/>
          <w:lang w:val="en-US"/>
        </w:rPr>
        <w:t>e2002861</w:t>
      </w:r>
      <w:r>
        <w:rPr>
          <w:rFonts w:ascii="Times New Roman" w:hAnsi="Times New Roman" w:cs="Times New Roman"/>
          <w:sz w:val="24"/>
          <w:szCs w:val="24"/>
          <w:shd w:val="clear" w:color="auto" w:fill="FFFFFF"/>
          <w:lang w:val="en-US"/>
        </w:rPr>
        <w:t>, 2020.</w:t>
      </w:r>
    </w:p>
    <w:p w14:paraId="615C1359" w14:textId="1D0AD06C" w:rsidR="00647C4E" w:rsidRPr="00B36BF6" w:rsidRDefault="004C1FDA"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MOTT</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E.J</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BUSSO</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M.</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LUO</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X.</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DOLDER</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C.</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WANG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M.</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O.</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FISHER</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J.</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P.</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DEAN D</w:t>
      </w:r>
      <w:r w:rsidR="00647C4E" w:rsidRPr="00B36BF6">
        <w:rPr>
          <w:rFonts w:ascii="Times New Roman" w:hAnsi="Times New Roman" w:cs="Times New Roman"/>
          <w:sz w:val="24"/>
          <w:szCs w:val="24"/>
          <w:lang w:val="en-US"/>
        </w:rPr>
        <w:t xml:space="preserve">. Digital micromirror device (DMD)-based 3D printing of poly (propylene fumarate) scaffolds. </w:t>
      </w:r>
      <w:r w:rsidR="00647C4E" w:rsidRPr="004C1FDA">
        <w:rPr>
          <w:rFonts w:ascii="Times New Roman" w:hAnsi="Times New Roman" w:cs="Times New Roman"/>
          <w:b/>
          <w:bCs/>
          <w:sz w:val="24"/>
          <w:szCs w:val="24"/>
          <w:lang w:val="en-US"/>
        </w:rPr>
        <w:t>Mater. Sci. Eng. C Mater. Biol. Appl.</w:t>
      </w:r>
      <w:r>
        <w:rPr>
          <w:rFonts w:ascii="Times New Roman" w:hAnsi="Times New Roman" w:cs="Times New Roman"/>
          <w:sz w:val="24"/>
          <w:szCs w:val="24"/>
          <w:lang w:val="en-US"/>
        </w:rPr>
        <w:t>,</w:t>
      </w:r>
      <w:r w:rsidR="00647C4E"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00647C4E" w:rsidRPr="00B36BF6">
        <w:rPr>
          <w:rFonts w:ascii="Times New Roman" w:hAnsi="Times New Roman" w:cs="Times New Roman"/>
          <w:sz w:val="24"/>
          <w:szCs w:val="24"/>
          <w:lang w:val="en-US"/>
        </w:rPr>
        <w:t>61</w:t>
      </w:r>
      <w:r>
        <w:rPr>
          <w:rFonts w:ascii="Times New Roman" w:hAnsi="Times New Roman" w:cs="Times New Roman"/>
          <w:sz w:val="24"/>
          <w:szCs w:val="24"/>
          <w:lang w:val="en-US"/>
        </w:rPr>
        <w:t xml:space="preserve">, p. </w:t>
      </w:r>
      <w:r w:rsidR="00647C4E" w:rsidRPr="00B36BF6">
        <w:rPr>
          <w:rFonts w:ascii="Times New Roman" w:hAnsi="Times New Roman" w:cs="Times New Roman"/>
          <w:sz w:val="24"/>
          <w:szCs w:val="24"/>
          <w:lang w:val="en-US"/>
        </w:rPr>
        <w:t>301–311</w:t>
      </w:r>
      <w:r>
        <w:rPr>
          <w:rFonts w:ascii="Times New Roman" w:hAnsi="Times New Roman" w:cs="Times New Roman"/>
          <w:sz w:val="24"/>
          <w:szCs w:val="24"/>
          <w:lang w:val="en-US"/>
        </w:rPr>
        <w:t>, 2016.</w:t>
      </w:r>
    </w:p>
    <w:p w14:paraId="245F1826" w14:textId="23E394C4" w:rsidR="00647C4E" w:rsidRPr="00B36BF6" w:rsidRDefault="004C1FDA"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OVACIK</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M</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LIN</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t>
      </w:r>
      <w:r w:rsidR="00647C4E" w:rsidRPr="00B36BF6">
        <w:rPr>
          <w:rFonts w:ascii="Times New Roman" w:hAnsi="Times New Roman" w:cs="Times New Roman"/>
          <w:sz w:val="24"/>
          <w:szCs w:val="24"/>
          <w:lang w:val="en-US"/>
        </w:rPr>
        <w:t xml:space="preserve">K. Tutorial on monoclonal antibody pharmacokinetics and its considerations in early development. </w:t>
      </w:r>
      <w:r w:rsidR="00647C4E" w:rsidRPr="004C1FDA">
        <w:rPr>
          <w:rFonts w:ascii="Times New Roman" w:hAnsi="Times New Roman" w:cs="Times New Roman"/>
          <w:b/>
          <w:bCs/>
          <w:sz w:val="24"/>
          <w:szCs w:val="24"/>
          <w:lang w:val="en-US"/>
        </w:rPr>
        <w:t>Clin Transl Sci.</w:t>
      </w:r>
      <w:r>
        <w:rPr>
          <w:rFonts w:ascii="Times New Roman" w:hAnsi="Times New Roman" w:cs="Times New Roman"/>
          <w:b/>
          <w:bCs/>
          <w:sz w:val="24"/>
          <w:szCs w:val="24"/>
          <w:lang w:val="en-US"/>
        </w:rPr>
        <w:t>,</w:t>
      </w:r>
      <w:r w:rsidR="00647C4E"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00647C4E" w:rsidRPr="00B36BF6">
        <w:rPr>
          <w:rFonts w:ascii="Times New Roman" w:hAnsi="Times New Roman" w:cs="Times New Roman"/>
          <w:sz w:val="24"/>
          <w:szCs w:val="24"/>
          <w:lang w:val="en-US"/>
        </w:rPr>
        <w:t>11</w:t>
      </w:r>
      <w:r>
        <w:rPr>
          <w:rFonts w:ascii="Times New Roman" w:hAnsi="Times New Roman" w:cs="Times New Roman"/>
          <w:sz w:val="24"/>
          <w:szCs w:val="24"/>
          <w:lang w:val="en-US"/>
        </w:rPr>
        <w:t xml:space="preserve">, p. </w:t>
      </w:r>
      <w:r w:rsidR="00647C4E" w:rsidRPr="00B36BF6">
        <w:rPr>
          <w:rFonts w:ascii="Times New Roman" w:hAnsi="Times New Roman" w:cs="Times New Roman"/>
          <w:sz w:val="24"/>
          <w:szCs w:val="24"/>
          <w:lang w:val="en-US"/>
        </w:rPr>
        <w:t>540‐552</w:t>
      </w:r>
      <w:r>
        <w:rPr>
          <w:rFonts w:ascii="Times New Roman" w:hAnsi="Times New Roman" w:cs="Times New Roman"/>
          <w:sz w:val="24"/>
          <w:szCs w:val="24"/>
          <w:lang w:val="en-US"/>
        </w:rPr>
        <w:t>, 2018.</w:t>
      </w:r>
    </w:p>
    <w:p w14:paraId="58009B00" w14:textId="43889677" w:rsidR="00647C4E" w:rsidRPr="004C1FDA" w:rsidRDefault="004C1FDA"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4C1FDA">
        <w:rPr>
          <w:rFonts w:ascii="Times New Roman" w:hAnsi="Times New Roman" w:cs="Times New Roman"/>
          <w:sz w:val="24"/>
          <w:szCs w:val="24"/>
        </w:rPr>
        <w:t xml:space="preserve">RAMIREZ‐GARCIA, P. D.; RETAMAL, J. S.; SHENOY, P. </w:t>
      </w:r>
      <w:r>
        <w:rPr>
          <w:rFonts w:ascii="Times New Roman" w:hAnsi="Times New Roman" w:cs="Times New Roman"/>
          <w:sz w:val="24"/>
          <w:szCs w:val="24"/>
        </w:rPr>
        <w:t>et al.</w:t>
      </w:r>
      <w:r w:rsidRPr="004C1FDA">
        <w:rPr>
          <w:rFonts w:ascii="Times New Roman" w:hAnsi="Times New Roman" w:cs="Times New Roman"/>
          <w:sz w:val="24"/>
          <w:szCs w:val="24"/>
        </w:rPr>
        <w:t xml:space="preserve"> </w:t>
      </w:r>
      <w:r w:rsidR="00647C4E" w:rsidRPr="004C1FDA">
        <w:rPr>
          <w:rFonts w:ascii="Times New Roman" w:hAnsi="Times New Roman" w:cs="Times New Roman"/>
          <w:b/>
          <w:bCs/>
          <w:sz w:val="24"/>
          <w:szCs w:val="24"/>
          <w:lang w:val="en-US"/>
        </w:rPr>
        <w:t>Nat. Nanotechnol.</w:t>
      </w:r>
      <w:r>
        <w:rPr>
          <w:rFonts w:ascii="Times New Roman" w:hAnsi="Times New Roman" w:cs="Times New Roman"/>
          <w:sz w:val="24"/>
          <w:szCs w:val="24"/>
          <w:lang w:val="en-US"/>
        </w:rPr>
        <w:t>,</w:t>
      </w:r>
      <w:r w:rsidR="00647C4E" w:rsidRPr="004C1FDA">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00647C4E" w:rsidRPr="004C1FDA">
        <w:rPr>
          <w:rFonts w:ascii="Times New Roman" w:hAnsi="Times New Roman" w:cs="Times New Roman"/>
          <w:sz w:val="24"/>
          <w:szCs w:val="24"/>
          <w:lang w:val="en-US"/>
        </w:rPr>
        <w:t xml:space="preserve"> 14, </w:t>
      </w:r>
      <w:r>
        <w:rPr>
          <w:rFonts w:ascii="Times New Roman" w:hAnsi="Times New Roman" w:cs="Times New Roman"/>
          <w:sz w:val="24"/>
          <w:szCs w:val="24"/>
          <w:lang w:val="en-US"/>
        </w:rPr>
        <w:t xml:space="preserve">p. </w:t>
      </w:r>
      <w:r w:rsidR="00647C4E" w:rsidRPr="004C1FDA">
        <w:rPr>
          <w:rFonts w:ascii="Times New Roman" w:hAnsi="Times New Roman" w:cs="Times New Roman"/>
          <w:sz w:val="24"/>
          <w:szCs w:val="24"/>
          <w:lang w:val="en-US"/>
        </w:rPr>
        <w:t>1150</w:t>
      </w:r>
      <w:r>
        <w:rPr>
          <w:rFonts w:ascii="Times New Roman" w:hAnsi="Times New Roman" w:cs="Times New Roman"/>
          <w:sz w:val="24"/>
          <w:szCs w:val="24"/>
          <w:lang w:val="en-US"/>
        </w:rPr>
        <w:t>, 2019.</w:t>
      </w:r>
    </w:p>
    <w:p w14:paraId="2A47223F" w14:textId="6D01C216" w:rsidR="00647C4E" w:rsidRPr="00B36BF6" w:rsidRDefault="004C1FDA"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RICCI J.L., CLARK E.A., MURRIKY A., SMAY J.E</w:t>
      </w:r>
      <w:r w:rsidR="00647C4E" w:rsidRPr="00B36BF6">
        <w:rPr>
          <w:rFonts w:ascii="Times New Roman" w:hAnsi="Times New Roman" w:cs="Times New Roman"/>
          <w:sz w:val="24"/>
          <w:szCs w:val="24"/>
          <w:lang w:val="en-US"/>
        </w:rPr>
        <w:t xml:space="preserve">. Three-dimensional printing of bone repair and replacement materials: Impact on craniofacial surgery. </w:t>
      </w:r>
      <w:r w:rsidR="00647C4E" w:rsidRPr="004C1FDA">
        <w:rPr>
          <w:rFonts w:ascii="Times New Roman" w:hAnsi="Times New Roman" w:cs="Times New Roman"/>
          <w:b/>
          <w:bCs/>
          <w:sz w:val="24"/>
          <w:szCs w:val="24"/>
          <w:lang w:val="en-US"/>
        </w:rPr>
        <w:t>J. Craniofacial Surg.</w:t>
      </w:r>
      <w:r>
        <w:rPr>
          <w:rFonts w:ascii="Times New Roman" w:hAnsi="Times New Roman" w:cs="Times New Roman"/>
          <w:b/>
          <w:bCs/>
          <w:sz w:val="24"/>
          <w:szCs w:val="24"/>
          <w:lang w:val="en-US"/>
        </w:rPr>
        <w:t>,</w:t>
      </w:r>
      <w:r w:rsidR="00647C4E"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00647C4E" w:rsidRPr="00B36BF6">
        <w:rPr>
          <w:rFonts w:ascii="Times New Roman" w:hAnsi="Times New Roman" w:cs="Times New Roman"/>
          <w:sz w:val="24"/>
          <w:szCs w:val="24"/>
          <w:lang w:val="en-US"/>
        </w:rPr>
        <w:t>23</w:t>
      </w:r>
      <w:r>
        <w:rPr>
          <w:rFonts w:ascii="Times New Roman" w:hAnsi="Times New Roman" w:cs="Times New Roman"/>
          <w:sz w:val="24"/>
          <w:szCs w:val="24"/>
          <w:lang w:val="en-US"/>
        </w:rPr>
        <w:t xml:space="preserve">, p. </w:t>
      </w:r>
      <w:r w:rsidR="00647C4E" w:rsidRPr="00B36BF6">
        <w:rPr>
          <w:rFonts w:ascii="Times New Roman" w:hAnsi="Times New Roman" w:cs="Times New Roman"/>
          <w:sz w:val="24"/>
          <w:szCs w:val="24"/>
          <w:lang w:val="en-US"/>
        </w:rPr>
        <w:t>304–308</w:t>
      </w:r>
      <w:r>
        <w:rPr>
          <w:rFonts w:ascii="Times New Roman" w:hAnsi="Times New Roman" w:cs="Times New Roman"/>
          <w:sz w:val="24"/>
          <w:szCs w:val="24"/>
          <w:lang w:val="en-US"/>
        </w:rPr>
        <w:t>, 2012.</w:t>
      </w:r>
    </w:p>
    <w:p w14:paraId="05F99D29" w14:textId="6452252C" w:rsidR="00647C4E" w:rsidRPr="004C1FDA" w:rsidRDefault="004C1FDA"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ROSENBLUM</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JOSHI</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N.</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TAO</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KARP</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J. M.</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PEER</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D</w:t>
      </w:r>
      <w:r w:rsidR="00647C4E" w:rsidRPr="00B36BF6">
        <w:rPr>
          <w:rFonts w:ascii="Times New Roman" w:hAnsi="Times New Roman" w:cs="Times New Roman"/>
          <w:sz w:val="24"/>
          <w:szCs w:val="24"/>
          <w:lang w:val="en-US"/>
        </w:rPr>
        <w:t xml:space="preserve">. </w:t>
      </w:r>
      <w:r w:rsidR="00647C4E" w:rsidRPr="004C1FDA">
        <w:rPr>
          <w:rFonts w:ascii="Times New Roman" w:hAnsi="Times New Roman" w:cs="Times New Roman"/>
          <w:b/>
          <w:bCs/>
          <w:sz w:val="24"/>
          <w:szCs w:val="24"/>
          <w:lang w:val="en-US"/>
        </w:rPr>
        <w:t>Nat. Commun.</w:t>
      </w:r>
      <w:r>
        <w:rPr>
          <w:rFonts w:ascii="Times New Roman" w:hAnsi="Times New Roman" w:cs="Times New Roman"/>
          <w:b/>
          <w:bCs/>
          <w:sz w:val="24"/>
          <w:szCs w:val="24"/>
          <w:lang w:val="en-US"/>
        </w:rPr>
        <w:t>,</w:t>
      </w:r>
      <w:r w:rsidR="00647C4E"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00647C4E" w:rsidRPr="004C1FDA">
        <w:rPr>
          <w:rFonts w:ascii="Times New Roman" w:hAnsi="Times New Roman" w:cs="Times New Roman"/>
          <w:sz w:val="24"/>
          <w:szCs w:val="24"/>
          <w:lang w:val="en-US"/>
        </w:rPr>
        <w:t xml:space="preserve">9, </w:t>
      </w:r>
      <w:r>
        <w:rPr>
          <w:rFonts w:ascii="Times New Roman" w:hAnsi="Times New Roman" w:cs="Times New Roman"/>
          <w:sz w:val="24"/>
          <w:szCs w:val="24"/>
          <w:lang w:val="en-US"/>
        </w:rPr>
        <w:t xml:space="preserve">p. </w:t>
      </w:r>
      <w:r w:rsidR="00647C4E" w:rsidRPr="004C1FDA">
        <w:rPr>
          <w:rFonts w:ascii="Times New Roman" w:hAnsi="Times New Roman" w:cs="Times New Roman"/>
          <w:sz w:val="24"/>
          <w:szCs w:val="24"/>
          <w:lang w:val="en-US"/>
        </w:rPr>
        <w:t>1410</w:t>
      </w:r>
      <w:r>
        <w:rPr>
          <w:rFonts w:ascii="Times New Roman" w:hAnsi="Times New Roman" w:cs="Times New Roman"/>
          <w:sz w:val="24"/>
          <w:szCs w:val="24"/>
          <w:lang w:val="en-US"/>
        </w:rPr>
        <w:t>, 2018.</w:t>
      </w:r>
    </w:p>
    <w:p w14:paraId="540EF24E" w14:textId="6BAE5674" w:rsidR="00647C4E" w:rsidRPr="00B36BF6" w:rsidRDefault="004C1FDA"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RYMAN</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J</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T</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MEIBOHM</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t>
      </w:r>
      <w:r w:rsidR="00647C4E" w:rsidRPr="00B36BF6">
        <w:rPr>
          <w:rFonts w:ascii="Times New Roman" w:hAnsi="Times New Roman" w:cs="Times New Roman"/>
          <w:sz w:val="24"/>
          <w:szCs w:val="24"/>
          <w:lang w:val="en-US"/>
        </w:rPr>
        <w:t xml:space="preserve">B. Pharmacokinetics of monoclonal antibodies. </w:t>
      </w:r>
      <w:r w:rsidR="00647C4E" w:rsidRPr="004C1FDA">
        <w:rPr>
          <w:rFonts w:ascii="Times New Roman" w:hAnsi="Times New Roman" w:cs="Times New Roman"/>
          <w:b/>
          <w:bCs/>
          <w:sz w:val="24"/>
          <w:szCs w:val="24"/>
          <w:lang w:val="en-US"/>
        </w:rPr>
        <w:t>CPT Pharmacometrics Syst Pharmacol</w:t>
      </w:r>
      <w:r w:rsidR="00647C4E" w:rsidRPr="00B36BF6">
        <w:rPr>
          <w:rFonts w:ascii="Times New Roman" w:hAnsi="Times New Roman" w:cs="Times New Roman"/>
          <w:sz w:val="24"/>
          <w:szCs w:val="24"/>
          <w:lang w:val="en-US"/>
        </w:rPr>
        <w:t>.</w:t>
      </w:r>
      <w:r>
        <w:rPr>
          <w:rFonts w:ascii="Times New Roman" w:hAnsi="Times New Roman" w:cs="Times New Roman"/>
          <w:sz w:val="24"/>
          <w:szCs w:val="24"/>
          <w:lang w:val="en-US"/>
        </w:rPr>
        <w:t>,</w:t>
      </w:r>
      <w:r w:rsidR="00647C4E"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00647C4E" w:rsidRPr="00B36BF6">
        <w:rPr>
          <w:rFonts w:ascii="Times New Roman" w:hAnsi="Times New Roman" w:cs="Times New Roman"/>
          <w:sz w:val="24"/>
          <w:szCs w:val="24"/>
          <w:lang w:val="en-US"/>
        </w:rPr>
        <w:t>6</w:t>
      </w:r>
      <w:r>
        <w:rPr>
          <w:rFonts w:ascii="Times New Roman" w:hAnsi="Times New Roman" w:cs="Times New Roman"/>
          <w:sz w:val="24"/>
          <w:szCs w:val="24"/>
          <w:lang w:val="en-US"/>
        </w:rPr>
        <w:t xml:space="preserve">, p. </w:t>
      </w:r>
      <w:r w:rsidR="00647C4E" w:rsidRPr="00B36BF6">
        <w:rPr>
          <w:rFonts w:ascii="Times New Roman" w:hAnsi="Times New Roman" w:cs="Times New Roman"/>
          <w:sz w:val="24"/>
          <w:szCs w:val="24"/>
          <w:lang w:val="en-US"/>
        </w:rPr>
        <w:t>576‐588</w:t>
      </w:r>
      <w:r>
        <w:rPr>
          <w:rFonts w:ascii="Times New Roman" w:hAnsi="Times New Roman" w:cs="Times New Roman"/>
          <w:sz w:val="24"/>
          <w:szCs w:val="24"/>
          <w:lang w:val="en-US"/>
        </w:rPr>
        <w:t>, 2017.</w:t>
      </w:r>
    </w:p>
    <w:p w14:paraId="5C726DF4" w14:textId="51CB7220" w:rsidR="00647C4E" w:rsidRPr="00B36BF6" w:rsidRDefault="004C1FDA"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4C1FDA">
        <w:rPr>
          <w:rFonts w:ascii="Times New Roman" w:hAnsi="Times New Roman" w:cs="Times New Roman"/>
          <w:sz w:val="24"/>
          <w:szCs w:val="24"/>
          <w:lang w:val="en-US"/>
        </w:rPr>
        <w:t xml:space="preserve">SEDYKH, S. E.; PRINZ, V. V.; BUNEVA, V. N.; NEVINSKY, </w:t>
      </w:r>
      <w:r w:rsidR="00647C4E" w:rsidRPr="004C1FDA">
        <w:rPr>
          <w:rFonts w:ascii="Times New Roman" w:hAnsi="Times New Roman" w:cs="Times New Roman"/>
          <w:sz w:val="24"/>
          <w:szCs w:val="24"/>
          <w:lang w:val="en-US"/>
        </w:rPr>
        <w:t>G</w:t>
      </w:r>
      <w:r w:rsidRPr="004C1FDA">
        <w:rPr>
          <w:rFonts w:ascii="Times New Roman" w:hAnsi="Times New Roman" w:cs="Times New Roman"/>
          <w:sz w:val="24"/>
          <w:szCs w:val="24"/>
          <w:lang w:val="en-US"/>
        </w:rPr>
        <w:t xml:space="preserve">. </w:t>
      </w:r>
      <w:r w:rsidR="00647C4E" w:rsidRPr="004C1FDA">
        <w:rPr>
          <w:rFonts w:ascii="Times New Roman" w:hAnsi="Times New Roman" w:cs="Times New Roman"/>
          <w:sz w:val="24"/>
          <w:szCs w:val="24"/>
          <w:lang w:val="en-US"/>
        </w:rPr>
        <w:t xml:space="preserve">A. </w:t>
      </w:r>
      <w:r w:rsidR="00647C4E" w:rsidRPr="00B36BF6">
        <w:rPr>
          <w:rFonts w:ascii="Times New Roman" w:hAnsi="Times New Roman" w:cs="Times New Roman"/>
          <w:sz w:val="24"/>
          <w:szCs w:val="24"/>
          <w:lang w:val="en-US"/>
        </w:rPr>
        <w:t xml:space="preserve">Bispecific antibodies: design, therapy, perspectives. </w:t>
      </w:r>
      <w:r w:rsidR="00647C4E" w:rsidRPr="004C1FDA">
        <w:rPr>
          <w:rFonts w:ascii="Times New Roman" w:hAnsi="Times New Roman" w:cs="Times New Roman"/>
          <w:b/>
          <w:bCs/>
          <w:sz w:val="24"/>
          <w:szCs w:val="24"/>
          <w:lang w:val="en-US"/>
        </w:rPr>
        <w:t>Drug Des Devel Ther</w:t>
      </w:r>
      <w:r w:rsidR="00647C4E" w:rsidRPr="00B36BF6">
        <w:rPr>
          <w:rFonts w:ascii="Times New Roman" w:hAnsi="Times New Roman" w:cs="Times New Roman"/>
          <w:sz w:val="24"/>
          <w:szCs w:val="24"/>
          <w:lang w:val="en-US"/>
        </w:rPr>
        <w:t>.</w:t>
      </w:r>
      <w:r>
        <w:rPr>
          <w:rFonts w:ascii="Times New Roman" w:hAnsi="Times New Roman" w:cs="Times New Roman"/>
          <w:sz w:val="24"/>
          <w:szCs w:val="24"/>
          <w:lang w:val="en-US"/>
        </w:rPr>
        <w:t>, v.</w:t>
      </w:r>
      <w:r w:rsidR="00647C4E"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12, p.</w:t>
      </w:r>
      <w:r w:rsidR="00647C4E" w:rsidRPr="00B36BF6">
        <w:rPr>
          <w:rFonts w:ascii="Times New Roman" w:hAnsi="Times New Roman" w:cs="Times New Roman"/>
          <w:sz w:val="24"/>
          <w:szCs w:val="24"/>
          <w:lang w:val="en-US"/>
        </w:rPr>
        <w:t>195‐208</w:t>
      </w:r>
      <w:r>
        <w:rPr>
          <w:rFonts w:ascii="Times New Roman" w:hAnsi="Times New Roman" w:cs="Times New Roman"/>
          <w:sz w:val="24"/>
          <w:szCs w:val="24"/>
          <w:lang w:val="en-US"/>
        </w:rPr>
        <w:t>, 2018.</w:t>
      </w:r>
    </w:p>
    <w:p w14:paraId="2CF11EC1" w14:textId="09032FE0" w:rsidR="00647C4E" w:rsidRPr="00B36BF6" w:rsidRDefault="00647C4E" w:rsidP="004974DB">
      <w:pPr>
        <w:pStyle w:val="Normal1"/>
        <w:spacing w:before="100" w:beforeAutospacing="1" w:after="100" w:afterAutospacing="1" w:line="240" w:lineRule="auto"/>
        <w:jc w:val="both"/>
        <w:rPr>
          <w:rFonts w:ascii="Times New Roman" w:hAnsi="Times New Roman" w:cs="Times New Roman"/>
          <w:sz w:val="24"/>
          <w:szCs w:val="24"/>
        </w:rPr>
      </w:pPr>
      <w:r w:rsidRPr="00B36BF6">
        <w:rPr>
          <w:rFonts w:ascii="Times New Roman" w:hAnsi="Times New Roman" w:cs="Times New Roman"/>
          <w:sz w:val="24"/>
          <w:szCs w:val="24"/>
          <w:lang w:val="en-US"/>
        </w:rPr>
        <w:t xml:space="preserve">SHASTRY, B. S. Pharmacogenetics and the concept of individualized medicine. </w:t>
      </w:r>
      <w:r w:rsidRPr="004C1FDA">
        <w:rPr>
          <w:rFonts w:ascii="Times New Roman" w:hAnsi="Times New Roman" w:cs="Times New Roman"/>
          <w:b/>
          <w:bCs/>
          <w:sz w:val="24"/>
          <w:szCs w:val="24"/>
        </w:rPr>
        <w:t>Pharmacogenomics J</w:t>
      </w:r>
      <w:r w:rsidRPr="00B36BF6">
        <w:rPr>
          <w:rFonts w:ascii="Times New Roman" w:hAnsi="Times New Roman" w:cs="Times New Roman"/>
          <w:sz w:val="24"/>
          <w:szCs w:val="24"/>
        </w:rPr>
        <w:t>, v. 6, n. 1, p. 16-21, 2006</w:t>
      </w:r>
      <w:r w:rsidR="004C1FDA">
        <w:rPr>
          <w:rFonts w:ascii="Times New Roman" w:hAnsi="Times New Roman" w:cs="Times New Roman"/>
          <w:sz w:val="24"/>
          <w:szCs w:val="24"/>
        </w:rPr>
        <w:t>.</w:t>
      </w:r>
    </w:p>
    <w:p w14:paraId="3935A848" w14:textId="54BAF4C8" w:rsidR="00647C4E" w:rsidRPr="004C1FDA" w:rsidRDefault="004C1FDA"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4C1FDA">
        <w:rPr>
          <w:rFonts w:ascii="Times New Roman" w:hAnsi="Times New Roman" w:cs="Times New Roman"/>
          <w:sz w:val="24"/>
          <w:szCs w:val="24"/>
          <w:lang w:val="en-US"/>
        </w:rPr>
        <w:t xml:space="preserve">STEFANIA, M.; PAOLO, T.; EMANUELA, F; PAOLO, D.; DUSO, B. A.; CURIGLIANO, G. </w:t>
      </w:r>
      <w:r w:rsidR="00647C4E" w:rsidRPr="004C1FDA">
        <w:rPr>
          <w:rFonts w:ascii="Times New Roman" w:hAnsi="Times New Roman" w:cs="Times New Roman"/>
          <w:b/>
          <w:bCs/>
          <w:sz w:val="24"/>
          <w:szCs w:val="24"/>
          <w:lang w:val="en-US"/>
        </w:rPr>
        <w:t>Affiliations expandNext Generation Sequencing (NGS): A Revolutionary Technology in Pharmacogenomics and Personalized Medicine in Cancer</w:t>
      </w:r>
      <w:r w:rsidR="00647C4E" w:rsidRPr="00B36BF6">
        <w:rPr>
          <w:rFonts w:ascii="Times New Roman" w:hAnsi="Times New Roman" w:cs="Times New Roman"/>
          <w:sz w:val="24"/>
          <w:szCs w:val="24"/>
          <w:lang w:val="en-US"/>
        </w:rPr>
        <w:t xml:space="preserve">. </w:t>
      </w:r>
      <w:r w:rsidR="00647C4E" w:rsidRPr="004C1FDA">
        <w:rPr>
          <w:rFonts w:ascii="Times New Roman" w:hAnsi="Times New Roman" w:cs="Times New Roman"/>
          <w:sz w:val="24"/>
          <w:szCs w:val="24"/>
          <w:lang w:val="en-US"/>
        </w:rPr>
        <w:t>Springer, 2019.</w:t>
      </w:r>
    </w:p>
    <w:p w14:paraId="58A59033" w14:textId="419A3D4E" w:rsidR="00F314C2" w:rsidRDefault="00F314C2"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SUDHAKAR</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V</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RICHARDSON</w:t>
      </w:r>
      <w:r>
        <w:rPr>
          <w:rFonts w:ascii="Times New Roman" w:hAnsi="Times New Roman" w:cs="Times New Roman"/>
          <w:sz w:val="24"/>
          <w:szCs w:val="24"/>
          <w:lang w:val="en-US"/>
        </w:rPr>
        <w:t>,</w:t>
      </w:r>
      <w:r w:rsidRPr="00F314C2">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R. M</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Gene Therapy for Neurodegenerative Diseases. </w:t>
      </w:r>
      <w:r w:rsidRPr="00F314C2">
        <w:rPr>
          <w:rFonts w:ascii="Times New Roman" w:hAnsi="Times New Roman" w:cs="Times New Roman"/>
          <w:b/>
          <w:bCs/>
          <w:sz w:val="24"/>
          <w:szCs w:val="24"/>
          <w:lang w:val="en-US"/>
        </w:rPr>
        <w:t>Neurotherapeutics</w:t>
      </w:r>
      <w:r>
        <w:rPr>
          <w:rFonts w:ascii="Times New Roman" w:hAnsi="Times New Roman" w:cs="Times New Roman"/>
          <w:b/>
          <w:bCs/>
          <w:sz w:val="24"/>
          <w:szCs w:val="24"/>
          <w:lang w:val="en-US"/>
        </w:rPr>
        <w:t>,</w:t>
      </w:r>
      <w:r w:rsidRPr="00F314C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Pr="00F314C2">
        <w:rPr>
          <w:rFonts w:ascii="Times New Roman" w:hAnsi="Times New Roman" w:cs="Times New Roman"/>
          <w:sz w:val="24"/>
          <w:szCs w:val="24"/>
          <w:lang w:val="en-US"/>
        </w:rPr>
        <w:t>16</w:t>
      </w:r>
      <w:r>
        <w:rPr>
          <w:rFonts w:ascii="Times New Roman" w:hAnsi="Times New Roman" w:cs="Times New Roman"/>
          <w:sz w:val="24"/>
          <w:szCs w:val="24"/>
          <w:lang w:val="en-US"/>
        </w:rPr>
        <w:t xml:space="preserve">, n. </w:t>
      </w:r>
      <w:r w:rsidRPr="00F314C2">
        <w:rPr>
          <w:rFonts w:ascii="Times New Roman" w:hAnsi="Times New Roman" w:cs="Times New Roman"/>
          <w:sz w:val="24"/>
          <w:szCs w:val="24"/>
          <w:lang w:val="en-US"/>
        </w:rPr>
        <w:t>1</w:t>
      </w:r>
      <w:r>
        <w:rPr>
          <w:rFonts w:ascii="Times New Roman" w:hAnsi="Times New Roman" w:cs="Times New Roman"/>
          <w:sz w:val="24"/>
          <w:szCs w:val="24"/>
          <w:lang w:val="en-US"/>
        </w:rPr>
        <w:t>, p.</w:t>
      </w:r>
      <w:r w:rsidRPr="00F314C2">
        <w:rPr>
          <w:rFonts w:ascii="Times New Roman" w:hAnsi="Times New Roman" w:cs="Times New Roman"/>
          <w:sz w:val="24"/>
          <w:szCs w:val="24"/>
          <w:lang w:val="en-US"/>
        </w:rPr>
        <w:t xml:space="preserve"> 166–175</w:t>
      </w:r>
      <w:r>
        <w:rPr>
          <w:rFonts w:ascii="Times New Roman" w:hAnsi="Times New Roman" w:cs="Times New Roman"/>
          <w:sz w:val="24"/>
          <w:szCs w:val="24"/>
          <w:lang w:val="en-US"/>
        </w:rPr>
        <w:t>, 2019.</w:t>
      </w:r>
    </w:p>
    <w:p w14:paraId="5A85A7A6" w14:textId="68F34B88" w:rsidR="00647C4E" w:rsidRPr="00B36BF6" w:rsidRDefault="00A24828" w:rsidP="004974DB">
      <w:pPr>
        <w:pStyle w:val="Normal1"/>
        <w:spacing w:before="100" w:beforeAutospacing="1" w:after="100" w:afterAutospacing="1" w:line="240" w:lineRule="auto"/>
        <w:jc w:val="both"/>
        <w:rPr>
          <w:rFonts w:ascii="Times New Roman" w:hAnsi="Times New Roman" w:cs="Times New Roman"/>
          <w:sz w:val="24"/>
          <w:szCs w:val="24"/>
        </w:rPr>
      </w:pPr>
      <w:r w:rsidRPr="00B36BF6">
        <w:rPr>
          <w:rFonts w:ascii="Times New Roman" w:hAnsi="Times New Roman" w:cs="Times New Roman"/>
          <w:sz w:val="24"/>
          <w:szCs w:val="24"/>
          <w:lang w:val="en-US"/>
        </w:rPr>
        <w:t>SUN</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Q.</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RIZVI</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G.</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M.</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BELLEHUMEUR</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C.</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T.</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GU</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P</w:t>
      </w:r>
      <w:r w:rsidR="00647C4E" w:rsidRPr="00B36BF6">
        <w:rPr>
          <w:rFonts w:ascii="Times New Roman" w:hAnsi="Times New Roman" w:cs="Times New Roman"/>
          <w:sz w:val="24"/>
          <w:szCs w:val="24"/>
          <w:lang w:val="en-US"/>
        </w:rPr>
        <w:t xml:space="preserve">. Effect of processing conditions on the bonding quality of FDM polymer filaments. </w:t>
      </w:r>
      <w:r w:rsidR="00647C4E" w:rsidRPr="00A24828">
        <w:rPr>
          <w:rFonts w:ascii="Times New Roman" w:hAnsi="Times New Roman" w:cs="Times New Roman"/>
          <w:b/>
          <w:bCs/>
          <w:sz w:val="24"/>
          <w:szCs w:val="24"/>
        </w:rPr>
        <w:t>Rapid Prototyp. J.</w:t>
      </w:r>
      <w:r w:rsidRPr="00A24828">
        <w:rPr>
          <w:rFonts w:ascii="Times New Roman" w:hAnsi="Times New Roman" w:cs="Times New Roman"/>
          <w:b/>
          <w:bCs/>
          <w:sz w:val="24"/>
          <w:szCs w:val="24"/>
        </w:rPr>
        <w:t>,</w:t>
      </w:r>
      <w:r w:rsidR="00647C4E" w:rsidRPr="00B36BF6">
        <w:rPr>
          <w:rFonts w:ascii="Times New Roman" w:hAnsi="Times New Roman" w:cs="Times New Roman"/>
          <w:sz w:val="24"/>
          <w:szCs w:val="24"/>
        </w:rPr>
        <w:t xml:space="preserve"> </w:t>
      </w:r>
      <w:r>
        <w:rPr>
          <w:rFonts w:ascii="Times New Roman" w:hAnsi="Times New Roman" w:cs="Times New Roman"/>
          <w:sz w:val="24"/>
          <w:szCs w:val="24"/>
        </w:rPr>
        <w:t xml:space="preserve">v. </w:t>
      </w:r>
      <w:r w:rsidR="00647C4E" w:rsidRPr="00B36BF6">
        <w:rPr>
          <w:rFonts w:ascii="Times New Roman" w:hAnsi="Times New Roman" w:cs="Times New Roman"/>
          <w:sz w:val="24"/>
          <w:szCs w:val="24"/>
        </w:rPr>
        <w:t>15</w:t>
      </w:r>
      <w:r>
        <w:rPr>
          <w:rFonts w:ascii="Times New Roman" w:hAnsi="Times New Roman" w:cs="Times New Roman"/>
          <w:sz w:val="24"/>
          <w:szCs w:val="24"/>
        </w:rPr>
        <w:t xml:space="preserve">, p. </w:t>
      </w:r>
      <w:r w:rsidR="00647C4E" w:rsidRPr="00B36BF6">
        <w:rPr>
          <w:rFonts w:ascii="Times New Roman" w:hAnsi="Times New Roman" w:cs="Times New Roman"/>
          <w:sz w:val="24"/>
          <w:szCs w:val="24"/>
        </w:rPr>
        <w:t>72–80</w:t>
      </w:r>
      <w:r>
        <w:rPr>
          <w:rFonts w:ascii="Times New Roman" w:hAnsi="Times New Roman" w:cs="Times New Roman"/>
          <w:sz w:val="24"/>
          <w:szCs w:val="24"/>
        </w:rPr>
        <w:t>, 2008.</w:t>
      </w:r>
    </w:p>
    <w:p w14:paraId="547D6ECF" w14:textId="6037CC5E" w:rsidR="00647C4E" w:rsidRPr="00B36BF6" w:rsidRDefault="00F314C2"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rPr>
        <w:t>TRUONG</w:t>
      </w:r>
      <w:r>
        <w:rPr>
          <w:rFonts w:ascii="Times New Roman" w:hAnsi="Times New Roman" w:cs="Times New Roman"/>
          <w:sz w:val="24"/>
          <w:szCs w:val="24"/>
        </w:rPr>
        <w:t>,</w:t>
      </w:r>
      <w:r w:rsidRPr="00B36BF6">
        <w:rPr>
          <w:rFonts w:ascii="Times New Roman" w:hAnsi="Times New Roman" w:cs="Times New Roman"/>
          <w:sz w:val="24"/>
          <w:szCs w:val="24"/>
        </w:rPr>
        <w:t xml:space="preserve"> N. P.</w:t>
      </w:r>
      <w:r>
        <w:rPr>
          <w:rFonts w:ascii="Times New Roman" w:hAnsi="Times New Roman" w:cs="Times New Roman"/>
          <w:sz w:val="24"/>
          <w:szCs w:val="24"/>
        </w:rPr>
        <w:t>;</w:t>
      </w:r>
      <w:r w:rsidRPr="00B36BF6">
        <w:rPr>
          <w:rFonts w:ascii="Times New Roman" w:hAnsi="Times New Roman" w:cs="Times New Roman"/>
          <w:sz w:val="24"/>
          <w:szCs w:val="24"/>
        </w:rPr>
        <w:t xml:space="preserve"> GU</w:t>
      </w:r>
      <w:r>
        <w:rPr>
          <w:rFonts w:ascii="Times New Roman" w:hAnsi="Times New Roman" w:cs="Times New Roman"/>
          <w:sz w:val="24"/>
          <w:szCs w:val="24"/>
        </w:rPr>
        <w:t>,</w:t>
      </w:r>
      <w:r w:rsidRPr="00B36BF6">
        <w:rPr>
          <w:rFonts w:ascii="Times New Roman" w:hAnsi="Times New Roman" w:cs="Times New Roman"/>
          <w:sz w:val="24"/>
          <w:szCs w:val="24"/>
        </w:rPr>
        <w:t xml:space="preserve"> W. Y.</w:t>
      </w:r>
      <w:r>
        <w:rPr>
          <w:rFonts w:ascii="Times New Roman" w:hAnsi="Times New Roman" w:cs="Times New Roman"/>
          <w:sz w:val="24"/>
          <w:szCs w:val="24"/>
        </w:rPr>
        <w:t>;</w:t>
      </w:r>
      <w:r w:rsidRPr="00B36BF6">
        <w:rPr>
          <w:rFonts w:ascii="Times New Roman" w:hAnsi="Times New Roman" w:cs="Times New Roman"/>
          <w:sz w:val="24"/>
          <w:szCs w:val="24"/>
        </w:rPr>
        <w:t xml:space="preserve"> PRASADAM</w:t>
      </w:r>
      <w:r>
        <w:rPr>
          <w:rFonts w:ascii="Times New Roman" w:hAnsi="Times New Roman" w:cs="Times New Roman"/>
          <w:sz w:val="24"/>
          <w:szCs w:val="24"/>
        </w:rPr>
        <w:t>,</w:t>
      </w:r>
      <w:r w:rsidRPr="00B36BF6">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B36BF6">
        <w:rPr>
          <w:rFonts w:ascii="Times New Roman" w:hAnsi="Times New Roman" w:cs="Times New Roman"/>
          <w:sz w:val="24"/>
          <w:szCs w:val="24"/>
        </w:rPr>
        <w:t>JIA</w:t>
      </w:r>
      <w:r>
        <w:rPr>
          <w:rFonts w:ascii="Times New Roman" w:hAnsi="Times New Roman" w:cs="Times New Roman"/>
          <w:sz w:val="24"/>
          <w:szCs w:val="24"/>
        </w:rPr>
        <w:t>,</w:t>
      </w:r>
      <w:r w:rsidRPr="00B36BF6">
        <w:rPr>
          <w:rFonts w:ascii="Times New Roman" w:hAnsi="Times New Roman" w:cs="Times New Roman"/>
          <w:sz w:val="24"/>
          <w:szCs w:val="24"/>
        </w:rPr>
        <w:t xml:space="preserve"> Z. F.</w:t>
      </w:r>
      <w:r>
        <w:rPr>
          <w:rFonts w:ascii="Times New Roman" w:hAnsi="Times New Roman" w:cs="Times New Roman"/>
          <w:sz w:val="24"/>
          <w:szCs w:val="24"/>
        </w:rPr>
        <w:t>;</w:t>
      </w:r>
      <w:r w:rsidRPr="00B36BF6">
        <w:rPr>
          <w:rFonts w:ascii="Times New Roman" w:hAnsi="Times New Roman" w:cs="Times New Roman"/>
          <w:sz w:val="24"/>
          <w:szCs w:val="24"/>
        </w:rPr>
        <w:t xml:space="preserve"> CRAWFORD</w:t>
      </w:r>
      <w:r>
        <w:rPr>
          <w:rFonts w:ascii="Times New Roman" w:hAnsi="Times New Roman" w:cs="Times New Roman"/>
          <w:sz w:val="24"/>
          <w:szCs w:val="24"/>
        </w:rPr>
        <w:t>,</w:t>
      </w:r>
      <w:r w:rsidRPr="00B36BF6">
        <w:rPr>
          <w:rFonts w:ascii="Times New Roman" w:hAnsi="Times New Roman" w:cs="Times New Roman"/>
          <w:sz w:val="24"/>
          <w:szCs w:val="24"/>
        </w:rPr>
        <w:t xml:space="preserve"> R.</w:t>
      </w:r>
      <w:r>
        <w:rPr>
          <w:rFonts w:ascii="Times New Roman" w:hAnsi="Times New Roman" w:cs="Times New Roman"/>
          <w:sz w:val="24"/>
          <w:szCs w:val="24"/>
        </w:rPr>
        <w:t>;</w:t>
      </w:r>
      <w:r w:rsidRPr="00B36BF6">
        <w:rPr>
          <w:rFonts w:ascii="Times New Roman" w:hAnsi="Times New Roman" w:cs="Times New Roman"/>
          <w:sz w:val="24"/>
          <w:szCs w:val="24"/>
        </w:rPr>
        <w:t xml:space="preserve"> XIAO</w:t>
      </w:r>
      <w:r>
        <w:rPr>
          <w:rFonts w:ascii="Times New Roman" w:hAnsi="Times New Roman" w:cs="Times New Roman"/>
          <w:sz w:val="24"/>
          <w:szCs w:val="24"/>
        </w:rPr>
        <w:t>,</w:t>
      </w:r>
      <w:r w:rsidRPr="00B36BF6">
        <w:rPr>
          <w:rFonts w:ascii="Times New Roman" w:hAnsi="Times New Roman" w:cs="Times New Roman"/>
          <w:sz w:val="24"/>
          <w:szCs w:val="24"/>
        </w:rPr>
        <w:t xml:space="preserve"> Y.</w:t>
      </w:r>
      <w:r>
        <w:rPr>
          <w:rFonts w:ascii="Times New Roman" w:hAnsi="Times New Roman" w:cs="Times New Roman"/>
          <w:sz w:val="24"/>
          <w:szCs w:val="24"/>
        </w:rPr>
        <w:t>;</w:t>
      </w:r>
      <w:r w:rsidRPr="00B36BF6">
        <w:rPr>
          <w:rFonts w:ascii="Times New Roman" w:hAnsi="Times New Roman" w:cs="Times New Roman"/>
          <w:sz w:val="24"/>
          <w:szCs w:val="24"/>
        </w:rPr>
        <w:t xml:space="preserve"> MONTEIRO</w:t>
      </w:r>
      <w:r>
        <w:rPr>
          <w:rFonts w:ascii="Times New Roman" w:hAnsi="Times New Roman" w:cs="Times New Roman"/>
          <w:sz w:val="24"/>
          <w:szCs w:val="24"/>
        </w:rPr>
        <w:t>,</w:t>
      </w:r>
      <w:r w:rsidRPr="00B36BF6">
        <w:rPr>
          <w:rFonts w:ascii="Times New Roman" w:hAnsi="Times New Roman" w:cs="Times New Roman"/>
          <w:sz w:val="24"/>
          <w:szCs w:val="24"/>
        </w:rPr>
        <w:t xml:space="preserve"> </w:t>
      </w:r>
      <w:r w:rsidR="00647C4E" w:rsidRPr="00B36BF6">
        <w:rPr>
          <w:rFonts w:ascii="Times New Roman" w:hAnsi="Times New Roman" w:cs="Times New Roman"/>
          <w:sz w:val="24"/>
          <w:szCs w:val="24"/>
        </w:rPr>
        <w:t>M. J.</w:t>
      </w:r>
      <w:r>
        <w:rPr>
          <w:rFonts w:ascii="Times New Roman" w:hAnsi="Times New Roman" w:cs="Times New Roman"/>
          <w:sz w:val="24"/>
          <w:szCs w:val="24"/>
        </w:rPr>
        <w:t>;</w:t>
      </w:r>
      <w:r w:rsidR="00647C4E" w:rsidRPr="00B36BF6">
        <w:rPr>
          <w:rFonts w:ascii="Times New Roman" w:hAnsi="Times New Roman" w:cs="Times New Roman"/>
          <w:sz w:val="24"/>
          <w:szCs w:val="24"/>
        </w:rPr>
        <w:t xml:space="preserve"> </w:t>
      </w:r>
      <w:r w:rsidR="00647C4E" w:rsidRPr="00F314C2">
        <w:rPr>
          <w:rFonts w:ascii="Times New Roman" w:hAnsi="Times New Roman" w:cs="Times New Roman"/>
          <w:b/>
          <w:bCs/>
          <w:sz w:val="24"/>
          <w:szCs w:val="24"/>
        </w:rPr>
        <w:t xml:space="preserve">Nat. </w:t>
      </w:r>
      <w:r w:rsidR="00647C4E" w:rsidRPr="00F314C2">
        <w:rPr>
          <w:rFonts w:ascii="Times New Roman" w:hAnsi="Times New Roman" w:cs="Times New Roman"/>
          <w:b/>
          <w:bCs/>
          <w:sz w:val="24"/>
          <w:szCs w:val="24"/>
          <w:lang w:val="en-US"/>
        </w:rPr>
        <w:t>Commun.</w:t>
      </w:r>
      <w:r>
        <w:rPr>
          <w:rFonts w:ascii="Times New Roman" w:hAnsi="Times New Roman" w:cs="Times New Roman"/>
          <w:sz w:val="24"/>
          <w:szCs w:val="24"/>
          <w:lang w:val="en-US"/>
        </w:rPr>
        <w:t xml:space="preserve">, v. </w:t>
      </w:r>
      <w:r w:rsidR="00647C4E" w:rsidRPr="00B36BF6">
        <w:rPr>
          <w:rFonts w:ascii="Times New Roman" w:hAnsi="Times New Roman" w:cs="Times New Roman"/>
          <w:sz w:val="24"/>
          <w:szCs w:val="24"/>
          <w:lang w:val="en-US"/>
        </w:rPr>
        <w:t xml:space="preserve">4, </w:t>
      </w:r>
      <w:r>
        <w:rPr>
          <w:rFonts w:ascii="Times New Roman" w:hAnsi="Times New Roman" w:cs="Times New Roman"/>
          <w:sz w:val="24"/>
          <w:szCs w:val="24"/>
          <w:lang w:val="en-US"/>
        </w:rPr>
        <w:t xml:space="preserve">p. </w:t>
      </w:r>
      <w:r w:rsidR="00647C4E" w:rsidRPr="00B36BF6">
        <w:rPr>
          <w:rFonts w:ascii="Times New Roman" w:hAnsi="Times New Roman" w:cs="Times New Roman"/>
          <w:sz w:val="24"/>
          <w:szCs w:val="24"/>
          <w:lang w:val="en-US"/>
        </w:rPr>
        <w:t>1902.</w:t>
      </w:r>
      <w:r>
        <w:rPr>
          <w:rFonts w:ascii="Times New Roman" w:hAnsi="Times New Roman" w:cs="Times New Roman"/>
          <w:sz w:val="24"/>
          <w:szCs w:val="24"/>
          <w:lang w:val="en-US"/>
        </w:rPr>
        <w:t>, 2013.</w:t>
      </w:r>
    </w:p>
    <w:p w14:paraId="6B10DD6E" w14:textId="398BBC93" w:rsidR="00647C4E" w:rsidRPr="00B36BF6" w:rsidRDefault="00F314C2"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VAN DER MEEL</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R.</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SULHEIM</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E.</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SHI</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Y.</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KIESSLING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F.</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MULDER</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 J. M.</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LAMMERS </w:t>
      </w:r>
      <w:r>
        <w:rPr>
          <w:rFonts w:ascii="Times New Roman" w:hAnsi="Times New Roman" w:cs="Times New Roman"/>
          <w:sz w:val="24"/>
          <w:szCs w:val="24"/>
          <w:lang w:val="en-US"/>
        </w:rPr>
        <w:t>,</w:t>
      </w:r>
      <w:r w:rsidRPr="00B36BF6">
        <w:rPr>
          <w:rFonts w:ascii="Times New Roman" w:hAnsi="Times New Roman" w:cs="Times New Roman"/>
          <w:sz w:val="24"/>
          <w:szCs w:val="24"/>
          <w:lang w:val="en-US"/>
        </w:rPr>
        <w:t>T</w:t>
      </w:r>
      <w:r w:rsidR="00647C4E" w:rsidRPr="00B36BF6">
        <w:rPr>
          <w:rFonts w:ascii="Times New Roman" w:hAnsi="Times New Roman" w:cs="Times New Roman"/>
          <w:sz w:val="24"/>
          <w:szCs w:val="24"/>
          <w:lang w:val="en-US"/>
        </w:rPr>
        <w:t xml:space="preserve">. </w:t>
      </w:r>
      <w:r w:rsidR="00647C4E" w:rsidRPr="00F314C2">
        <w:rPr>
          <w:rFonts w:ascii="Times New Roman" w:hAnsi="Times New Roman" w:cs="Times New Roman"/>
          <w:b/>
          <w:bCs/>
          <w:sz w:val="24"/>
          <w:szCs w:val="24"/>
          <w:lang w:val="en-US"/>
        </w:rPr>
        <w:t>Nat. Nanotechnol.</w:t>
      </w:r>
      <w:r>
        <w:rPr>
          <w:rFonts w:ascii="Times New Roman" w:hAnsi="Times New Roman" w:cs="Times New Roman"/>
          <w:b/>
          <w:bCs/>
          <w:sz w:val="24"/>
          <w:szCs w:val="24"/>
          <w:lang w:val="en-US"/>
        </w:rPr>
        <w:t>,</w:t>
      </w:r>
      <w:r w:rsidR="00647C4E"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00647C4E" w:rsidRPr="00B36BF6">
        <w:rPr>
          <w:rFonts w:ascii="Times New Roman" w:hAnsi="Times New Roman" w:cs="Times New Roman"/>
          <w:sz w:val="24"/>
          <w:szCs w:val="24"/>
          <w:lang w:val="en-US"/>
        </w:rPr>
        <w:t xml:space="preserve">14, </w:t>
      </w:r>
      <w:r>
        <w:rPr>
          <w:rFonts w:ascii="Times New Roman" w:hAnsi="Times New Roman" w:cs="Times New Roman"/>
          <w:sz w:val="24"/>
          <w:szCs w:val="24"/>
          <w:lang w:val="en-US"/>
        </w:rPr>
        <w:t xml:space="preserve">p. </w:t>
      </w:r>
      <w:r w:rsidR="00647C4E" w:rsidRPr="00B36BF6">
        <w:rPr>
          <w:rFonts w:ascii="Times New Roman" w:hAnsi="Times New Roman" w:cs="Times New Roman"/>
          <w:sz w:val="24"/>
          <w:szCs w:val="24"/>
          <w:lang w:val="en-US"/>
        </w:rPr>
        <w:t>1007</w:t>
      </w:r>
      <w:r>
        <w:rPr>
          <w:rFonts w:ascii="Times New Roman" w:hAnsi="Times New Roman" w:cs="Times New Roman"/>
          <w:sz w:val="24"/>
          <w:szCs w:val="24"/>
          <w:lang w:val="en-US"/>
        </w:rPr>
        <w:t>, 2019.</w:t>
      </w:r>
    </w:p>
    <w:p w14:paraId="369887A1" w14:textId="1BF9BE50" w:rsidR="00647C4E" w:rsidRPr="00B36BF6" w:rsidRDefault="00F314C2"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ZHAO</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X.</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LIU</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L.</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WANG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J.</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XU</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Y.F.</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ZHANG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M.</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KHANG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WANG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X. </w:t>
      </w:r>
      <w:r w:rsidR="00647C4E" w:rsidRPr="00B36BF6">
        <w:rPr>
          <w:rFonts w:ascii="Times New Roman" w:hAnsi="Times New Roman" w:cs="Times New Roman"/>
          <w:sz w:val="24"/>
          <w:szCs w:val="24"/>
          <w:lang w:val="en-US"/>
        </w:rPr>
        <w:t xml:space="preserve">In vitro vascularization of a combined system based on a 3D bioprinting technique. </w:t>
      </w:r>
      <w:r w:rsidR="00647C4E" w:rsidRPr="00F314C2">
        <w:rPr>
          <w:rFonts w:ascii="Times New Roman" w:hAnsi="Times New Roman" w:cs="Times New Roman"/>
          <w:b/>
          <w:bCs/>
          <w:sz w:val="24"/>
          <w:szCs w:val="24"/>
          <w:lang w:val="en-US"/>
        </w:rPr>
        <w:t>J. Tissue Eng. Regen. Med</w:t>
      </w:r>
      <w:r w:rsidR="00647C4E" w:rsidRPr="00B36BF6">
        <w:rPr>
          <w:rFonts w:ascii="Times New Roman" w:hAnsi="Times New Roman" w:cs="Times New Roman"/>
          <w:sz w:val="24"/>
          <w:szCs w:val="24"/>
          <w:lang w:val="en-US"/>
        </w:rPr>
        <w:t>.</w:t>
      </w:r>
      <w:r>
        <w:rPr>
          <w:rFonts w:ascii="Times New Roman" w:hAnsi="Times New Roman" w:cs="Times New Roman"/>
          <w:sz w:val="24"/>
          <w:szCs w:val="24"/>
          <w:lang w:val="en-US"/>
        </w:rPr>
        <w:t>,</w:t>
      </w:r>
      <w:r w:rsidR="00647C4E"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00647C4E" w:rsidRPr="00B36BF6">
        <w:rPr>
          <w:rFonts w:ascii="Times New Roman" w:hAnsi="Times New Roman" w:cs="Times New Roman"/>
          <w:sz w:val="24"/>
          <w:szCs w:val="24"/>
          <w:lang w:val="en-US"/>
        </w:rPr>
        <w:t>10</w:t>
      </w:r>
      <w:r>
        <w:rPr>
          <w:rFonts w:ascii="Times New Roman" w:hAnsi="Times New Roman" w:cs="Times New Roman"/>
          <w:sz w:val="24"/>
          <w:szCs w:val="24"/>
          <w:lang w:val="en-US"/>
        </w:rPr>
        <w:t xml:space="preserve">, p. </w:t>
      </w:r>
      <w:r w:rsidR="00647C4E" w:rsidRPr="00B36BF6">
        <w:rPr>
          <w:rFonts w:ascii="Times New Roman" w:hAnsi="Times New Roman" w:cs="Times New Roman"/>
          <w:sz w:val="24"/>
          <w:szCs w:val="24"/>
          <w:lang w:val="en-US"/>
        </w:rPr>
        <w:t>833–842</w:t>
      </w:r>
      <w:r>
        <w:rPr>
          <w:rFonts w:ascii="Times New Roman" w:hAnsi="Times New Roman" w:cs="Times New Roman"/>
          <w:sz w:val="24"/>
          <w:szCs w:val="24"/>
          <w:lang w:val="en-US"/>
        </w:rPr>
        <w:t>, 2016.</w:t>
      </w:r>
    </w:p>
    <w:p w14:paraId="14980B40" w14:textId="56F94985" w:rsidR="00647C4E" w:rsidRPr="00B36BF6" w:rsidRDefault="00F314C2"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ZHAO</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A</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TOHIDKIA</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M</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R</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SIEGEL</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L</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COUKOS</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OMIDI</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Y</w:t>
      </w:r>
      <w:r w:rsidR="00647C4E" w:rsidRPr="00B36BF6">
        <w:rPr>
          <w:rFonts w:ascii="Times New Roman" w:hAnsi="Times New Roman" w:cs="Times New Roman"/>
          <w:sz w:val="24"/>
          <w:szCs w:val="24"/>
          <w:lang w:val="en-US"/>
        </w:rPr>
        <w:t xml:space="preserve">. Phage antibody display libraries: a powerful antibody discovery platform for immunotherapy. </w:t>
      </w:r>
      <w:r w:rsidR="00647C4E" w:rsidRPr="00F314C2">
        <w:rPr>
          <w:rFonts w:ascii="Times New Roman" w:hAnsi="Times New Roman" w:cs="Times New Roman"/>
          <w:b/>
          <w:bCs/>
          <w:sz w:val="24"/>
          <w:szCs w:val="24"/>
          <w:lang w:val="en-US"/>
        </w:rPr>
        <w:t>Crit Rev Biotechnol</w:t>
      </w:r>
      <w:r w:rsidR="00647C4E" w:rsidRPr="00B36BF6">
        <w:rPr>
          <w:rFonts w:ascii="Times New Roman" w:hAnsi="Times New Roman" w:cs="Times New Roman"/>
          <w:sz w:val="24"/>
          <w:szCs w:val="24"/>
          <w:lang w:val="en-US"/>
        </w:rPr>
        <w:t>.</w:t>
      </w:r>
      <w:r>
        <w:rPr>
          <w:rFonts w:ascii="Times New Roman" w:hAnsi="Times New Roman" w:cs="Times New Roman"/>
          <w:sz w:val="24"/>
          <w:szCs w:val="24"/>
          <w:lang w:val="en-US"/>
        </w:rPr>
        <w:t>,</w:t>
      </w:r>
      <w:r w:rsidR="00647C4E"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00647C4E" w:rsidRPr="00B36BF6">
        <w:rPr>
          <w:rFonts w:ascii="Times New Roman" w:hAnsi="Times New Roman" w:cs="Times New Roman"/>
          <w:sz w:val="24"/>
          <w:szCs w:val="24"/>
          <w:lang w:val="en-US"/>
        </w:rPr>
        <w:t>36</w:t>
      </w:r>
      <w:r>
        <w:rPr>
          <w:rFonts w:ascii="Times New Roman" w:hAnsi="Times New Roman" w:cs="Times New Roman"/>
          <w:sz w:val="24"/>
          <w:szCs w:val="24"/>
          <w:lang w:val="en-US"/>
        </w:rPr>
        <w:t xml:space="preserve">, p. </w:t>
      </w:r>
      <w:r w:rsidR="00647C4E" w:rsidRPr="00B36BF6">
        <w:rPr>
          <w:rFonts w:ascii="Times New Roman" w:hAnsi="Times New Roman" w:cs="Times New Roman"/>
          <w:sz w:val="24"/>
          <w:szCs w:val="24"/>
          <w:lang w:val="en-US"/>
        </w:rPr>
        <w:t>276‐289</w:t>
      </w:r>
      <w:r>
        <w:rPr>
          <w:rFonts w:ascii="Times New Roman" w:hAnsi="Times New Roman" w:cs="Times New Roman"/>
          <w:sz w:val="24"/>
          <w:szCs w:val="24"/>
          <w:lang w:val="en-US"/>
        </w:rPr>
        <w:t>, 2016.</w:t>
      </w:r>
    </w:p>
    <w:p w14:paraId="27F45A70" w14:textId="1DA23057" w:rsidR="00647C4E" w:rsidRPr="00F314C2" w:rsidRDefault="00F314C2"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YAMASHITA</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M</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KATAKURA</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Y</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SHIRAHATA</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S</w:t>
      </w:r>
      <w:r w:rsidR="00647C4E" w:rsidRPr="00B36BF6">
        <w:rPr>
          <w:rFonts w:ascii="Times New Roman" w:hAnsi="Times New Roman" w:cs="Times New Roman"/>
          <w:sz w:val="24"/>
          <w:szCs w:val="24"/>
          <w:lang w:val="en-US"/>
        </w:rPr>
        <w:t xml:space="preserve">. Recent advances in the generation of human monoclonal antibody. </w:t>
      </w:r>
      <w:r w:rsidR="00647C4E" w:rsidRPr="00F314C2">
        <w:rPr>
          <w:rFonts w:ascii="Times New Roman" w:hAnsi="Times New Roman" w:cs="Times New Roman"/>
          <w:b/>
          <w:bCs/>
          <w:sz w:val="24"/>
          <w:szCs w:val="24"/>
          <w:lang w:val="en-US"/>
        </w:rPr>
        <w:t>Cytotechnology</w:t>
      </w:r>
      <w:r>
        <w:rPr>
          <w:rFonts w:ascii="Times New Roman" w:hAnsi="Times New Roman" w:cs="Times New Roman"/>
          <w:b/>
          <w:bCs/>
          <w:sz w:val="24"/>
          <w:szCs w:val="24"/>
          <w:lang w:val="en-US"/>
        </w:rPr>
        <w:t>,</w:t>
      </w:r>
      <w:r w:rsidR="00647C4E" w:rsidRPr="00F314C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00647C4E" w:rsidRPr="00F314C2">
        <w:rPr>
          <w:rFonts w:ascii="Times New Roman" w:hAnsi="Times New Roman" w:cs="Times New Roman"/>
          <w:sz w:val="24"/>
          <w:szCs w:val="24"/>
          <w:lang w:val="en-US"/>
        </w:rPr>
        <w:t>55</w:t>
      </w:r>
      <w:r>
        <w:rPr>
          <w:rFonts w:ascii="Times New Roman" w:hAnsi="Times New Roman" w:cs="Times New Roman"/>
          <w:sz w:val="24"/>
          <w:szCs w:val="24"/>
          <w:lang w:val="en-US"/>
        </w:rPr>
        <w:t xml:space="preserve">, p. </w:t>
      </w:r>
      <w:r w:rsidR="00647C4E" w:rsidRPr="00F314C2">
        <w:rPr>
          <w:rFonts w:ascii="Times New Roman" w:hAnsi="Times New Roman" w:cs="Times New Roman"/>
          <w:sz w:val="24"/>
          <w:szCs w:val="24"/>
          <w:lang w:val="en-US"/>
        </w:rPr>
        <w:t>55‐60</w:t>
      </w:r>
      <w:r>
        <w:rPr>
          <w:rFonts w:ascii="Times New Roman" w:hAnsi="Times New Roman" w:cs="Times New Roman"/>
          <w:sz w:val="24"/>
          <w:szCs w:val="24"/>
          <w:lang w:val="en-US"/>
        </w:rPr>
        <w:t>, 2007.</w:t>
      </w:r>
    </w:p>
    <w:p w14:paraId="643E3967" w14:textId="44B3FBDC" w:rsidR="00647C4E" w:rsidRPr="00F314C2" w:rsidRDefault="00F314C2"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F314C2">
        <w:rPr>
          <w:rFonts w:ascii="Times New Roman" w:hAnsi="Times New Roman" w:cs="Times New Roman"/>
          <w:sz w:val="24"/>
          <w:szCs w:val="24"/>
          <w:lang w:val="en-US"/>
        </w:rPr>
        <w:t>WALSH</w:t>
      </w:r>
      <w:r>
        <w:rPr>
          <w:rFonts w:ascii="Times New Roman" w:hAnsi="Times New Roman" w:cs="Times New Roman"/>
          <w:sz w:val="24"/>
          <w:szCs w:val="24"/>
          <w:lang w:val="en-US"/>
        </w:rPr>
        <w:t>,</w:t>
      </w:r>
      <w:r w:rsidRPr="00F314C2">
        <w:rPr>
          <w:rFonts w:ascii="Times New Roman" w:hAnsi="Times New Roman" w:cs="Times New Roman"/>
          <w:sz w:val="24"/>
          <w:szCs w:val="24"/>
          <w:lang w:val="en-US"/>
        </w:rPr>
        <w:t xml:space="preserve"> G</w:t>
      </w:r>
      <w:r>
        <w:rPr>
          <w:rFonts w:ascii="Times New Roman" w:hAnsi="Times New Roman" w:cs="Times New Roman"/>
          <w:sz w:val="24"/>
          <w:szCs w:val="24"/>
          <w:lang w:val="en-US"/>
        </w:rPr>
        <w:t>.</w:t>
      </w:r>
      <w:r w:rsidR="00647C4E" w:rsidRPr="00F314C2">
        <w:rPr>
          <w:rFonts w:ascii="Times New Roman" w:hAnsi="Times New Roman" w:cs="Times New Roman"/>
          <w:sz w:val="24"/>
          <w:szCs w:val="24"/>
          <w:lang w:val="en-US"/>
        </w:rPr>
        <w:t xml:space="preserve"> Biopharmaceutical benchmarks. </w:t>
      </w:r>
      <w:r w:rsidR="00647C4E" w:rsidRPr="00F314C2">
        <w:rPr>
          <w:rFonts w:ascii="Times New Roman" w:hAnsi="Times New Roman" w:cs="Times New Roman"/>
          <w:b/>
          <w:bCs/>
          <w:sz w:val="24"/>
          <w:szCs w:val="24"/>
          <w:lang w:val="en-US"/>
        </w:rPr>
        <w:t>Nature Biotechnol,</w:t>
      </w:r>
      <w:r w:rsidR="00647C4E" w:rsidRPr="00F314C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00647C4E" w:rsidRPr="00F314C2">
        <w:rPr>
          <w:rFonts w:ascii="Times New Roman" w:hAnsi="Times New Roman" w:cs="Times New Roman"/>
          <w:sz w:val="24"/>
          <w:szCs w:val="24"/>
          <w:lang w:val="en-US"/>
        </w:rPr>
        <w:t xml:space="preserve">18, </w:t>
      </w:r>
      <w:r>
        <w:rPr>
          <w:rFonts w:ascii="Times New Roman" w:hAnsi="Times New Roman" w:cs="Times New Roman"/>
          <w:sz w:val="24"/>
          <w:szCs w:val="24"/>
          <w:lang w:val="en-US"/>
        </w:rPr>
        <w:t xml:space="preserve">p. </w:t>
      </w:r>
      <w:r w:rsidR="00647C4E" w:rsidRPr="00F314C2">
        <w:rPr>
          <w:rFonts w:ascii="Times New Roman" w:hAnsi="Times New Roman" w:cs="Times New Roman"/>
          <w:sz w:val="24"/>
          <w:szCs w:val="24"/>
          <w:lang w:val="en-US"/>
        </w:rPr>
        <w:t>831–833</w:t>
      </w:r>
      <w:r>
        <w:rPr>
          <w:rFonts w:ascii="Times New Roman" w:hAnsi="Times New Roman" w:cs="Times New Roman"/>
          <w:sz w:val="24"/>
          <w:szCs w:val="24"/>
          <w:lang w:val="en-US"/>
        </w:rPr>
        <w:t>, 2000</w:t>
      </w:r>
      <w:r w:rsidR="00647C4E" w:rsidRPr="00F314C2">
        <w:rPr>
          <w:rFonts w:ascii="Times New Roman" w:hAnsi="Times New Roman" w:cs="Times New Roman"/>
          <w:sz w:val="24"/>
          <w:szCs w:val="24"/>
          <w:lang w:val="en-US"/>
        </w:rPr>
        <w:t>.</w:t>
      </w:r>
    </w:p>
    <w:p w14:paraId="422CFF88" w14:textId="04DCB89B" w:rsidR="00647C4E" w:rsidRPr="00B36BF6" w:rsidRDefault="00F314C2"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WANG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X.</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YAN</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Y</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ZHANG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t>
      </w:r>
      <w:r w:rsidR="00647C4E" w:rsidRPr="00B36BF6">
        <w:rPr>
          <w:rFonts w:ascii="Times New Roman" w:hAnsi="Times New Roman" w:cs="Times New Roman"/>
          <w:sz w:val="24"/>
          <w:szCs w:val="24"/>
          <w:lang w:val="en-US"/>
        </w:rPr>
        <w:t xml:space="preserve">R. Rapid prototyping as tool for manufacturing bioartificial livers. </w:t>
      </w:r>
      <w:r w:rsidR="00647C4E" w:rsidRPr="00F314C2">
        <w:rPr>
          <w:rFonts w:ascii="Times New Roman" w:hAnsi="Times New Roman" w:cs="Times New Roman"/>
          <w:b/>
          <w:bCs/>
          <w:sz w:val="24"/>
          <w:szCs w:val="24"/>
          <w:lang w:val="en-US"/>
        </w:rPr>
        <w:t>Trends Biotechnol.</w:t>
      </w:r>
      <w:r w:rsidRPr="00F314C2">
        <w:rPr>
          <w:rFonts w:ascii="Times New Roman" w:hAnsi="Times New Roman" w:cs="Times New Roman"/>
          <w:b/>
          <w:bCs/>
          <w:sz w:val="24"/>
          <w:szCs w:val="24"/>
          <w:lang w:val="en-US"/>
        </w:rPr>
        <w:t>,</w:t>
      </w:r>
      <w:r w:rsidR="00647C4E" w:rsidRPr="00F314C2">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v. </w:t>
      </w:r>
      <w:r w:rsidR="00647C4E" w:rsidRPr="00B36BF6">
        <w:rPr>
          <w:rFonts w:ascii="Times New Roman" w:hAnsi="Times New Roman" w:cs="Times New Roman"/>
          <w:sz w:val="24"/>
          <w:szCs w:val="24"/>
          <w:lang w:val="en-US"/>
        </w:rPr>
        <w:t>25</w:t>
      </w:r>
      <w:r>
        <w:rPr>
          <w:rFonts w:ascii="Times New Roman" w:hAnsi="Times New Roman" w:cs="Times New Roman"/>
          <w:sz w:val="24"/>
          <w:szCs w:val="24"/>
          <w:lang w:val="en-US"/>
        </w:rPr>
        <w:t xml:space="preserve">, p. </w:t>
      </w:r>
      <w:r w:rsidR="00647C4E" w:rsidRPr="00B36BF6">
        <w:rPr>
          <w:rFonts w:ascii="Times New Roman" w:hAnsi="Times New Roman" w:cs="Times New Roman"/>
          <w:sz w:val="24"/>
          <w:szCs w:val="24"/>
          <w:lang w:val="en-US"/>
        </w:rPr>
        <w:t>505–513</w:t>
      </w:r>
      <w:r>
        <w:rPr>
          <w:rFonts w:ascii="Times New Roman" w:hAnsi="Times New Roman" w:cs="Times New Roman"/>
          <w:sz w:val="24"/>
          <w:szCs w:val="24"/>
          <w:lang w:val="en-US"/>
        </w:rPr>
        <w:t>, 2007.</w:t>
      </w:r>
    </w:p>
    <w:p w14:paraId="5353D973" w14:textId="36151652" w:rsidR="00647C4E" w:rsidRPr="00165C34" w:rsidRDefault="00F314C2"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WANG</w:t>
      </w:r>
      <w:r w:rsidR="00165C34">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X.</w:t>
      </w:r>
      <w:r w:rsidR="00165C34">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YAN</w:t>
      </w:r>
      <w:r w:rsidR="00165C34">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Y.</w:t>
      </w:r>
      <w:r w:rsidR="00165C34">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ZHANG</w:t>
      </w:r>
      <w:r w:rsidR="00165C34">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R. </w:t>
      </w:r>
      <w:r w:rsidR="00647C4E" w:rsidRPr="00165C34">
        <w:rPr>
          <w:rFonts w:ascii="Times New Roman" w:hAnsi="Times New Roman" w:cs="Times New Roman"/>
          <w:b/>
          <w:bCs/>
          <w:sz w:val="24"/>
          <w:szCs w:val="24"/>
          <w:lang w:val="en-US"/>
        </w:rPr>
        <w:t>Gelatin-based hydrogels for controlled cell assembly</w:t>
      </w:r>
      <w:r w:rsidR="00647C4E" w:rsidRPr="00B36BF6">
        <w:rPr>
          <w:rFonts w:ascii="Times New Roman" w:hAnsi="Times New Roman" w:cs="Times New Roman"/>
          <w:sz w:val="24"/>
          <w:szCs w:val="24"/>
          <w:lang w:val="en-US"/>
        </w:rPr>
        <w:t>. In: Ottenbrite R.</w:t>
      </w:r>
      <w:r w:rsidR="00165C34">
        <w:rPr>
          <w:rFonts w:ascii="Times New Roman" w:hAnsi="Times New Roman" w:cs="Times New Roman"/>
          <w:sz w:val="24"/>
          <w:szCs w:val="24"/>
          <w:lang w:val="en-US"/>
        </w:rPr>
        <w:t xml:space="preserve"> </w:t>
      </w:r>
      <w:r w:rsidR="00647C4E" w:rsidRPr="00B36BF6">
        <w:rPr>
          <w:rFonts w:ascii="Times New Roman" w:hAnsi="Times New Roman" w:cs="Times New Roman"/>
          <w:sz w:val="24"/>
          <w:szCs w:val="24"/>
          <w:lang w:val="en-US"/>
        </w:rPr>
        <w:t xml:space="preserve">M., editor. Biomedical Applications of Hydrogels Handbook. </w:t>
      </w:r>
      <w:r w:rsidR="00647C4E" w:rsidRPr="00165C34">
        <w:rPr>
          <w:rFonts w:ascii="Times New Roman" w:hAnsi="Times New Roman" w:cs="Times New Roman"/>
          <w:sz w:val="24"/>
          <w:szCs w:val="24"/>
          <w:lang w:val="en-US"/>
        </w:rPr>
        <w:t>Springer</w:t>
      </w:r>
      <w:r w:rsidR="00165C34" w:rsidRPr="00165C34">
        <w:rPr>
          <w:rFonts w:ascii="Times New Roman" w:hAnsi="Times New Roman" w:cs="Times New Roman"/>
          <w:sz w:val="24"/>
          <w:szCs w:val="24"/>
          <w:lang w:val="en-US"/>
        </w:rPr>
        <w:t>:</w:t>
      </w:r>
      <w:r w:rsidR="00647C4E" w:rsidRPr="00165C34">
        <w:rPr>
          <w:rFonts w:ascii="Times New Roman" w:hAnsi="Times New Roman" w:cs="Times New Roman"/>
          <w:sz w:val="24"/>
          <w:szCs w:val="24"/>
          <w:lang w:val="en-US"/>
        </w:rPr>
        <w:t xml:space="preserve"> New York, USA</w:t>
      </w:r>
      <w:r w:rsidR="00165C34" w:rsidRPr="00165C34">
        <w:rPr>
          <w:rFonts w:ascii="Times New Roman" w:hAnsi="Times New Roman" w:cs="Times New Roman"/>
          <w:sz w:val="24"/>
          <w:szCs w:val="24"/>
          <w:lang w:val="en-US"/>
        </w:rPr>
        <w:t>.</w:t>
      </w:r>
      <w:r w:rsidR="00647C4E" w:rsidRPr="00165C34">
        <w:rPr>
          <w:rFonts w:ascii="Times New Roman" w:hAnsi="Times New Roman" w:cs="Times New Roman"/>
          <w:sz w:val="24"/>
          <w:szCs w:val="24"/>
          <w:lang w:val="en-US"/>
        </w:rPr>
        <w:t xml:space="preserve"> p. 269–284</w:t>
      </w:r>
      <w:r w:rsidR="00165C34" w:rsidRPr="00165C34">
        <w:rPr>
          <w:rFonts w:ascii="Times New Roman" w:hAnsi="Times New Roman" w:cs="Times New Roman"/>
          <w:sz w:val="24"/>
          <w:szCs w:val="24"/>
          <w:lang w:val="en-US"/>
        </w:rPr>
        <w:t>, 2010.</w:t>
      </w:r>
    </w:p>
    <w:p w14:paraId="52C9F0D6" w14:textId="2947197C" w:rsidR="00647C4E" w:rsidRPr="00B36BF6" w:rsidRDefault="00165C34"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WANG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X.</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YAN</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Y.</w:t>
      </w:r>
      <w:r>
        <w:rPr>
          <w:rFonts w:ascii="Times New Roman" w:hAnsi="Times New Roman" w:cs="Times New Roman"/>
          <w:sz w:val="24"/>
          <w:szCs w:val="24"/>
          <w:lang w:val="en-US"/>
        </w:rPr>
        <w:t xml:space="preserve">; </w:t>
      </w:r>
      <w:r w:rsidRPr="00B36BF6">
        <w:rPr>
          <w:rFonts w:ascii="Times New Roman" w:hAnsi="Times New Roman" w:cs="Times New Roman"/>
          <w:sz w:val="24"/>
          <w:szCs w:val="24"/>
          <w:lang w:val="en-US"/>
        </w:rPr>
        <w:t>ZHANG</w:t>
      </w:r>
      <w:r>
        <w:rPr>
          <w:rFonts w:ascii="Times New Roman" w:hAnsi="Times New Roman" w:cs="Times New Roman"/>
          <w:sz w:val="24"/>
          <w:szCs w:val="24"/>
          <w:lang w:val="en-US"/>
        </w:rPr>
        <w:t>,</w:t>
      </w:r>
      <w:r w:rsidRPr="00B36BF6">
        <w:rPr>
          <w:rFonts w:ascii="Times New Roman" w:hAnsi="Times New Roman" w:cs="Times New Roman"/>
          <w:sz w:val="24"/>
          <w:szCs w:val="24"/>
          <w:lang w:val="en-US"/>
        </w:rPr>
        <w:t xml:space="preserve"> </w:t>
      </w:r>
      <w:r w:rsidR="00647C4E" w:rsidRPr="00B36BF6">
        <w:rPr>
          <w:rFonts w:ascii="Times New Roman" w:hAnsi="Times New Roman" w:cs="Times New Roman"/>
          <w:sz w:val="24"/>
          <w:szCs w:val="24"/>
          <w:lang w:val="en-US"/>
        </w:rPr>
        <w:t xml:space="preserve">R. Recent trends and challenges in complex organ manufacturing. </w:t>
      </w:r>
      <w:r w:rsidR="00647C4E" w:rsidRPr="00165C34">
        <w:rPr>
          <w:rFonts w:ascii="Times New Roman" w:hAnsi="Times New Roman" w:cs="Times New Roman"/>
          <w:b/>
          <w:bCs/>
          <w:sz w:val="24"/>
          <w:szCs w:val="24"/>
          <w:lang w:val="en-US"/>
        </w:rPr>
        <w:t>Tissue Eng. Part B</w:t>
      </w:r>
      <w:r w:rsidR="00647C4E" w:rsidRPr="00B36BF6">
        <w:rPr>
          <w:rFonts w:ascii="Times New Roman" w:hAnsi="Times New Roman" w:cs="Times New Roman"/>
          <w:sz w:val="24"/>
          <w:szCs w:val="24"/>
          <w:lang w:val="en-US"/>
        </w:rPr>
        <w:t>.</w:t>
      </w:r>
      <w:r>
        <w:rPr>
          <w:rFonts w:ascii="Times New Roman" w:hAnsi="Times New Roman" w:cs="Times New Roman"/>
          <w:sz w:val="24"/>
          <w:szCs w:val="24"/>
          <w:lang w:val="en-US"/>
        </w:rPr>
        <w:t>,</w:t>
      </w:r>
      <w:r w:rsidR="00647C4E" w:rsidRPr="00B36BF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 </w:t>
      </w:r>
      <w:r w:rsidR="00647C4E" w:rsidRPr="00B36BF6">
        <w:rPr>
          <w:rFonts w:ascii="Times New Roman" w:hAnsi="Times New Roman" w:cs="Times New Roman"/>
          <w:sz w:val="24"/>
          <w:szCs w:val="24"/>
          <w:lang w:val="en-US"/>
        </w:rPr>
        <w:t>16</w:t>
      </w:r>
      <w:r>
        <w:rPr>
          <w:rFonts w:ascii="Times New Roman" w:hAnsi="Times New Roman" w:cs="Times New Roman"/>
          <w:sz w:val="24"/>
          <w:szCs w:val="24"/>
          <w:lang w:val="en-US"/>
        </w:rPr>
        <w:t xml:space="preserve">, p. </w:t>
      </w:r>
      <w:r w:rsidR="00647C4E" w:rsidRPr="00B36BF6">
        <w:rPr>
          <w:rFonts w:ascii="Times New Roman" w:hAnsi="Times New Roman" w:cs="Times New Roman"/>
          <w:sz w:val="24"/>
          <w:szCs w:val="24"/>
          <w:lang w:val="en-US"/>
        </w:rPr>
        <w:t>189–197</w:t>
      </w:r>
      <w:r>
        <w:rPr>
          <w:rFonts w:ascii="Times New Roman" w:hAnsi="Times New Roman" w:cs="Times New Roman"/>
          <w:sz w:val="24"/>
          <w:szCs w:val="24"/>
          <w:lang w:val="en-US"/>
        </w:rPr>
        <w:t>, 2010.</w:t>
      </w:r>
    </w:p>
    <w:p w14:paraId="28291657" w14:textId="00227FFF" w:rsidR="00647C4E" w:rsidRPr="00165C34" w:rsidRDefault="00165C34" w:rsidP="004974DB">
      <w:pPr>
        <w:pStyle w:val="Normal1"/>
        <w:spacing w:before="100" w:beforeAutospacing="1" w:after="100" w:afterAutospacing="1" w:line="240" w:lineRule="auto"/>
        <w:jc w:val="both"/>
        <w:rPr>
          <w:rFonts w:ascii="Times New Roman" w:hAnsi="Times New Roman" w:cs="Times New Roman"/>
          <w:sz w:val="24"/>
          <w:szCs w:val="24"/>
          <w:lang w:val="en-US"/>
        </w:rPr>
      </w:pPr>
      <w:r w:rsidRPr="00B36BF6">
        <w:rPr>
          <w:rFonts w:ascii="Times New Roman" w:hAnsi="Times New Roman" w:cs="Times New Roman"/>
          <w:sz w:val="24"/>
          <w:szCs w:val="24"/>
          <w:lang w:val="en-US"/>
        </w:rPr>
        <w:t>WANG X., LIU C</w:t>
      </w:r>
      <w:r w:rsidR="00647C4E" w:rsidRPr="00B36BF6">
        <w:rPr>
          <w:rFonts w:ascii="Times New Roman" w:hAnsi="Times New Roman" w:cs="Times New Roman"/>
          <w:sz w:val="24"/>
          <w:szCs w:val="24"/>
          <w:lang w:val="en-US"/>
        </w:rPr>
        <w:t xml:space="preserve">. 3D bioprinting of adipose-derived stem cells for organ manufacturing. In: Khang G., editor. Enabling Cutting Edge Technology for Regenerative Medicine. </w:t>
      </w:r>
      <w:r w:rsidR="00647C4E" w:rsidRPr="00165C34">
        <w:rPr>
          <w:rFonts w:ascii="Times New Roman" w:hAnsi="Times New Roman" w:cs="Times New Roman"/>
          <w:sz w:val="24"/>
          <w:szCs w:val="24"/>
          <w:lang w:val="en-US"/>
        </w:rPr>
        <w:t>Springer, SBM Singapore Pte Ltd</w:t>
      </w:r>
      <w:r w:rsidRPr="00165C34">
        <w:rPr>
          <w:rFonts w:ascii="Times New Roman" w:hAnsi="Times New Roman" w:cs="Times New Roman"/>
          <w:sz w:val="24"/>
          <w:szCs w:val="24"/>
          <w:lang w:val="en-US"/>
        </w:rPr>
        <w:t>.</w:t>
      </w:r>
      <w:r w:rsidR="00647C4E" w:rsidRPr="00165C34">
        <w:rPr>
          <w:rFonts w:ascii="Times New Roman" w:hAnsi="Times New Roman" w:cs="Times New Roman"/>
          <w:sz w:val="24"/>
          <w:szCs w:val="24"/>
          <w:lang w:val="en-US"/>
        </w:rPr>
        <w:t xml:space="preserve"> pp. 3–14</w:t>
      </w:r>
      <w:r w:rsidRPr="00165C34">
        <w:rPr>
          <w:rFonts w:ascii="Times New Roman" w:hAnsi="Times New Roman" w:cs="Times New Roman"/>
          <w:sz w:val="24"/>
          <w:szCs w:val="24"/>
          <w:lang w:val="en-US"/>
        </w:rPr>
        <w:t>, 2018.</w:t>
      </w:r>
    </w:p>
    <w:p w14:paraId="4B4ABDDA" w14:textId="2EB408B8" w:rsidR="00647C4E" w:rsidRPr="00B36BF6" w:rsidRDefault="00165C34" w:rsidP="004974DB">
      <w:pPr>
        <w:pStyle w:val="Normal1"/>
        <w:spacing w:before="100" w:beforeAutospacing="1" w:after="100" w:afterAutospacing="1" w:line="240" w:lineRule="auto"/>
        <w:jc w:val="both"/>
        <w:rPr>
          <w:rFonts w:ascii="Times New Roman" w:eastAsia="Times New Roman" w:hAnsi="Times New Roman" w:cs="Times New Roman"/>
          <w:sz w:val="24"/>
          <w:szCs w:val="24"/>
          <w:lang w:val="en-US"/>
        </w:rPr>
      </w:pPr>
      <w:r w:rsidRPr="00B36BF6">
        <w:rPr>
          <w:rFonts w:ascii="Times New Roman" w:eastAsia="Times New Roman" w:hAnsi="Times New Roman" w:cs="Times New Roman"/>
          <w:sz w:val="24"/>
          <w:szCs w:val="24"/>
          <w:lang w:val="en-US"/>
        </w:rPr>
        <w:t>WEINER</w:t>
      </w:r>
      <w:r>
        <w:rPr>
          <w:rFonts w:ascii="Times New Roman" w:eastAsia="Times New Roman" w:hAnsi="Times New Roman" w:cs="Times New Roman"/>
          <w:sz w:val="24"/>
          <w:szCs w:val="24"/>
          <w:lang w:val="en-US"/>
        </w:rPr>
        <w:t>,</w:t>
      </w:r>
      <w:r w:rsidRPr="00B36BF6">
        <w:rPr>
          <w:rFonts w:ascii="Times New Roman" w:eastAsia="Times New Roman" w:hAnsi="Times New Roman" w:cs="Times New Roman"/>
          <w:sz w:val="24"/>
          <w:szCs w:val="24"/>
          <w:lang w:val="en-US"/>
        </w:rPr>
        <w:t xml:space="preserve"> </w:t>
      </w:r>
      <w:r w:rsidR="00647C4E" w:rsidRPr="00B36BF6">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lang w:val="en-US"/>
        </w:rPr>
        <w:t xml:space="preserve">. </w:t>
      </w:r>
      <w:r w:rsidR="00647C4E" w:rsidRPr="00B36BF6">
        <w:rPr>
          <w:rFonts w:ascii="Times New Roman" w:eastAsia="Times New Roman" w:hAnsi="Times New Roman" w:cs="Times New Roman"/>
          <w:sz w:val="24"/>
          <w:szCs w:val="24"/>
          <w:lang w:val="en-US"/>
        </w:rPr>
        <w:t>M.</w:t>
      </w:r>
      <w:r>
        <w:rPr>
          <w:rFonts w:ascii="Times New Roman" w:eastAsia="Times New Roman" w:hAnsi="Times New Roman" w:cs="Times New Roman"/>
          <w:sz w:val="24"/>
          <w:szCs w:val="24"/>
          <w:lang w:val="en-US"/>
        </w:rPr>
        <w:t xml:space="preserve"> </w:t>
      </w:r>
      <w:r w:rsidR="00647C4E" w:rsidRPr="00B36BF6">
        <w:rPr>
          <w:rFonts w:ascii="Times New Roman" w:eastAsia="Times New Roman" w:hAnsi="Times New Roman" w:cs="Times New Roman"/>
          <w:sz w:val="24"/>
          <w:szCs w:val="24"/>
          <w:lang w:val="en-US"/>
        </w:rPr>
        <w:t>Fully human therapeutic monoclonal antibodies.</w:t>
      </w:r>
      <w:r>
        <w:rPr>
          <w:rFonts w:ascii="Times New Roman" w:eastAsia="Times New Roman" w:hAnsi="Times New Roman" w:cs="Times New Roman"/>
          <w:sz w:val="24"/>
          <w:szCs w:val="24"/>
          <w:lang w:val="en-US"/>
        </w:rPr>
        <w:t xml:space="preserve"> </w:t>
      </w:r>
      <w:r w:rsidR="00647C4E" w:rsidRPr="00165C34">
        <w:rPr>
          <w:rFonts w:ascii="Times New Roman" w:eastAsia="Times New Roman" w:hAnsi="Times New Roman" w:cs="Times New Roman"/>
          <w:b/>
          <w:bCs/>
          <w:sz w:val="24"/>
          <w:szCs w:val="24"/>
          <w:lang w:val="en-US"/>
        </w:rPr>
        <w:t>J Immunother.</w:t>
      </w:r>
      <w:r w:rsidRPr="00165C34">
        <w:rPr>
          <w:rFonts w:ascii="Times New Roman" w:eastAsia="Times New Roman" w:hAnsi="Times New Roman" w:cs="Times New Roman"/>
          <w:b/>
          <w:bCs/>
          <w:sz w:val="24"/>
          <w:szCs w:val="24"/>
          <w:lang w:val="en-US"/>
        </w:rPr>
        <w:t>,</w:t>
      </w:r>
      <w:r>
        <w:rPr>
          <w:rFonts w:ascii="Times New Roman" w:eastAsia="Times New Roman" w:hAnsi="Times New Roman" w:cs="Times New Roman"/>
          <w:sz w:val="24"/>
          <w:szCs w:val="24"/>
          <w:lang w:val="en-US"/>
        </w:rPr>
        <w:t xml:space="preserve"> v. </w:t>
      </w:r>
      <w:r w:rsidR="00647C4E" w:rsidRPr="00B36BF6">
        <w:rPr>
          <w:rFonts w:ascii="Times New Roman" w:eastAsia="Times New Roman" w:hAnsi="Times New Roman" w:cs="Times New Roman"/>
          <w:sz w:val="24"/>
          <w:szCs w:val="24"/>
          <w:lang w:val="en-US"/>
        </w:rPr>
        <w:t>29</w:t>
      </w:r>
      <w:r>
        <w:rPr>
          <w:rFonts w:ascii="Times New Roman" w:eastAsia="Times New Roman" w:hAnsi="Times New Roman" w:cs="Times New Roman"/>
          <w:sz w:val="24"/>
          <w:szCs w:val="24"/>
          <w:lang w:val="en-US"/>
        </w:rPr>
        <w:t xml:space="preserve">, p. </w:t>
      </w:r>
      <w:r w:rsidR="00647C4E" w:rsidRPr="00B36BF6">
        <w:rPr>
          <w:rFonts w:ascii="Times New Roman" w:eastAsia="Times New Roman" w:hAnsi="Times New Roman" w:cs="Times New Roman"/>
          <w:sz w:val="24"/>
          <w:szCs w:val="24"/>
          <w:lang w:val="en-US"/>
        </w:rPr>
        <w:t>1‐9</w:t>
      </w:r>
      <w:r>
        <w:rPr>
          <w:rFonts w:ascii="Times New Roman" w:eastAsia="Times New Roman" w:hAnsi="Times New Roman" w:cs="Times New Roman"/>
          <w:sz w:val="24"/>
          <w:szCs w:val="24"/>
          <w:lang w:val="en-US"/>
        </w:rPr>
        <w:t>, 2006.</w:t>
      </w:r>
    </w:p>
    <w:p w14:paraId="0D624185" w14:textId="25F60E37" w:rsidR="00647C4E" w:rsidRPr="00B36BF6" w:rsidRDefault="00165C34" w:rsidP="004974DB">
      <w:pPr>
        <w:pStyle w:val="Normal1"/>
        <w:spacing w:before="100" w:beforeAutospacing="1" w:after="100" w:afterAutospacing="1" w:line="240" w:lineRule="auto"/>
        <w:jc w:val="both"/>
        <w:rPr>
          <w:rFonts w:ascii="Times New Roman" w:eastAsia="Times New Roman" w:hAnsi="Times New Roman" w:cs="Times New Roman"/>
          <w:sz w:val="24"/>
          <w:szCs w:val="24"/>
        </w:rPr>
      </w:pPr>
      <w:r w:rsidRPr="00B36BF6">
        <w:rPr>
          <w:rFonts w:ascii="Times New Roman" w:eastAsia="Times New Roman" w:hAnsi="Times New Roman" w:cs="Times New Roman"/>
          <w:sz w:val="24"/>
          <w:szCs w:val="24"/>
          <w:lang w:val="en-US"/>
        </w:rPr>
        <w:t>WEINSHILBOUM, R. M.</w:t>
      </w:r>
      <w:r>
        <w:rPr>
          <w:rFonts w:ascii="Times New Roman" w:eastAsia="Times New Roman" w:hAnsi="Times New Roman" w:cs="Times New Roman"/>
          <w:sz w:val="24"/>
          <w:szCs w:val="24"/>
          <w:lang w:val="en-US"/>
        </w:rPr>
        <w:t>;</w:t>
      </w:r>
      <w:r w:rsidRPr="00B36BF6">
        <w:rPr>
          <w:rFonts w:ascii="Times New Roman" w:eastAsia="Times New Roman" w:hAnsi="Times New Roman" w:cs="Times New Roman"/>
          <w:sz w:val="24"/>
          <w:szCs w:val="24"/>
          <w:lang w:val="en-US"/>
        </w:rPr>
        <w:t xml:space="preserve"> WANG</w:t>
      </w:r>
      <w:r>
        <w:rPr>
          <w:rFonts w:ascii="Times New Roman" w:eastAsia="Times New Roman" w:hAnsi="Times New Roman" w:cs="Times New Roman"/>
          <w:sz w:val="24"/>
          <w:szCs w:val="24"/>
          <w:lang w:val="en-US"/>
        </w:rPr>
        <w:t>,</w:t>
      </w:r>
      <w:r w:rsidRPr="00165C34">
        <w:rPr>
          <w:rFonts w:ascii="Times New Roman" w:eastAsia="Times New Roman" w:hAnsi="Times New Roman" w:cs="Times New Roman"/>
          <w:sz w:val="24"/>
          <w:szCs w:val="24"/>
          <w:lang w:val="en-US"/>
        </w:rPr>
        <w:t xml:space="preserve"> </w:t>
      </w:r>
      <w:r w:rsidRPr="00B36BF6">
        <w:rPr>
          <w:rFonts w:ascii="Times New Roman" w:eastAsia="Times New Roman" w:hAnsi="Times New Roman" w:cs="Times New Roman"/>
          <w:sz w:val="24"/>
          <w:szCs w:val="24"/>
          <w:lang w:val="en-US"/>
        </w:rPr>
        <w:t xml:space="preserve">L. </w:t>
      </w:r>
      <w:r w:rsidR="00647C4E" w:rsidRPr="00B36BF6">
        <w:rPr>
          <w:rFonts w:ascii="Times New Roman" w:eastAsia="Times New Roman" w:hAnsi="Times New Roman" w:cs="Times New Roman"/>
          <w:sz w:val="24"/>
          <w:szCs w:val="24"/>
          <w:lang w:val="en-US"/>
        </w:rPr>
        <w:t xml:space="preserve">Pharmacogenetics and pharmacogenomics: development, science, and translation. </w:t>
      </w:r>
      <w:r w:rsidR="00647C4E" w:rsidRPr="00165C34">
        <w:rPr>
          <w:rFonts w:ascii="Times New Roman" w:eastAsia="Times New Roman" w:hAnsi="Times New Roman" w:cs="Times New Roman"/>
          <w:b/>
          <w:bCs/>
          <w:sz w:val="24"/>
          <w:szCs w:val="24"/>
        </w:rPr>
        <w:t>Annu Rev Genomics Hum Genet</w:t>
      </w:r>
      <w:r w:rsidR="00647C4E" w:rsidRPr="00B36BF6">
        <w:rPr>
          <w:rFonts w:ascii="Times New Roman" w:eastAsia="Times New Roman" w:hAnsi="Times New Roman" w:cs="Times New Roman"/>
          <w:sz w:val="24"/>
          <w:szCs w:val="24"/>
        </w:rPr>
        <w:t>, v.7, p.223-45. 2006.</w:t>
      </w:r>
    </w:p>
    <w:p w14:paraId="01E40F9D" w14:textId="548DE4B1" w:rsidR="00F270DB" w:rsidRDefault="00F270DB">
      <w:r>
        <w:br w:type="page"/>
      </w:r>
    </w:p>
    <w:p w14:paraId="0C0256F6" w14:textId="6F4E9DC7" w:rsidR="00AF3B5F" w:rsidRDefault="007E47CB" w:rsidP="007E47CB">
      <w:r>
        <w:rPr>
          <w:rFonts w:cstheme="minorHAnsi"/>
          <w:b/>
          <w:bCs/>
          <w:sz w:val="32"/>
        </w:rPr>
        <w:t xml:space="preserve">Capítulo </w:t>
      </w:r>
      <w:r w:rsidR="0096461D">
        <w:rPr>
          <w:rFonts w:cstheme="minorHAnsi"/>
          <w:b/>
          <w:bCs/>
          <w:sz w:val="32"/>
        </w:rPr>
        <w:t>4</w:t>
      </w:r>
    </w:p>
    <w:p w14:paraId="0067926F" w14:textId="33D9AC2C" w:rsidR="00AF3B5F" w:rsidRPr="001301A8" w:rsidRDefault="004974DB" w:rsidP="007E0F49">
      <w:pPr>
        <w:spacing w:line="360" w:lineRule="auto"/>
        <w:rPr>
          <w:b/>
        </w:rPr>
      </w:pPr>
      <w:r w:rsidRPr="001301A8">
        <w:rPr>
          <w:b/>
        </w:rPr>
        <w:t>Ensaios Pré-Clínico</w:t>
      </w:r>
      <w:r>
        <w:rPr>
          <w:b/>
        </w:rPr>
        <w:t>s</w:t>
      </w:r>
    </w:p>
    <w:p w14:paraId="206964D3" w14:textId="5E73AB41" w:rsidR="00AF3B5F" w:rsidRPr="007E0F49" w:rsidRDefault="00AF3B5F" w:rsidP="00AF3B5F">
      <w:pPr>
        <w:pStyle w:val="PargrafodaLista"/>
        <w:spacing w:line="360" w:lineRule="auto"/>
        <w:ind w:left="1440"/>
        <w:jc w:val="right"/>
        <w:rPr>
          <w:bCs/>
        </w:rPr>
      </w:pPr>
      <w:r w:rsidRPr="007E0F49">
        <w:rPr>
          <w:bCs/>
        </w:rPr>
        <w:t>Kalina Pessoa</w:t>
      </w:r>
      <w:r w:rsidR="000D390F">
        <w:rPr>
          <w:bCs/>
        </w:rPr>
        <w:t xml:space="preserve"> D</w:t>
      </w:r>
      <w:r w:rsidR="000D390F" w:rsidRPr="000D390F">
        <w:rPr>
          <w:bCs/>
        </w:rPr>
        <w:t xml:space="preserve">aniel de </w:t>
      </w:r>
      <w:r w:rsidR="000D390F">
        <w:rPr>
          <w:bCs/>
        </w:rPr>
        <w:t>S</w:t>
      </w:r>
      <w:r w:rsidR="000D390F" w:rsidRPr="000D390F">
        <w:rPr>
          <w:bCs/>
        </w:rPr>
        <w:t>ousa</w:t>
      </w:r>
    </w:p>
    <w:p w14:paraId="064DA47C" w14:textId="77777777" w:rsidR="00AF3B5F" w:rsidRPr="007E0F49" w:rsidRDefault="00AF3B5F" w:rsidP="00AF3B5F">
      <w:pPr>
        <w:pStyle w:val="PargrafodaLista"/>
        <w:spacing w:line="360" w:lineRule="auto"/>
        <w:ind w:left="1440"/>
        <w:jc w:val="right"/>
        <w:rPr>
          <w:bCs/>
        </w:rPr>
      </w:pPr>
      <w:r w:rsidRPr="007E0F49">
        <w:rPr>
          <w:bCs/>
        </w:rPr>
        <w:t>Joelmir Lucena Veiga da Silva</w:t>
      </w:r>
    </w:p>
    <w:p w14:paraId="6BABE2E4" w14:textId="77777777" w:rsidR="00AF3B5F" w:rsidRDefault="00AF3B5F" w:rsidP="00AF3B5F">
      <w:pPr>
        <w:pStyle w:val="PargrafodaLista"/>
        <w:spacing w:line="360" w:lineRule="auto"/>
        <w:ind w:left="1440"/>
        <w:rPr>
          <w:b/>
        </w:rPr>
      </w:pPr>
    </w:p>
    <w:p w14:paraId="3C2C275C" w14:textId="7A4E13E6" w:rsidR="00AF3B5F" w:rsidRDefault="00AF3B5F" w:rsidP="00AF3B5F">
      <w:pPr>
        <w:spacing w:line="360" w:lineRule="auto"/>
        <w:rPr>
          <w:b/>
        </w:rPr>
      </w:pPr>
      <w:r w:rsidRPr="00596B82">
        <w:rPr>
          <w:b/>
        </w:rPr>
        <w:t>I</w:t>
      </w:r>
      <w:r w:rsidR="00165C34" w:rsidRPr="00596B82">
        <w:rPr>
          <w:b/>
        </w:rPr>
        <w:t>ntrodução</w:t>
      </w:r>
    </w:p>
    <w:p w14:paraId="04EEC8DF" w14:textId="77777777" w:rsidR="00AF3B5F" w:rsidRDefault="00AF3B5F" w:rsidP="000D390F">
      <w:pPr>
        <w:spacing w:line="360" w:lineRule="auto"/>
        <w:ind w:firstLine="708"/>
        <w:jc w:val="both"/>
      </w:pPr>
      <w:r>
        <w:t xml:space="preserve">Estudos pré-clínicos ou de fase 0, também são denominados como “estudos investigatórios” e surgiram com o intuito de melhorar a eficiência e eficácia do desenvolvimento de novos fármacos. Porém, devido sua característica de ser um processo dinâmico e complexo, existem diversos fatores que contribuem para o seu fracasso, desde o descobrimento até sua comercialização, dentre eles destacam-se a escassez de biomarcadores para validação de um novo composto como também a ausência de previsibilidade dos estudos pré-clínicos em modelos animais </w:t>
      </w:r>
      <w:r w:rsidRPr="00A15A26">
        <w:fldChar w:fldCharType="begin" w:fldLock="1"/>
      </w:r>
      <w:r w:rsidRPr="00A15A26">
        <w:instrText>ADDIN CSL_CITATION {"citationItems":[{"id":"ITEM-1","itemData":{"author":[{"dropping-particle":"","family":"Costa","given":"Neuza Margarida Nascimento","non-dropping-particle":"","parse-names":false,"suffix":""}],"id":"ITEM-1","issued":{"date-parts":[["0"]]},"number-of-pages":"103","title":"Estudos Clínicos de Fase 0 no contexto dos Ensaios Clínicos: um novo paradigma a considerar?","type":"report"},"uris":["http://www.mendeley.com/documents/?uuid=7c7979ae-db0c-37f8-b390-9306d68cdc3e"]}],"mendeley":{"formattedCitation":"(COSTA, [s.d.])","manualFormatting":"(COSTA, 2018)","plainTextFormattedCitation":"(COSTA, [s.d.])","previouslyFormattedCitation":"(COSTA, [s.d.])"},"properties":{"noteIndex":0},"schema":"https://github.com/citation-style-language/schema/raw/master/csl-citation.json"}</w:instrText>
      </w:r>
      <w:r w:rsidRPr="00A15A26">
        <w:fldChar w:fldCharType="separate"/>
      </w:r>
      <w:r w:rsidRPr="00A15A26">
        <w:rPr>
          <w:noProof/>
        </w:rPr>
        <w:t>(COSTA, 2018)</w:t>
      </w:r>
      <w:r w:rsidRPr="00A15A26">
        <w:fldChar w:fldCharType="end"/>
      </w:r>
      <w:r w:rsidRPr="00A15A26">
        <w:t>.</w:t>
      </w:r>
    </w:p>
    <w:p w14:paraId="579CBB52" w14:textId="5723EEA7" w:rsidR="00AF3B5F" w:rsidRPr="009C4360" w:rsidRDefault="00AF3B5F" w:rsidP="000D390F">
      <w:pPr>
        <w:spacing w:line="360" w:lineRule="auto"/>
        <w:ind w:firstLine="708"/>
        <w:jc w:val="both"/>
      </w:pPr>
      <w:r w:rsidRPr="00596B82">
        <w:t xml:space="preserve">Os estudos pré-clínicos </w:t>
      </w:r>
      <w:r>
        <w:t xml:space="preserve">são realizados com o objetivo de avaliar, descobrir e categorizar os potenciais efeitos adversos e tóxicos dos medicamentos para o ser humano, podendo ser realizados </w:t>
      </w:r>
      <w:r w:rsidRPr="006D7EBF">
        <w:rPr>
          <w:i/>
        </w:rPr>
        <w:t>in vivo, in vitro e em ex vivo</w:t>
      </w:r>
      <w:r w:rsidRPr="006D7EBF">
        <w:rPr>
          <w:b/>
        </w:rPr>
        <w:t xml:space="preserve">. </w:t>
      </w:r>
      <w:r>
        <w:t xml:space="preserve">Sendo agrupados em três categorias: os </w:t>
      </w:r>
      <w:r w:rsidRPr="00A15A26">
        <w:t>farmacológicos, farmacocinéticos e toxicológicos</w:t>
      </w:r>
      <w:r>
        <w:t xml:space="preserve">. Porém, para que ocorra o desenvolvimento de novos fármacos, são necessárias normas regulamentadoras, um processo complexo e delicado, há exemplo a Agência Europeia de Medicamentos (EMA) criada em 1995 com intuito a promoção e prevenção da saúde humana e animal, através de avaliações rigorosas, supervisões e controles de medicamentos para o uso em humanos e </w:t>
      </w:r>
      <w:r w:rsidRPr="00A15A26">
        <w:t>animais</w:t>
      </w:r>
      <w:r w:rsidRPr="00A15A26">
        <w:fldChar w:fldCharType="begin" w:fldLock="1"/>
      </w:r>
      <w:r w:rsidRPr="00A15A26">
        <w:instrText>ADDIN CSL_CITATION {"citationItems":[{"id":"ITEM-1","itemData":{"URL":"https://europa.eu/european-union/about-eu/agencies/ema_pt","accessed":{"date-parts":[["2020","6","13"]]},"id":"ITEM-1","issued":{"date-parts":[["2013"]]},"title":"Agência Europeia de Medicamentos (EMA) | União Europeia","type":"webpage"},"uris":["http://www.mendeley.com/documents/?uuid=8e2a9298-731f-3f47-a617-776d7c6a14d6"]}],"mendeley":{"formattedCitation":"(“Agência Europeia de Medicamentos (EMA) | União Europeia”, 2013)","manualFormatting":" (EMA, 2013)","plainTextFormattedCitation":"(“Agência Europeia de Medicamentos (EMA) | União Europeia”, 2013)","previouslyFormattedCitation":"(“Agência Europeia de Medicamentos (EMA) | União Europeia”, 2013)"},"properties":{"noteIndex":0},"schema":"https://github.com/citation-style-language/schema/raw/master/csl-citation.json"}</w:instrText>
      </w:r>
      <w:r w:rsidRPr="00A15A26">
        <w:fldChar w:fldCharType="separate"/>
      </w:r>
      <w:r w:rsidRPr="00A15A26">
        <w:rPr>
          <w:noProof/>
        </w:rPr>
        <w:t xml:space="preserve"> (EMA, 2013)</w:t>
      </w:r>
      <w:r w:rsidRPr="00A15A26">
        <w:fldChar w:fldCharType="end"/>
      </w:r>
      <w:r w:rsidRPr="00A15A26">
        <w:t>.</w:t>
      </w:r>
      <w:r>
        <w:t xml:space="preserve"> No Brasil, </w:t>
      </w:r>
      <w:r w:rsidRPr="009C4360">
        <w:t>Todos os resultados de testes envolvendo animais apresentados à Anvisa devem ser conduzidos de acordo com a legislação nacional, as Boas Práticas de Laboratório (BPL) - OECD Principles of Good Laboratory Practice; HANDBOOK: GOOD LABORATORY PRACTICE (GLP</w:t>
      </w:r>
      <w:r>
        <w:t>)</w:t>
      </w:r>
      <w:r w:rsidRPr="009C4360">
        <w:t xml:space="preserve"> (</w:t>
      </w:r>
      <w:r w:rsidRPr="009C4360">
        <w:rPr>
          <w:i/>
          <w:iCs/>
        </w:rPr>
        <w:t>Quality practices for regulated non-clinical research and development</w:t>
      </w:r>
      <w:r w:rsidRPr="009C4360">
        <w:t xml:space="preserve">) da </w:t>
      </w:r>
      <w:r>
        <w:t>OMS (ANVISA, 2017).</w:t>
      </w:r>
    </w:p>
    <w:p w14:paraId="32CB2E5A" w14:textId="6B6FF9EE" w:rsidR="00AF3B5F" w:rsidRDefault="00AF3B5F" w:rsidP="000D390F">
      <w:pPr>
        <w:spacing w:line="360" w:lineRule="auto"/>
        <w:ind w:firstLine="708"/>
        <w:jc w:val="both"/>
      </w:pPr>
      <w:r w:rsidRPr="006A3EA1">
        <w:t>Para se obter uma molécula potencial que ocorra interação entre os receptores de membrana e substância alvo, é preciso reconhecer todos os aspectos da molécula em questão, desde suas propriedades farmacocinéticas</w:t>
      </w:r>
      <w:r>
        <w:t xml:space="preserve"> </w:t>
      </w:r>
      <w:r w:rsidRPr="006A3EA1">
        <w:t>(absorção, distribuição, biotransformação e excreção</w:t>
      </w:r>
      <w:r>
        <w:t xml:space="preserve"> - ADME)</w:t>
      </w:r>
      <w:r w:rsidRPr="006A3EA1">
        <w:t xml:space="preserve"> ou seja</w:t>
      </w:r>
      <w:r>
        <w:t>,</w:t>
      </w:r>
      <w:r w:rsidRPr="006A3EA1">
        <w:t xml:space="preserve"> todo o trajeto que o fármaco fará no organismo</w:t>
      </w:r>
      <w:r>
        <w:t>,</w:t>
      </w:r>
      <w:r w:rsidRPr="006A3EA1">
        <w:t xml:space="preserve"> sendo dependente de fatores relacionados com o paciente, bem como as propriedades químicas (estabilidade, solubilidade, questões de form</w:t>
      </w:r>
      <w:r>
        <w:t xml:space="preserve">ulação e sua segurança). Antes </w:t>
      </w:r>
      <w:r w:rsidRPr="006A3EA1">
        <w:t xml:space="preserve">de serem administrados em seres os humanos, </w:t>
      </w:r>
      <w:r>
        <w:t xml:space="preserve">todos os fármacos passam por </w:t>
      </w:r>
      <w:r w:rsidRPr="006A3EA1">
        <w:t xml:space="preserve">uma fase de teste quanto a sua toxicidade geral, </w:t>
      </w:r>
      <w:r>
        <w:t xml:space="preserve">dentre eles a </w:t>
      </w:r>
      <w:r w:rsidRPr="006A3EA1">
        <w:t>carcinogenicidade, genotoxicidade e toxicidade reprodutiva</w:t>
      </w:r>
      <w:r>
        <w:t xml:space="preserve">, uma vez que </w:t>
      </w:r>
      <w:r>
        <w:rPr>
          <w:i/>
        </w:rPr>
        <w:t xml:space="preserve">Todos os fármacos são tóxicos em algum individuo em alguma dose, </w:t>
      </w:r>
      <w:r w:rsidRPr="006A3EA1">
        <w:t>devido esses aspectos são necessários</w:t>
      </w:r>
      <w:r>
        <w:t xml:space="preserve"> estudos de segurança pré-clínicos e seus testes de toxicidade, a fim de definir qual seria o limite entre o índice terapêutico e malefícios de um novo fármaco. </w:t>
      </w:r>
      <w:r w:rsidRPr="00C934EC">
        <w:t>Normalmente são testes realizados em animais como, por exemplo, os roedores e não roedores, respectivamente camundongos e coelhos.</w:t>
      </w:r>
      <w:r>
        <w:t xml:space="preserve"> Quando necessário, são utilizados testes em </w:t>
      </w:r>
      <w:r w:rsidRPr="00C635DC">
        <w:rPr>
          <w:i/>
        </w:rPr>
        <w:t>in vitro</w:t>
      </w:r>
      <w:r>
        <w:t xml:space="preserve"> e </w:t>
      </w:r>
      <w:r w:rsidRPr="00C635DC">
        <w:rPr>
          <w:i/>
        </w:rPr>
        <w:t>ex vivo</w:t>
      </w:r>
      <w:r>
        <w:t>, com o intuito de poupar os animais e diminuir os custos, entretanto o processo de seleção de espécies é realizado através da semelhança entre as espécies, quanto a morfologia, fisiologia e bioquímica (</w:t>
      </w:r>
      <w:r w:rsidR="00D44B98">
        <w:t>Quadro 2</w:t>
      </w:r>
      <w:r>
        <w:t>).</w:t>
      </w:r>
    </w:p>
    <w:p w14:paraId="37BE0C4F" w14:textId="77777777" w:rsidR="00AF3B5F" w:rsidRDefault="00AF3B5F" w:rsidP="00AF3B5F">
      <w:pPr>
        <w:spacing w:line="360" w:lineRule="auto"/>
        <w:jc w:val="both"/>
      </w:pPr>
    </w:p>
    <w:tbl>
      <w:tblPr>
        <w:tblStyle w:val="TabeladeLista4-nfase1"/>
        <w:tblW w:w="0" w:type="auto"/>
        <w:tblLook w:val="04A0" w:firstRow="1" w:lastRow="0" w:firstColumn="1" w:lastColumn="0" w:noHBand="0" w:noVBand="1"/>
      </w:tblPr>
      <w:tblGrid>
        <w:gridCol w:w="2898"/>
        <w:gridCol w:w="2756"/>
        <w:gridCol w:w="2840"/>
      </w:tblGrid>
      <w:tr w:rsidR="00AF3B5F" w:rsidRPr="00F270DB" w14:paraId="33452371" w14:textId="77777777" w:rsidTr="00A72C7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72" w:type="dxa"/>
          </w:tcPr>
          <w:p w14:paraId="10EB15D5" w14:textId="77777777" w:rsidR="00AF3B5F" w:rsidRPr="00F270DB" w:rsidRDefault="00AF3B5F" w:rsidP="00A72C7A">
            <w:pPr>
              <w:rPr>
                <w:color w:val="000000" w:themeColor="text1"/>
              </w:rPr>
            </w:pPr>
            <w:r w:rsidRPr="00F270DB">
              <w:rPr>
                <w:color w:val="000000" w:themeColor="text1"/>
              </w:rPr>
              <w:t xml:space="preserve">Espécie </w:t>
            </w:r>
          </w:p>
        </w:tc>
        <w:tc>
          <w:tcPr>
            <w:tcW w:w="2820" w:type="dxa"/>
          </w:tcPr>
          <w:p w14:paraId="25B14BC5" w14:textId="77777777" w:rsidR="00AF3B5F" w:rsidRPr="00F270DB" w:rsidRDefault="00AF3B5F" w:rsidP="00A72C7A">
            <w:pPr>
              <w:cnfStyle w:val="100000000000" w:firstRow="1" w:lastRow="0" w:firstColumn="0" w:lastColumn="0" w:oddVBand="0" w:evenVBand="0" w:oddHBand="0" w:evenHBand="0" w:firstRowFirstColumn="0" w:firstRowLastColumn="0" w:lastRowFirstColumn="0" w:lastRowLastColumn="0"/>
              <w:rPr>
                <w:color w:val="000000" w:themeColor="text1"/>
              </w:rPr>
            </w:pPr>
            <w:r w:rsidRPr="00F270DB">
              <w:rPr>
                <w:color w:val="000000" w:themeColor="text1"/>
              </w:rPr>
              <w:t xml:space="preserve">Vantagem                                                   </w:t>
            </w:r>
          </w:p>
        </w:tc>
        <w:tc>
          <w:tcPr>
            <w:tcW w:w="2897" w:type="dxa"/>
          </w:tcPr>
          <w:p w14:paraId="1DB491AC" w14:textId="77777777" w:rsidR="00AF3B5F" w:rsidRPr="00F270DB" w:rsidRDefault="00AF3B5F" w:rsidP="00A72C7A">
            <w:pPr>
              <w:cnfStyle w:val="100000000000" w:firstRow="1" w:lastRow="0" w:firstColumn="0" w:lastColumn="0" w:oddVBand="0" w:evenVBand="0" w:oddHBand="0" w:evenHBand="0" w:firstRowFirstColumn="0" w:firstRowLastColumn="0" w:lastRowFirstColumn="0" w:lastRowLastColumn="0"/>
              <w:rPr>
                <w:color w:val="000000" w:themeColor="text1"/>
              </w:rPr>
            </w:pPr>
            <w:r w:rsidRPr="00F270DB">
              <w:rPr>
                <w:color w:val="000000" w:themeColor="text1"/>
              </w:rPr>
              <w:t xml:space="preserve">Desvantagem </w:t>
            </w:r>
          </w:p>
        </w:tc>
      </w:tr>
      <w:tr w:rsidR="00AF3B5F" w:rsidRPr="00F270DB" w14:paraId="5C713744" w14:textId="77777777" w:rsidTr="00A72C7A">
        <w:trPr>
          <w:cnfStyle w:val="000000100000" w:firstRow="0" w:lastRow="0" w:firstColumn="0" w:lastColumn="0" w:oddVBand="0" w:evenVBand="0" w:oddHBand="1" w:evenHBand="0"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2972" w:type="dxa"/>
          </w:tcPr>
          <w:p w14:paraId="7E6D631D" w14:textId="77777777" w:rsidR="00AF3B5F" w:rsidRPr="00F270DB" w:rsidRDefault="00AF3B5F" w:rsidP="00A72C7A">
            <w:pPr>
              <w:rPr>
                <w:b w:val="0"/>
                <w:bCs w:val="0"/>
                <w:i/>
              </w:rPr>
            </w:pPr>
            <w:r w:rsidRPr="00F270DB">
              <w:rPr>
                <w:b w:val="0"/>
                <w:bCs w:val="0"/>
              </w:rPr>
              <w:t>Camundongo (</w:t>
            </w:r>
            <w:r w:rsidRPr="00F270DB">
              <w:rPr>
                <w:b w:val="0"/>
                <w:bCs w:val="0"/>
                <w:i/>
              </w:rPr>
              <w:t>Mus musculus)</w:t>
            </w:r>
          </w:p>
          <w:p w14:paraId="45805129" w14:textId="77777777" w:rsidR="00AF3B5F" w:rsidRPr="00F270DB" w:rsidRDefault="00AF3B5F" w:rsidP="00A72C7A">
            <w:pPr>
              <w:rPr>
                <w:b w:val="0"/>
                <w:bCs w:val="0"/>
                <w:i/>
              </w:rPr>
            </w:pPr>
            <w:r w:rsidRPr="00F270DB">
              <w:rPr>
                <w:b w:val="0"/>
                <w:bCs w:val="0"/>
              </w:rPr>
              <w:t xml:space="preserve"> /rato (</w:t>
            </w:r>
            <w:r w:rsidRPr="00F270DB">
              <w:rPr>
                <w:b w:val="0"/>
                <w:bCs w:val="0"/>
                <w:i/>
                <w:iCs/>
              </w:rPr>
              <w:t>Rattus novergicus</w:t>
            </w:r>
            <w:r w:rsidRPr="00F270DB">
              <w:rPr>
                <w:b w:val="0"/>
                <w:bCs w:val="0"/>
              </w:rPr>
              <w:t xml:space="preserve">) </w:t>
            </w:r>
          </w:p>
        </w:tc>
        <w:tc>
          <w:tcPr>
            <w:tcW w:w="2820" w:type="dxa"/>
          </w:tcPr>
          <w:p w14:paraId="66B67506"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Fácil manutenção, manuseio e observação</w:t>
            </w:r>
          </w:p>
          <w:p w14:paraId="00B44CF0"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Ciclos de vida curtos</w:t>
            </w:r>
          </w:p>
          <w:p w14:paraId="1FF839ED"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Prole Numerosa/ fácil reprodução</w:t>
            </w:r>
          </w:p>
          <w:p w14:paraId="10D30F6B"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 xml:space="preserve">Múltiplas vias de administração </w:t>
            </w:r>
          </w:p>
          <w:p w14:paraId="0C034471"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p>
        </w:tc>
        <w:tc>
          <w:tcPr>
            <w:tcW w:w="2897" w:type="dxa"/>
          </w:tcPr>
          <w:p w14:paraId="74656699"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 xml:space="preserve">Vivem em ambientes artificiais </w:t>
            </w:r>
          </w:p>
          <w:p w14:paraId="711DDEF9"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Doenças induzidas artificialmente</w:t>
            </w:r>
          </w:p>
          <w:p w14:paraId="21FFE188"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 xml:space="preserve">Menor volume corrente de sangue </w:t>
            </w:r>
          </w:p>
          <w:p w14:paraId="707BE79C"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Requer método coorte para avaliação de toxicocinéticos</w:t>
            </w:r>
          </w:p>
        </w:tc>
      </w:tr>
      <w:tr w:rsidR="00AF3B5F" w:rsidRPr="00F270DB" w14:paraId="7D789199" w14:textId="77777777" w:rsidTr="00A72C7A">
        <w:trPr>
          <w:trHeight w:val="1486"/>
        </w:trPr>
        <w:tc>
          <w:tcPr>
            <w:cnfStyle w:val="001000000000" w:firstRow="0" w:lastRow="0" w:firstColumn="1" w:lastColumn="0" w:oddVBand="0" w:evenVBand="0" w:oddHBand="0" w:evenHBand="0" w:firstRowFirstColumn="0" w:firstRowLastColumn="0" w:lastRowFirstColumn="0" w:lastRowLastColumn="0"/>
            <w:tcW w:w="2972" w:type="dxa"/>
          </w:tcPr>
          <w:p w14:paraId="7E62259C" w14:textId="77777777" w:rsidR="00AF3B5F" w:rsidRPr="00F270DB" w:rsidRDefault="00AF3B5F" w:rsidP="00A72C7A">
            <w:pPr>
              <w:rPr>
                <w:b w:val="0"/>
                <w:bCs w:val="0"/>
              </w:rPr>
            </w:pPr>
            <w:r w:rsidRPr="00F270DB">
              <w:rPr>
                <w:b w:val="0"/>
                <w:bCs w:val="0"/>
              </w:rPr>
              <w:t>Cão (Raça Beagle)-</w:t>
            </w:r>
            <w:r w:rsidRPr="00F270DB">
              <w:rPr>
                <w:b w:val="0"/>
                <w:bCs w:val="0"/>
                <w:i/>
              </w:rPr>
              <w:t>(Canis lupus familiaris</w:t>
            </w:r>
            <w:r w:rsidRPr="00F270DB">
              <w:rPr>
                <w:b w:val="0"/>
                <w:bCs w:val="0"/>
              </w:rPr>
              <w:t>)</w:t>
            </w:r>
          </w:p>
        </w:tc>
        <w:tc>
          <w:tcPr>
            <w:tcW w:w="2820" w:type="dxa"/>
          </w:tcPr>
          <w:p w14:paraId="1649BFD2" w14:textId="77777777" w:rsidR="00AF3B5F" w:rsidRPr="00F270DB" w:rsidRDefault="00AF3B5F" w:rsidP="00A72C7A">
            <w:pPr>
              <w:cnfStyle w:val="000000000000" w:firstRow="0" w:lastRow="0" w:firstColumn="0" w:lastColumn="0" w:oddVBand="0" w:evenVBand="0" w:oddHBand="0" w:evenHBand="0" w:firstRowFirstColumn="0" w:firstRowLastColumn="0" w:lastRowFirstColumn="0" w:lastRowLastColumn="0"/>
            </w:pPr>
            <w:r w:rsidRPr="00F270DB">
              <w:t>Vive em ambiente semelhante aos humanos</w:t>
            </w:r>
          </w:p>
          <w:p w14:paraId="26508F5E" w14:textId="77777777" w:rsidR="00AF3B5F" w:rsidRPr="00F270DB" w:rsidRDefault="00AF3B5F" w:rsidP="00A72C7A">
            <w:pPr>
              <w:cnfStyle w:val="000000000000" w:firstRow="0" w:lastRow="0" w:firstColumn="0" w:lastColumn="0" w:oddVBand="0" w:evenVBand="0" w:oddHBand="0" w:evenHBand="0" w:firstRowFirstColumn="0" w:firstRowLastColumn="0" w:lastRowFirstColumn="0" w:lastRowLastColumn="0"/>
            </w:pPr>
            <w:r w:rsidRPr="00F270DB">
              <w:t xml:space="preserve">Animais dóceis </w:t>
            </w:r>
          </w:p>
          <w:p w14:paraId="7B98C5D6" w14:textId="77777777" w:rsidR="00AF3B5F" w:rsidRPr="00F270DB" w:rsidRDefault="00AF3B5F" w:rsidP="00A72C7A">
            <w:pPr>
              <w:cnfStyle w:val="000000000000" w:firstRow="0" w:lastRow="0" w:firstColumn="0" w:lastColumn="0" w:oddVBand="0" w:evenVBand="0" w:oddHBand="0" w:evenHBand="0" w:firstRowFirstColumn="0" w:firstRowLastColumn="0" w:lastRowFirstColumn="0" w:lastRowLastColumn="0"/>
            </w:pPr>
            <w:r w:rsidRPr="00F270DB">
              <w:t xml:space="preserve">Múltiplas vias de administração </w:t>
            </w:r>
          </w:p>
          <w:p w14:paraId="2EEAA7E4" w14:textId="77777777" w:rsidR="00AF3B5F" w:rsidRPr="00F270DB" w:rsidRDefault="00AF3B5F" w:rsidP="00A72C7A">
            <w:pPr>
              <w:cnfStyle w:val="000000000000" w:firstRow="0" w:lastRow="0" w:firstColumn="0" w:lastColumn="0" w:oddVBand="0" w:evenVBand="0" w:oddHBand="0" w:evenHBand="0" w:firstRowFirstColumn="0" w:firstRowLastColumn="0" w:lastRowFirstColumn="0" w:lastRowLastColumn="0"/>
            </w:pPr>
            <w:r w:rsidRPr="00F270DB">
              <w:t xml:space="preserve">Fácil reprodução </w:t>
            </w:r>
          </w:p>
        </w:tc>
        <w:tc>
          <w:tcPr>
            <w:tcW w:w="2897" w:type="dxa"/>
          </w:tcPr>
          <w:p w14:paraId="7B37A71F" w14:textId="77777777" w:rsidR="00AF3B5F" w:rsidRPr="00F270DB" w:rsidRDefault="00AF3B5F" w:rsidP="00A72C7A">
            <w:pPr>
              <w:cnfStyle w:val="000000000000" w:firstRow="0" w:lastRow="0" w:firstColumn="0" w:lastColumn="0" w:oddVBand="0" w:evenVBand="0" w:oddHBand="0" w:evenHBand="0" w:firstRowFirstColumn="0" w:firstRowLastColumn="0" w:lastRowFirstColumn="0" w:lastRowLastColumn="0"/>
            </w:pPr>
            <w:r w:rsidRPr="00F270DB">
              <w:t>Custo manutenção</w:t>
            </w:r>
          </w:p>
          <w:p w14:paraId="2113538A" w14:textId="77777777" w:rsidR="00AF3B5F" w:rsidRPr="00F270DB" w:rsidRDefault="00AF3B5F" w:rsidP="00A72C7A">
            <w:pPr>
              <w:cnfStyle w:val="000000000000" w:firstRow="0" w:lastRow="0" w:firstColumn="0" w:lastColumn="0" w:oddVBand="0" w:evenVBand="0" w:oddHBand="0" w:evenHBand="0" w:firstRowFirstColumn="0" w:firstRowLastColumn="0" w:lastRowFirstColumn="0" w:lastRowLastColumn="0"/>
            </w:pPr>
          </w:p>
        </w:tc>
      </w:tr>
      <w:tr w:rsidR="00AF3B5F" w:rsidRPr="00F270DB" w14:paraId="76DABA58" w14:textId="77777777" w:rsidTr="00A72C7A">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972" w:type="dxa"/>
          </w:tcPr>
          <w:p w14:paraId="15768AD4" w14:textId="77777777" w:rsidR="00AF3B5F" w:rsidRPr="00F270DB" w:rsidRDefault="00AF3B5F" w:rsidP="00A72C7A">
            <w:pPr>
              <w:rPr>
                <w:b w:val="0"/>
                <w:bCs w:val="0"/>
              </w:rPr>
            </w:pPr>
            <w:r w:rsidRPr="00F270DB">
              <w:rPr>
                <w:b w:val="0"/>
                <w:bCs w:val="0"/>
              </w:rPr>
              <w:t>Macaco (</w:t>
            </w:r>
            <w:r w:rsidRPr="00F270DB">
              <w:rPr>
                <w:b w:val="0"/>
                <w:bCs w:val="0"/>
                <w:i/>
              </w:rPr>
              <w:t>Primates)</w:t>
            </w:r>
          </w:p>
        </w:tc>
        <w:tc>
          <w:tcPr>
            <w:tcW w:w="2820" w:type="dxa"/>
          </w:tcPr>
          <w:p w14:paraId="7FB89E62"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 xml:space="preserve">Grau de semelhança aos humanos </w:t>
            </w:r>
          </w:p>
          <w:p w14:paraId="68A11EB8"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 xml:space="preserve">Múltiplas vias de administração </w:t>
            </w:r>
          </w:p>
        </w:tc>
        <w:tc>
          <w:tcPr>
            <w:tcW w:w="2897" w:type="dxa"/>
          </w:tcPr>
          <w:p w14:paraId="08246246"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 xml:space="preserve">Técnica especifica de manuseio </w:t>
            </w:r>
          </w:p>
        </w:tc>
      </w:tr>
      <w:tr w:rsidR="00AF3B5F" w:rsidRPr="00F270DB" w14:paraId="7703CB72" w14:textId="77777777" w:rsidTr="00A72C7A">
        <w:trPr>
          <w:trHeight w:val="495"/>
        </w:trPr>
        <w:tc>
          <w:tcPr>
            <w:cnfStyle w:val="001000000000" w:firstRow="0" w:lastRow="0" w:firstColumn="1" w:lastColumn="0" w:oddVBand="0" w:evenVBand="0" w:oddHBand="0" w:evenHBand="0" w:firstRowFirstColumn="0" w:firstRowLastColumn="0" w:lastRowFirstColumn="0" w:lastRowLastColumn="0"/>
            <w:tcW w:w="2972" w:type="dxa"/>
          </w:tcPr>
          <w:p w14:paraId="402BB489" w14:textId="77777777" w:rsidR="00AF3B5F" w:rsidRPr="00F270DB" w:rsidRDefault="00AF3B5F" w:rsidP="00A72C7A">
            <w:pPr>
              <w:rPr>
                <w:b w:val="0"/>
                <w:bCs w:val="0"/>
              </w:rPr>
            </w:pPr>
            <w:r w:rsidRPr="00F270DB">
              <w:rPr>
                <w:b w:val="0"/>
                <w:bCs w:val="0"/>
              </w:rPr>
              <w:t>Coelho (</w:t>
            </w:r>
            <w:r w:rsidRPr="00F270DB">
              <w:rPr>
                <w:b w:val="0"/>
                <w:bCs w:val="0"/>
                <w:i/>
                <w:iCs/>
              </w:rPr>
              <w:t>Oryctolagus cuniculus</w:t>
            </w:r>
            <w:r w:rsidRPr="00F270DB">
              <w:rPr>
                <w:b w:val="0"/>
                <w:bCs w:val="0"/>
              </w:rPr>
              <w:t>)</w:t>
            </w:r>
          </w:p>
        </w:tc>
        <w:tc>
          <w:tcPr>
            <w:tcW w:w="2820" w:type="dxa"/>
          </w:tcPr>
          <w:p w14:paraId="67B9BB44" w14:textId="77777777" w:rsidR="00AF3B5F" w:rsidRPr="00F270DB" w:rsidRDefault="00AF3B5F" w:rsidP="00A72C7A">
            <w:pPr>
              <w:cnfStyle w:val="000000000000" w:firstRow="0" w:lastRow="0" w:firstColumn="0" w:lastColumn="0" w:oddVBand="0" w:evenVBand="0" w:oddHBand="0" w:evenHBand="0" w:firstRowFirstColumn="0" w:firstRowLastColumn="0" w:lastRowFirstColumn="0" w:lastRowLastColumn="0"/>
            </w:pPr>
            <w:r w:rsidRPr="00F270DB">
              <w:t xml:space="preserve">Alta sensibilidade </w:t>
            </w:r>
          </w:p>
        </w:tc>
        <w:tc>
          <w:tcPr>
            <w:tcW w:w="2897" w:type="dxa"/>
          </w:tcPr>
          <w:p w14:paraId="5B521530" w14:textId="77777777" w:rsidR="00AF3B5F" w:rsidRPr="00F270DB" w:rsidRDefault="00AF3B5F" w:rsidP="00A72C7A">
            <w:pPr>
              <w:cnfStyle w:val="000000000000" w:firstRow="0" w:lastRow="0" w:firstColumn="0" w:lastColumn="0" w:oddVBand="0" w:evenVBand="0" w:oddHBand="0" w:evenHBand="0" w:firstRowFirstColumn="0" w:firstRowLastColumn="0" w:lastRowFirstColumn="0" w:lastRowLastColumn="0"/>
            </w:pPr>
            <w:r w:rsidRPr="00F270DB">
              <w:t xml:space="preserve">Maior susceptibilidade ao estresse </w:t>
            </w:r>
          </w:p>
        </w:tc>
      </w:tr>
      <w:tr w:rsidR="00AF3B5F" w:rsidRPr="00F270DB" w14:paraId="0A4DF039" w14:textId="77777777" w:rsidTr="00A72C7A">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972" w:type="dxa"/>
          </w:tcPr>
          <w:p w14:paraId="67A0BBAA" w14:textId="77777777" w:rsidR="00AF3B5F" w:rsidRPr="00F270DB" w:rsidRDefault="00AF3B5F" w:rsidP="00A72C7A">
            <w:pPr>
              <w:rPr>
                <w:b w:val="0"/>
                <w:bCs w:val="0"/>
              </w:rPr>
            </w:pPr>
            <w:r w:rsidRPr="00F270DB">
              <w:rPr>
                <w:b w:val="0"/>
                <w:bCs w:val="0"/>
              </w:rPr>
              <w:t>Porco (</w:t>
            </w:r>
            <w:r w:rsidRPr="00F270DB">
              <w:rPr>
                <w:b w:val="0"/>
                <w:bCs w:val="0"/>
                <w:i/>
              </w:rPr>
              <w:t>Sus scrofa domesticus)</w:t>
            </w:r>
          </w:p>
        </w:tc>
        <w:tc>
          <w:tcPr>
            <w:tcW w:w="2820" w:type="dxa"/>
          </w:tcPr>
          <w:p w14:paraId="1C4C4E4A"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Pode utilizar a via oral como administração</w:t>
            </w:r>
          </w:p>
        </w:tc>
        <w:tc>
          <w:tcPr>
            <w:tcW w:w="2897" w:type="dxa"/>
          </w:tcPr>
          <w:p w14:paraId="36642514"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 xml:space="preserve">Custo de manutenção </w:t>
            </w:r>
          </w:p>
          <w:p w14:paraId="3AEF52F2" w14:textId="77777777" w:rsidR="00AF3B5F" w:rsidRPr="00F270DB" w:rsidRDefault="00AF3B5F" w:rsidP="00A72C7A">
            <w:pPr>
              <w:cnfStyle w:val="000000100000" w:firstRow="0" w:lastRow="0" w:firstColumn="0" w:lastColumn="0" w:oddVBand="0" w:evenVBand="0" w:oddHBand="1" w:evenHBand="0" w:firstRowFirstColumn="0" w:firstRowLastColumn="0" w:lastRowFirstColumn="0" w:lastRowLastColumn="0"/>
            </w:pPr>
            <w:r w:rsidRPr="00F270DB">
              <w:t>Técnica especifica de manuseio</w:t>
            </w:r>
          </w:p>
        </w:tc>
      </w:tr>
    </w:tbl>
    <w:p w14:paraId="6B057A2B" w14:textId="10FE9DA2" w:rsidR="00AF3B5F" w:rsidRPr="00242AD3" w:rsidRDefault="00D44B98" w:rsidP="00AF3B5F">
      <w:r>
        <w:rPr>
          <w:b/>
          <w:bCs/>
        </w:rPr>
        <w:t>Quadro 2</w:t>
      </w:r>
      <w:r w:rsidR="00AF3B5F" w:rsidRPr="00242AD3">
        <w:rPr>
          <w:b/>
          <w:bCs/>
        </w:rPr>
        <w:t xml:space="preserve"> -</w:t>
      </w:r>
      <w:r w:rsidR="00AF3B5F" w:rsidRPr="00242AD3">
        <w:t xml:space="preserve"> Vantagens vs. Desvantagem quanto ao uso de animais em estudos de fase 0.</w:t>
      </w:r>
    </w:p>
    <w:p w14:paraId="4C2CBE0E" w14:textId="77777777" w:rsidR="00AF3B5F" w:rsidRPr="009C4360" w:rsidRDefault="00AF3B5F" w:rsidP="00AF3B5F">
      <w:r w:rsidRPr="009C4360">
        <w:t>Fonte:  Adaptado de Denny; Stewart (2013).</w:t>
      </w:r>
    </w:p>
    <w:p w14:paraId="6B83F16E" w14:textId="77777777" w:rsidR="00AF3B5F" w:rsidRDefault="00AF3B5F" w:rsidP="00AF3B5F">
      <w:pPr>
        <w:spacing w:line="360" w:lineRule="auto"/>
        <w:jc w:val="both"/>
      </w:pPr>
    </w:p>
    <w:p w14:paraId="3FD1FAB4" w14:textId="77777777" w:rsidR="00AF3B5F" w:rsidRDefault="00AF3B5F" w:rsidP="00AF3B5F">
      <w:pPr>
        <w:spacing w:line="360" w:lineRule="auto"/>
        <w:ind w:firstLine="708"/>
        <w:jc w:val="both"/>
      </w:pPr>
      <w:r>
        <w:t xml:space="preserve">De </w:t>
      </w:r>
      <w:r w:rsidRPr="00A15A26">
        <w:t xml:space="preserve">acordo com Marchetti e Schellens 2007, os estudos de fase 0, são utilizados com o intuito de identificar de forma mais rápida e precoce as possíveis moléculas fundamentais para o uso de forma experimental nos ensaios clínicos ou fase 1, fornecendo um instrumento potencialmente útil para a descoberta de novos medicamentos </w:t>
      </w:r>
      <w:r w:rsidRPr="00A15A26">
        <w:fldChar w:fldCharType="begin" w:fldLock="1"/>
      </w:r>
      <w:r w:rsidRPr="00A15A26">
        <w:instrText>ADDIN CSL_CITATION {"citationItems":[{"id":"ITEM-1","itemData":{"DOI":"10.1038/sj.bjc.6603925","ISSN":"00070920","abstract":"An increase in the number of identified therapeutic cancer targets achieved through recent biomedical research has resulted in the generation of a large number of molecules that need to be tested further. Current development of (anticancer) drugs is a rather inefficient process that for an average new molecule takes around 10-15 years. It is also a challenging process as it is associated with high costs and a low rate of approval. It is known that less than 10% of new molecular entities entering clinical Phase I testing progress beyond the investigational programme and reach the market; this probability is even lower for anticancer agents. In 2003, the US Food and Drug Administration (US FDA) declared the urgent need for new toolkits to improve the critical development path that leads from scientific discovery to the patient. In this scenario, Phase 0 (zero) trials should allow an early evaluation in humans of pharmacokinetic and pharmacodynamic profiles of test compounds through administration of sub-pharmacological doses and for a short time period to a low number of humans. Typically, Phase 0 studies have no therapeutic or diagnostic intent. Owing to the low doses administered and the low risk of toxicity, shorter preclinical packages to support these studies are required. Phase 0 trials have been proposed to help in making an early selection of promising candidates for further evaluation in Phase I-III trials, providing a potentially useful instrument for drug discovery, particularly in the field of oncology. Phase 0 studies are expected to reduce costs of drug development, and to limit the preclinical in vitro and in vivo testing and the time period of drug development. However, there are also concerns about the utility and feasibility of Phase 0 studies. In January 2006, guidelines on exploratory investigational new drug studies in humans have been published by the US FDA, and currently a Phase 0 programme is ongoing at the National Cancer Institute to evaluate the impact (feasibility and utility) of Phase 0 studies on drug development. In Europe, a Position Paper produced by the Evaluation of Medicinal Products (EMEA) in 2004 raised the possibility of a reduced preclinical safety package to support early microdose clinical studies, and, as announced by a recent Concept Paper on medicinal products published by the committee for medicinal products for human use of the EMEA, EMEA's guidelines on Phase 0 studies are expected shortly. The true impact …","author":[{"dropping-particle":"","family":"Marchetti","given":"S.","non-dropping-particle":"","parse-names":false,"suffix":""},{"dropping-particle":"","family":"Schellens","given":"J. H.M.","non-dropping-particle":"","parse-names":false,"suffix":""}],"container-title":"British Journal of Cancer","id":"ITEM-1","issue":"5","issued":{"date-parts":[["2007","8","28"]]},"page":"577-581","publisher":"Nature Publishing Group","title":"The impact of FDA and EMEA guidelines on drug development in relation to Phase 0 trials","type":"article","volume":"97"},"uris":["http://www.mendeley.com/documents/?uuid=59c36a68-3f55-3623-994a-7bb4a5fa6e75"]}],"mendeley":{"formattedCitation":"(MARCHETTI; SCHELLENS, 2007)","plainTextFormattedCitation":"(MARCHETTI; SCHELLENS, 2007)","previouslyFormattedCitation":"(MARCHETTI; SCHELLENS, 2007)"},"properties":{"noteIndex":0},"schema":"https://github.com/citation-style-language/schema/raw/master/csl-citation.json"}</w:instrText>
      </w:r>
      <w:r w:rsidRPr="00A15A26">
        <w:fldChar w:fldCharType="separate"/>
      </w:r>
      <w:r w:rsidRPr="00A15A26">
        <w:rPr>
          <w:noProof/>
        </w:rPr>
        <w:t>(MARCHETTI; SCHELLENS, 2007)</w:t>
      </w:r>
      <w:r w:rsidRPr="00A15A26">
        <w:fldChar w:fldCharType="end"/>
      </w:r>
    </w:p>
    <w:p w14:paraId="758B9B09" w14:textId="700F6ED6" w:rsidR="00AF3B5F" w:rsidRPr="00D0039C" w:rsidRDefault="00AF3B5F" w:rsidP="000D390F">
      <w:pPr>
        <w:spacing w:line="360" w:lineRule="auto"/>
        <w:ind w:firstLine="708"/>
        <w:jc w:val="both"/>
      </w:pPr>
      <w:r w:rsidRPr="00D0039C">
        <w:t xml:space="preserve">Antes </w:t>
      </w:r>
      <w:r>
        <w:t>que um</w:t>
      </w:r>
      <w:r w:rsidRPr="00D0039C">
        <w:t xml:space="preserve"> novo fármaco seja testado em humanos, </w:t>
      </w:r>
      <w:r>
        <w:t xml:space="preserve">isto é, ir para a fase clínica </w:t>
      </w:r>
      <w:r w:rsidRPr="00D0039C">
        <w:t xml:space="preserve">é necessário </w:t>
      </w:r>
      <w:r w:rsidRPr="00B263A9">
        <w:t>estar fundamentada na experimentação prévia, realizada em laboratórios, utilizando-se animais ou outros modelos experimentais quando pertinente</w:t>
      </w:r>
      <w:r>
        <w:t xml:space="preserve"> (BRASIL, 2012), que será tratado neste capítulo.</w:t>
      </w:r>
    </w:p>
    <w:p w14:paraId="07C7ABB3" w14:textId="40865A8D" w:rsidR="00AF3B5F" w:rsidRDefault="00AF3B5F" w:rsidP="000D390F">
      <w:pPr>
        <w:spacing w:line="360" w:lineRule="auto"/>
        <w:ind w:firstLine="360"/>
        <w:jc w:val="both"/>
        <w:rPr>
          <w:b/>
          <w:color w:val="FF0000"/>
        </w:rPr>
      </w:pPr>
      <w:r>
        <w:t>Caso seja aprovado para comercialização no Brasil, o novo medicamento deve seguir todas as normas da Resoluação N</w:t>
      </w:r>
      <w:r>
        <w:rPr>
          <w:vertAlign w:val="superscript"/>
        </w:rPr>
        <w:t xml:space="preserve">o </w:t>
      </w:r>
      <w:r>
        <w:t>200 (ANVISA, 2017), onde dispõe de critérios para a concessão e renovação do registro de medicamentos com princípio ativo sintético e semissintético, classificado como novo</w:t>
      </w:r>
      <w:r w:rsidR="00B80BCF">
        <w:t>.</w:t>
      </w:r>
    </w:p>
    <w:p w14:paraId="12129639" w14:textId="77777777" w:rsidR="00AF3B5F" w:rsidRPr="004245FA" w:rsidRDefault="00AF3B5F" w:rsidP="00AF3B5F">
      <w:pPr>
        <w:spacing w:line="360" w:lineRule="auto"/>
        <w:jc w:val="both"/>
        <w:rPr>
          <w:b/>
        </w:rPr>
      </w:pPr>
    </w:p>
    <w:p w14:paraId="6E19B1EA" w14:textId="79D26293" w:rsidR="00AF3B5F" w:rsidRPr="000D390F" w:rsidRDefault="000D390F" w:rsidP="000D390F">
      <w:pPr>
        <w:spacing w:line="360" w:lineRule="auto"/>
        <w:jc w:val="both"/>
        <w:rPr>
          <w:b/>
        </w:rPr>
      </w:pPr>
      <w:r w:rsidRPr="000D390F">
        <w:rPr>
          <w:b/>
        </w:rPr>
        <w:t xml:space="preserve">Estudos </w:t>
      </w:r>
      <w:r>
        <w:rPr>
          <w:b/>
        </w:rPr>
        <w:t>P</w:t>
      </w:r>
      <w:r w:rsidRPr="000D390F">
        <w:rPr>
          <w:b/>
        </w:rPr>
        <w:t xml:space="preserve">ré-clinicos ou </w:t>
      </w:r>
      <w:r>
        <w:rPr>
          <w:b/>
        </w:rPr>
        <w:t>F</w:t>
      </w:r>
      <w:r w:rsidRPr="000D390F">
        <w:rPr>
          <w:b/>
        </w:rPr>
        <w:t xml:space="preserve">ase 0 </w:t>
      </w:r>
    </w:p>
    <w:p w14:paraId="6ACB5A76" w14:textId="77777777" w:rsidR="00AF3B5F" w:rsidRPr="00800902" w:rsidRDefault="00AF3B5F" w:rsidP="000D390F">
      <w:pPr>
        <w:spacing w:line="360" w:lineRule="auto"/>
        <w:ind w:firstLine="708"/>
        <w:jc w:val="both"/>
      </w:pPr>
      <w:r w:rsidRPr="00983D57">
        <w:t xml:space="preserve">James </w:t>
      </w:r>
      <w:r>
        <w:t>(</w:t>
      </w:r>
      <w:r w:rsidRPr="00983D57">
        <w:t xml:space="preserve">2015) </w:t>
      </w:r>
      <w:r>
        <w:t>e</w:t>
      </w:r>
      <w:r w:rsidRPr="00983D57">
        <w:t xml:space="preserve"> Gawai et al</w:t>
      </w:r>
      <w:r>
        <w:t>.</w:t>
      </w:r>
      <w:r w:rsidRPr="00983D57">
        <w:t xml:space="preserve"> </w:t>
      </w:r>
      <w:r>
        <w:t>(</w:t>
      </w:r>
      <w:r w:rsidRPr="00983D57">
        <w:t>2017</w:t>
      </w:r>
      <w:r>
        <w:t>)</w:t>
      </w:r>
      <w:r w:rsidRPr="00983D57">
        <w:t xml:space="preserve">, ambos referem que os principais objetivos e metas são determinados através do estabelecimento das ações </w:t>
      </w:r>
      <w:r w:rsidRPr="00983D57">
        <w:rPr>
          <w:i/>
        </w:rPr>
        <w:t xml:space="preserve">MoA Drugs Deciption </w:t>
      </w:r>
      <w:r w:rsidRPr="00983D57">
        <w:t>(MoA), avaliação da farmacocinética</w:t>
      </w:r>
      <w:r>
        <w:t xml:space="preserve"> (PK)</w:t>
      </w:r>
      <w:r w:rsidRPr="00983D57">
        <w:t>, farmacodinâmica</w:t>
      </w:r>
      <w:r>
        <w:t xml:space="preserve"> (PD)</w:t>
      </w:r>
      <w:r w:rsidRPr="00983D57">
        <w:t>, efeito terapêutico e possíveis eventos adversos, como também a determinação da sua faixa de dose, sendo etapas importantes e imprescindíveis, pois a partir de toda essa analise de dados s</w:t>
      </w:r>
      <w:r>
        <w:t xml:space="preserve">ão realizados estudos clínicos de </w:t>
      </w:r>
      <w:r w:rsidRPr="00983D57">
        <w:t xml:space="preserve">fase 1 com o intuito da realização de testes em seres humanos </w:t>
      </w:r>
      <w:r w:rsidRPr="00983D57">
        <w:fldChar w:fldCharType="begin" w:fldLock="1"/>
      </w:r>
      <w:r w:rsidRPr="00983D57">
        <w:instrText>ADDIN CSL_CITATION {"citationItems":[{"id":"ITEM-1","itemData":{"DOI":"10.4274/tjps.63935","ISSN":"1304530X","abstract":"In a move to speed up the development of new medicines, the Food and Drug Administration announced in January 2006 the creation of the exploratory Investigational New Drug (IND), the so-called phase ‘0’ clinical trials. This guidance is intended to clarify what preclinical and clinical approaches, as well as chemistry, manufacturing, and controls information, should be considered when planning exploratory studies in humans, including studies of closely related drugs or therapeutic biological products, under an IND application (21 CFR 312). Existing regulations allow a great deal of flexibility in the amount of data that needs to be submitted with an IND application, depending on the goals of the proposed investigation, the specific human testing proposed, and the expected risks. The agency believes that sponsors have not taken full advantage of that flexibility and often provide more supporting information in INDs than is required by regulations. This guidance is intended to clarify what manufacturing controls, preclinical testing, and clinical approache</w:instrText>
      </w:r>
      <w:r w:rsidRPr="006404AB">
        <w:instrText>s can be considered when planning limited, early exploratory IND studies in humans.","author":[{"dropping-particle":"","family":"Gawai","given":"Ashish A.","non-dropping-particle":"","parse-names":false,"suffix":""},{"dropping-particle":"","family":"Shaikh","given":"Faisal","non-dropping-particle":"","parse-names":false,"suffix":""},{"dropping-particle":"","family":"Gadekar","given":"Mangesh","non-dropping-particle":"","parse-names":false,"suffix":""},{"dropping-particle":"","family":"Deokar","given":"Nitin","non-dropping-particle":"","parse-names":false,"suffix":""},{"dropping-particle":"","family":"Kolhe","given":"Shivanand","non-dropping-particle":"","parse-names":false,"suffix":""},{"dropping-particle":"","family":"Biyani","given":"K. R.","non-dropping-particle":"","parse-names":false,"suffix":""}],"container-title":"Turkish Journal of Pharmaceutical Sciences","id":"ITEM-1","issue":"1","issued":{"date-parts":[["2017","4","15"]]},"page":"84-89","publisher":"Turkish Pharmacists Association","title":"Klinik Faz ‘0’Testleri ya da Yeni İlaç Keşif Araştırmaları Üzerine Bir Derleme","type":"article","volume":"14"},"uris":["http://www.mendeley.com/documents/?uuid=a69f7a6c-13f7-348f-b7f2-cb324c1f265c"]}],"mendeley":{"formattedCitation":"(GAWAI et al., 2017)","plainTextFormattedCitation":"(GAWAI et</w:instrText>
      </w:r>
      <w:r w:rsidRPr="00C91BC5">
        <w:instrText xml:space="preserve"> al., 2017)","previouslyFormattedCitation":"(GAWAI et al., 2017)"},"properties":{"noteIndex":0},"schema":"https://github.com/citation-style-language/schema/raw/master/csl-citation.json"}</w:instrText>
      </w:r>
      <w:r w:rsidRPr="00983D57">
        <w:fldChar w:fldCharType="separate"/>
      </w:r>
      <w:r w:rsidRPr="00C91BC5">
        <w:rPr>
          <w:noProof/>
        </w:rPr>
        <w:t>(GAWAI et al., 2017)</w:t>
      </w:r>
      <w:r w:rsidRPr="00983D57">
        <w:fldChar w:fldCharType="end"/>
      </w:r>
      <w:r>
        <w:t>.</w:t>
      </w:r>
    </w:p>
    <w:p w14:paraId="165A55D5" w14:textId="77777777" w:rsidR="00AF3B5F" w:rsidRDefault="00AF3B5F" w:rsidP="00AF3B5F">
      <w:pPr>
        <w:spacing w:line="360" w:lineRule="auto"/>
        <w:ind w:firstLine="708"/>
        <w:jc w:val="both"/>
      </w:pPr>
      <w:r>
        <w:rPr>
          <w:bCs/>
        </w:rPr>
        <w:t>Basicamente, a etapa pré-clínica analisa a segurança e a eficácia dos fármacos, onde s</w:t>
      </w:r>
      <w:r>
        <w:t>ão realizados os seguintes testes (</w:t>
      </w:r>
      <w:r w:rsidRPr="00A93DB5">
        <w:rPr>
          <w:noProof/>
        </w:rPr>
        <w:t>PIERONI</w:t>
      </w:r>
      <w:r>
        <w:rPr>
          <w:noProof/>
        </w:rPr>
        <w:t xml:space="preserve"> et al., 2009</w:t>
      </w:r>
      <w:r>
        <w:t>):</w:t>
      </w:r>
    </w:p>
    <w:p w14:paraId="229B94B0" w14:textId="77777777" w:rsidR="00AF3B5F" w:rsidRDefault="00AF3B5F" w:rsidP="00AF3B5F">
      <w:pPr>
        <w:pStyle w:val="PargrafodaLista"/>
        <w:numPr>
          <w:ilvl w:val="0"/>
          <w:numId w:val="14"/>
        </w:numPr>
        <w:spacing w:line="360" w:lineRule="auto"/>
        <w:jc w:val="both"/>
      </w:pPr>
      <w:r>
        <w:t>Teste de segurança;</w:t>
      </w:r>
    </w:p>
    <w:p w14:paraId="45A3E247" w14:textId="77777777" w:rsidR="00AF3B5F" w:rsidRPr="007F6928" w:rsidRDefault="00AF3B5F" w:rsidP="00AF3B5F">
      <w:pPr>
        <w:pStyle w:val="PargrafodaLista"/>
        <w:numPr>
          <w:ilvl w:val="0"/>
          <w:numId w:val="14"/>
        </w:numPr>
        <w:spacing w:line="360" w:lineRule="auto"/>
        <w:jc w:val="both"/>
      </w:pPr>
      <w:r>
        <w:t>Teste de eficácia.</w:t>
      </w:r>
    </w:p>
    <w:p w14:paraId="3B2C9C6E" w14:textId="77777777" w:rsidR="00AF3B5F" w:rsidRDefault="00AF3B5F" w:rsidP="00AF3B5F">
      <w:pPr>
        <w:pStyle w:val="PargrafodaLista"/>
        <w:spacing w:line="360" w:lineRule="auto"/>
        <w:jc w:val="both"/>
        <w:rPr>
          <w:b/>
        </w:rPr>
      </w:pPr>
    </w:p>
    <w:p w14:paraId="3979EB3F" w14:textId="171C99F7" w:rsidR="00AF3B5F" w:rsidRPr="00ED1D96" w:rsidRDefault="00AF3B5F" w:rsidP="00AF3B5F">
      <w:pPr>
        <w:spacing w:line="360" w:lineRule="auto"/>
        <w:jc w:val="both"/>
        <w:rPr>
          <w:b/>
        </w:rPr>
      </w:pPr>
      <w:r w:rsidRPr="009C4360">
        <w:rPr>
          <w:b/>
        </w:rPr>
        <w:t xml:space="preserve">Testes de segurança </w:t>
      </w:r>
    </w:p>
    <w:p w14:paraId="1542AE13" w14:textId="77777777" w:rsidR="00AF3B5F" w:rsidRDefault="00AF3B5F" w:rsidP="00AF3B5F">
      <w:pPr>
        <w:spacing w:line="360" w:lineRule="auto"/>
        <w:jc w:val="both"/>
      </w:pPr>
      <w:r>
        <w:rPr>
          <w:b/>
        </w:rPr>
        <w:t xml:space="preserve">Testes toxicológicos - </w:t>
      </w:r>
      <w:r>
        <w:t>Tem como objetivo obter informações que levem a garantia de segurança dos novos compostos, onde serão utilizados em estudos de fase clínica e depois ocorrerá sua comercialização. Essa fase requer várias agências reguladoras e segue critérios rígidos e específicos que normalmente diferem entre as regiões. A</w:t>
      </w:r>
      <w:r w:rsidRPr="009C4360">
        <w:t xml:space="preserve"> Anvisa usa o termo “estudos não clínicos”</w:t>
      </w:r>
      <w:r>
        <w:t xml:space="preserve"> </w:t>
      </w:r>
      <w:r w:rsidRPr="009C4360">
        <w:t>na sua guia específica sobre os estudos de toxicologia e segurança farmacológica que</w:t>
      </w:r>
      <w:r>
        <w:t xml:space="preserve"> </w:t>
      </w:r>
      <w:r w:rsidRPr="009C4360">
        <w:t xml:space="preserve">são necessários para o desenvolvimento de medicamentos </w:t>
      </w:r>
      <w:r>
        <w:t xml:space="preserve">no Brasil </w:t>
      </w:r>
      <w:r w:rsidRPr="009C4360">
        <w:t>(ANVISA, 2013). Neste</w:t>
      </w:r>
      <w:r>
        <w:t xml:space="preserve"> </w:t>
      </w:r>
      <w:r w:rsidRPr="009C4360">
        <w:t xml:space="preserve">caso, os estudos não clínicos de segurança propostos </w:t>
      </w:r>
      <w:r>
        <w:t>envolvem</w:t>
      </w:r>
      <w:r w:rsidRPr="009C4360">
        <w:t xml:space="preserve"> os estudos de toxicidade</w:t>
      </w:r>
      <w:r>
        <w:t xml:space="preserve"> </w:t>
      </w:r>
      <w:r w:rsidRPr="009C4360">
        <w:t>de dose única (aguda), toxicidade de doses repetidas, toxicidade reprodutiva,</w:t>
      </w:r>
      <w:r>
        <w:t xml:space="preserve"> </w:t>
      </w:r>
      <w:r w:rsidRPr="009C4360">
        <w:t>genotoxicidade, tolerância local e carcinogenicidade além de estudos de interesse na</w:t>
      </w:r>
      <w:r>
        <w:t xml:space="preserve"> </w:t>
      </w:r>
      <w:r w:rsidRPr="009C4360">
        <w:t>avaliação da segurança farmacológica e toxicocinética</w:t>
      </w:r>
      <w:r>
        <w:t>.</w:t>
      </w:r>
      <w:r w:rsidRPr="009C4360">
        <w:t xml:space="preserve"> </w:t>
      </w:r>
      <w:r>
        <w:rPr>
          <w:bCs/>
        </w:rPr>
        <w:t xml:space="preserve">Apesar da Anvisa apresentar o guia </w:t>
      </w:r>
      <w:r w:rsidRPr="009C4360">
        <w:rPr>
          <w:bCs/>
        </w:rPr>
        <w:t>para a condução de estudos não clínicos de</w:t>
      </w:r>
      <w:r>
        <w:rPr>
          <w:bCs/>
        </w:rPr>
        <w:t xml:space="preserve"> </w:t>
      </w:r>
      <w:r w:rsidRPr="009C4360">
        <w:rPr>
          <w:bCs/>
        </w:rPr>
        <w:t>segurança durante o desenvolvimento de medicamentos, caso o</w:t>
      </w:r>
      <w:r>
        <w:rPr>
          <w:bCs/>
        </w:rPr>
        <w:t xml:space="preserve"> </w:t>
      </w:r>
      <w:r w:rsidRPr="009C4360">
        <w:rPr>
          <w:bCs/>
        </w:rPr>
        <w:t>pesquisador/instituição consiga comprovar a segurança desses fármacos por outros</w:t>
      </w:r>
      <w:r>
        <w:rPr>
          <w:bCs/>
        </w:rPr>
        <w:t xml:space="preserve"> </w:t>
      </w:r>
      <w:r w:rsidRPr="009C4360">
        <w:rPr>
          <w:bCs/>
        </w:rPr>
        <w:t>estudos científica e tecnicamente mais viáveis, os dados apresentados poderão ser</w:t>
      </w:r>
      <w:r>
        <w:rPr>
          <w:bCs/>
        </w:rPr>
        <w:t xml:space="preserve"> </w:t>
      </w:r>
      <w:r w:rsidRPr="009C4360">
        <w:rPr>
          <w:bCs/>
        </w:rPr>
        <w:t xml:space="preserve">avaliados pela ANVISA. O uso de métodos alternativos </w:t>
      </w:r>
      <w:r w:rsidRPr="009C4360">
        <w:rPr>
          <w:bCs/>
          <w:i/>
          <w:iCs/>
        </w:rPr>
        <w:t>in vitro</w:t>
      </w:r>
      <w:r w:rsidRPr="009C4360">
        <w:rPr>
          <w:bCs/>
        </w:rPr>
        <w:t xml:space="preserve"> em substituição a estudos</w:t>
      </w:r>
      <w:r>
        <w:rPr>
          <w:bCs/>
        </w:rPr>
        <w:t xml:space="preserve"> </w:t>
      </w:r>
      <w:r w:rsidRPr="009C4360">
        <w:rPr>
          <w:bCs/>
          <w:i/>
          <w:iCs/>
        </w:rPr>
        <w:t>in vivo</w:t>
      </w:r>
      <w:r w:rsidRPr="009C4360">
        <w:rPr>
          <w:bCs/>
        </w:rPr>
        <w:t>, desde que validados e aceitos internacionalmente são recomendados</w:t>
      </w:r>
      <w:r>
        <w:rPr>
          <w:bCs/>
        </w:rPr>
        <w:t xml:space="preserve"> (ANVISA, 2013)</w:t>
      </w:r>
      <w:r w:rsidRPr="009C4360">
        <w:rPr>
          <w:bCs/>
        </w:rPr>
        <w:t>.</w:t>
      </w:r>
      <w:r>
        <w:rPr>
          <w:bCs/>
        </w:rPr>
        <w:t xml:space="preserve"> </w:t>
      </w:r>
      <w:r>
        <w:t xml:space="preserve">A partir dos dados avaliados nessa fase, são demostrados os intervalos terapêuticos que serão utilizados nos estudos clínicos e seus potenciais efeitos adversos. De acordo com os dados obtidos nos testes </w:t>
      </w:r>
      <w:r w:rsidRPr="00F23092">
        <w:rPr>
          <w:i/>
        </w:rPr>
        <w:t xml:space="preserve">in vivo, in vitro e ex vivo </w:t>
      </w:r>
      <w:r>
        <w:t xml:space="preserve">são avaliados cinco parâmetros, a dose máxima possível, máxima tolerada, dose letal, dose limiar e a dose responsável pela saturação do órgão alvo </w:t>
      </w:r>
      <w:r>
        <w:fldChar w:fldCharType="begin" w:fldLock="1"/>
      </w:r>
      <w:r>
        <w:instrText>ADDIN CSL_CITATION {"citationItems":[{"id":"ITEM-1","itemData":{"DOI":"10.1007/s00894-011-1219-9","ISSN":"0948-5023","PMID":"21901409","abstract":"In modern drug discovery process, ADME/Tox properties should be determined as early as possible in the test cascade to allow a timely assessment of their property profiles. To help medicinal chemists in designing new compounds with improved pharmacokinetics, the knowledge of the soft spot position or the site of metabolism (SOM) is needed. In silico methods based on docking, molecular dynamics and quantum chemical calculations can bring us closer to understand drug metabolism and predict drug-drug interactions. We report herein on a combined methodology to explore the site of metabolism prediction of a new cardioactive drug prototype, LASSBio-294 (1), using MetaPrint2D to predict the most likely metabolites, combined with structure-based tools using docking, molecular dynamics and quantum mechanical calculations to predict the binding of the substrate to CYP2C9 enzyme, to estimate the binding free energy and to study the energy profiles for the oxidation of (1). Additionally, the computational study was correlated with a metabolic fingerprint profiling using LC-MS analysis. The results obtained using the computational methods gave valuable information about the probable metabolites of (1) (qualitatively) and also about the important interactions of this lead compound with the amino acid residues of the active site of CYP2C9. Moreover, using a combination of different levels of theory sheds light on the understanding of (1) metabolism by CYP2C9 and its mechanisms. The metabolic fingerprint profiling of (1) has shown that the metabolites founded in highest concentration in different species were metabolites M1, M2 and M3, whereas M8 was found to be a minor metabolite. Therefore, our computational study allowed a qualitative prediction for the metabolism of (1). The approach presented here has afforded new opportunities to improve metabolite identification strategies, mediated by not only CYP2C9 but also other CYP450 family enzymes.","author":[{"dropping-particle":"","family":"Braga","given":"Rodolpho C","non-dropping-particle":"","parse-names":false,"suffix":""},{"dropping-particle":"","family":"Alves","given":"Vinícius M","non-dropping-particle":"","parse-names":false,"suffix":""},{"dropping-particle":"","family":"Fraga","given":"Carlos A M","non-dropping-particle":"","parse-names":false,"suffix":""},{"dropping-particle":"","family":"Barreiro","given":"Eliezer J","non-dropping-particle":"","parse-names":false,"suffix":""},{"dropping-particle":"","family":"Oliveira","given":"Valéria","non-dropping-particle":"de","parse-names":false,"suffix":""},{"dropping-particle":"","family":"Andrade","given":"Carolina H","non-dropping-particle":"","parse-names":false,"suffix":""}],"container-title":"Journal of molecular modeling","id":"ITEM-1","issue":"5","issued":{"date-parts":[["2012","5"]]},"page":"2065-78","title":"Combination of docking, molecular dynamics and quantum mechanical calculations for metabolism prediction of 3,4-methylenedioxybenzoyl-2-thienylhydrazone.","type":"article-journal","volume":"18"},"uris":["http://www.mendeley.com/documents/?uuid=55ae7c31-bbd4-3b03-84cc-9d7e37a99973"]}],"mendeley":{"formattedCitation":"(BRAGA et al., 2012)","plainTextFormattedCitation":"(BRAGA et al., 2012)","previouslyFormattedCitation":"(BRAGA et al., 2012)"},"properties":{"noteIndex":0},"schema":"https://github.com/citation-style-language/schema/raw/master/csl-citation.json"}</w:instrText>
      </w:r>
      <w:r>
        <w:fldChar w:fldCharType="separate"/>
      </w:r>
      <w:r w:rsidRPr="00C364E0">
        <w:rPr>
          <w:noProof/>
        </w:rPr>
        <w:t>(BRAGA et al., 2012)</w:t>
      </w:r>
      <w:r>
        <w:fldChar w:fldCharType="end"/>
      </w:r>
      <w:r>
        <w:t>. No caso de medicamentos fitoterápicos, existe a Resolução N</w:t>
      </w:r>
      <w:r w:rsidRPr="00800902">
        <w:rPr>
          <w:vertAlign w:val="superscript"/>
        </w:rPr>
        <w:t>o</w:t>
      </w:r>
      <w:r>
        <w:t xml:space="preserve"> 90 (ANIVSA, 2004) específica para este tipo de medicamento. </w:t>
      </w:r>
      <w:r w:rsidRPr="00A93DB5">
        <w:rPr>
          <w:bCs/>
        </w:rPr>
        <w:t xml:space="preserve">Os testes toxicológicos são o principal componente do desenvolvimento pré-clínico, constituindo, em média, 50% dos custos totais </w:t>
      </w:r>
      <w:r>
        <w:rPr>
          <w:bCs/>
        </w:rPr>
        <w:t>(</w:t>
      </w:r>
      <w:r w:rsidRPr="00A93DB5">
        <w:rPr>
          <w:bCs/>
        </w:rPr>
        <w:t>KREGER</w:t>
      </w:r>
      <w:r>
        <w:rPr>
          <w:bCs/>
        </w:rPr>
        <w:t>;</w:t>
      </w:r>
      <w:r w:rsidRPr="00A93DB5">
        <w:rPr>
          <w:bCs/>
        </w:rPr>
        <w:t xml:space="preserve"> FELDMAN</w:t>
      </w:r>
      <w:r>
        <w:rPr>
          <w:bCs/>
        </w:rPr>
        <w:t xml:space="preserve">, </w:t>
      </w:r>
      <w:r w:rsidRPr="00A93DB5">
        <w:rPr>
          <w:bCs/>
        </w:rPr>
        <w:t>2004).</w:t>
      </w:r>
    </w:p>
    <w:p w14:paraId="3A1CCEBE" w14:textId="77777777" w:rsidR="00AF3B5F" w:rsidRDefault="00AF3B5F" w:rsidP="00AF3B5F">
      <w:pPr>
        <w:spacing w:line="360" w:lineRule="auto"/>
        <w:jc w:val="both"/>
      </w:pPr>
      <w:r w:rsidRPr="00A93DB5">
        <w:rPr>
          <w:b/>
          <w:bCs/>
        </w:rPr>
        <w:t>Química bioanalítica</w:t>
      </w:r>
      <w:r>
        <w:t xml:space="preserve"> -</w:t>
      </w:r>
      <w:r w:rsidRPr="00A93DB5">
        <w:t xml:space="preserve"> mensura a presença de compostos na droga ou a existência de componentes moleculares em materiais como fluidos ou tecidos, para melhor entendimento dos</w:t>
      </w:r>
      <w:r>
        <w:t xml:space="preserve"> </w:t>
      </w:r>
      <w:r w:rsidRPr="00A93DB5">
        <w:t>testes toxicológicos</w:t>
      </w:r>
      <w:r>
        <w:t>.</w:t>
      </w:r>
    </w:p>
    <w:p w14:paraId="3C9CF0D6" w14:textId="77777777" w:rsidR="000D390F" w:rsidRDefault="000D390F" w:rsidP="00AF3B5F">
      <w:pPr>
        <w:spacing w:line="360" w:lineRule="auto"/>
        <w:jc w:val="both"/>
        <w:rPr>
          <w:b/>
          <w:bCs/>
        </w:rPr>
      </w:pPr>
    </w:p>
    <w:p w14:paraId="30AC07FF" w14:textId="48388D99" w:rsidR="00AF3B5F" w:rsidRDefault="00AF3B5F" w:rsidP="00AF3B5F">
      <w:pPr>
        <w:spacing w:line="360" w:lineRule="auto"/>
        <w:jc w:val="both"/>
        <w:rPr>
          <w:b/>
          <w:bCs/>
        </w:rPr>
      </w:pPr>
      <w:r w:rsidRPr="00A93DB5">
        <w:rPr>
          <w:b/>
          <w:bCs/>
        </w:rPr>
        <w:t>Teste</w:t>
      </w:r>
      <w:r>
        <w:rPr>
          <w:b/>
          <w:bCs/>
        </w:rPr>
        <w:t>s</w:t>
      </w:r>
      <w:r w:rsidRPr="00A93DB5">
        <w:rPr>
          <w:b/>
          <w:bCs/>
        </w:rPr>
        <w:t xml:space="preserve"> de eficácia</w:t>
      </w:r>
    </w:p>
    <w:p w14:paraId="52BB811A" w14:textId="77777777" w:rsidR="00AF3B5F" w:rsidRDefault="00AF3B5F" w:rsidP="00AF3B5F">
      <w:pPr>
        <w:spacing w:line="360" w:lineRule="auto"/>
        <w:jc w:val="both"/>
      </w:pPr>
      <w:r>
        <w:rPr>
          <w:b/>
        </w:rPr>
        <w:t xml:space="preserve">Análise farmacológica - </w:t>
      </w:r>
      <w:r>
        <w:t xml:space="preserve">Possui como característica a avaliação da farmacocinética (absorção, distribuição, metabolismo e excreção) e da farmacodinâmica. Normalmente são avaliados dois possíveis fármacos, onde serão categorizados suas vantagens e desvantagens e ao final será selecionado um agente de maior benefício. Nessa fase, as doses são mais elevados do que o estudo de microdosagem ou de imagem, essa fase tem como objetivo principal determinar qual seria a dosagem mais segura e máxima permitida, através dos estudos de toxicologia pré-clínica </w:t>
      </w:r>
      <w:r>
        <w:fldChar w:fldCharType="begin" w:fldLock="1"/>
      </w:r>
      <w:r>
        <w:instrText>ADDIN CSL_CITATION {"citationItems":[{"id":"ITEM-1","itemData":{"DOI":"10.4103/2229-3485.76285","ISSN":"2229-3485","abstract":"Research focus of pharmaceutical industry has expanded to a larger extent in last few decades putting many more new molecules, particularly targeted agents, for the clinical development. On the other hand, researchers are facing serious challenges due to high failure rates of new molecules in clinical studies. The United States Food and Drug Administration (FDA) in combination with academia and industry experts identified many factors responsible for failures of new molecules, and with a vision of taking traditional drug development model toward an innovative paradigm shift, issued regulatory guidance on conduct of exploratory investigational new drug (exploratory IND) studies, often called as phase 0 clinical trials, requiring reduced preclinical testing, which has special relevance to life-threatening diseases such as cancer. Phase 0 trials, utilizing much lower drug doses, provide an opportunity to explore the clinical behavior of new molecules very early in the drug development pathway, helping to identify the promising candidates and eliminating non-promising molecules, thus improving the efficiency of overall drug development with significant savings of resources. Being non-therapeutic in nature, these studies, however, pose certain ethical challenges requiring careful study designing and informed consent process. This article reviews the insights and perspectives for the feasibility, utility, planning, designing and conduct of phase 0 clinical trials, in addition to ethical issues and industrial perspective focused at oncology new drug development.","author":[{"dropping-particle":"","family":"Gupta","given":"UmeshChandra","non-dropping-particle":"","parse-names":false,"suffix":""},{"dropping-particle":"","family":"Bhatia","given":"Sandeep","non-dropping-particle":"","parse-names":false,"suffix":""},{"dropping-particle":"","family":"Garg","given":"Amit","non-dropping-particle":"","parse-names":false,"suffix":""},{"dropping-particle":"","family":"Sharma","given":"Amit","non-dropping-particle":"","parse-names":false,"suffix":""},{"dropping-particle":"","family":"Choudhary","given":"Vaibhav","non-dropping-particle":"","parse-names":false,"suffix":""}],"container-title":"Perspectives in Clinical Research","id":"ITEM-1","issue":"1","issued":{"date-parts":[["2011"]]},"page":"13","publisher":"Medknow","title":"Phase 0 clinical trials in oncology new drug development","type":"article-journal","volume":"2"},"uris":["http://www.mendeley.com/documents/?uuid=d0c68a13-7bfb-3ea8-bcb0-9c6689f0d913"]}],"mendeley":{"formattedCitation":"(GUPTA et al., 2011)","plainTextFormattedCitation":"(GUPTA et al., 2011)","previouslyFormattedCitation":"(GUPTA et al., 2011)"},"properties":{"noteIndex":0},"schema":"https://github.com/citation-style-language/schema/raw/master/csl-citation.json"}</w:instrText>
      </w:r>
      <w:r>
        <w:fldChar w:fldCharType="separate"/>
      </w:r>
      <w:r w:rsidRPr="00C364E0">
        <w:rPr>
          <w:noProof/>
        </w:rPr>
        <w:t>(GUPTA et al., 2011)</w:t>
      </w:r>
      <w:r>
        <w:fldChar w:fldCharType="end"/>
      </w:r>
      <w:r>
        <w:t xml:space="preserve">. </w:t>
      </w:r>
    </w:p>
    <w:p w14:paraId="7E549683" w14:textId="77777777" w:rsidR="00AF3B5F" w:rsidRPr="00A93DB5" w:rsidRDefault="00AF3B5F" w:rsidP="00AF3B5F">
      <w:pPr>
        <w:spacing w:line="360" w:lineRule="auto"/>
        <w:jc w:val="both"/>
      </w:pPr>
      <w:r w:rsidRPr="00A93DB5">
        <w:rPr>
          <w:b/>
          <w:bCs/>
        </w:rPr>
        <w:t>Análise do produto e fabricação</w:t>
      </w:r>
      <w:r w:rsidRPr="00A93DB5">
        <w:t xml:space="preserve"> - análise química dos compostos em relação a estabilidade, pureza e aceitação em um processo de produção.</w:t>
      </w:r>
    </w:p>
    <w:p w14:paraId="3B9AB561" w14:textId="77777777" w:rsidR="000D390F" w:rsidRDefault="000D390F" w:rsidP="00AF3B5F">
      <w:pPr>
        <w:spacing w:line="360" w:lineRule="auto"/>
        <w:jc w:val="both"/>
        <w:rPr>
          <w:b/>
        </w:rPr>
      </w:pPr>
    </w:p>
    <w:p w14:paraId="26271149" w14:textId="51D6E1A1" w:rsidR="00AF3B5F" w:rsidRDefault="00AF3B5F" w:rsidP="00AF3B5F">
      <w:pPr>
        <w:spacing w:line="360" w:lineRule="auto"/>
        <w:jc w:val="both"/>
        <w:rPr>
          <w:b/>
        </w:rPr>
      </w:pPr>
      <w:r>
        <w:rPr>
          <w:b/>
        </w:rPr>
        <w:t>Tipos de testes farmacológicos</w:t>
      </w:r>
    </w:p>
    <w:p w14:paraId="43CEE7C6" w14:textId="77777777" w:rsidR="00AF3B5F" w:rsidRPr="000D390F" w:rsidRDefault="00AF3B5F" w:rsidP="000D390F">
      <w:pPr>
        <w:spacing w:line="360" w:lineRule="auto"/>
        <w:jc w:val="both"/>
        <w:rPr>
          <w:b/>
        </w:rPr>
      </w:pPr>
      <w:r w:rsidRPr="000D390F">
        <w:rPr>
          <w:b/>
        </w:rPr>
        <w:t xml:space="preserve">Abordagem </w:t>
      </w:r>
      <w:r w:rsidRPr="000D390F">
        <w:rPr>
          <w:b/>
          <w:i/>
          <w:iCs/>
        </w:rPr>
        <w:t>In vivo</w:t>
      </w:r>
    </w:p>
    <w:p w14:paraId="739E70FE" w14:textId="77777777" w:rsidR="00AF3B5F" w:rsidRPr="00C66434" w:rsidRDefault="00AF3B5F" w:rsidP="00AF3B5F">
      <w:pPr>
        <w:spacing w:line="360" w:lineRule="auto"/>
        <w:jc w:val="both"/>
      </w:pPr>
      <w:r>
        <w:t xml:space="preserve">São realizados através das análises de metabólitos presentes na corrente sanguínea, sistema urinário e nas fezes dos animais selecionados </w:t>
      </w:r>
      <w:r>
        <w:fldChar w:fldCharType="begin" w:fldLock="1"/>
      </w:r>
      <w:r>
        <w:instrText>ADDIN CSL_CITATION {"citationItems":[{"id":"ITEM-1","itemData":{"DOI":"10.1007/s00894-011-1219-9","ISSN":"0948-5023","PMID":"21901409","abstract":"In modern drug discovery process, ADME/Tox properties should be determined as early as possible in the test cascade to allow a timely assessment of their property profiles. To help medicinal chemists in designing new compounds with improved pharmacokinetics, the knowledge of the soft spot position or the site of metabolism (SOM) is needed. In silico methods based on docking, molecular dynamics and quantum chemical calculations can bring us closer to understand drug metabolism and predict drug-drug interactions. We report herein on a combined methodology to explore the site of metabolism prediction of a new cardioactive drug prototype, LASSBio-294 (1), using MetaPrint2D to predict the most likely metabolites, combined with structure-based tools using docking, molecular dynamics and quantum mechanical calculations to predict the binding of the substrate to CYP2C9 enzyme, to estimate the binding free energy and to study the energy profiles for the oxidation of (1). Additionally, the computational study was correlated with a metabolic fingerprint profiling using LC-MS analysis. The results obtained using the computational methods gave valuable information about the probable metabolites of (1) (qualitatively) and also about the important interactions of this lead compound with the amino acid residues of the active site of CYP2C9. Moreover, using a combination of different levels of theory sheds light on the understanding of (1) metabolism by CYP2C9 and its mechanisms. The metabolic fingerprint profiling of (1) has shown that the metabolites founded in highest concentration in different species were metabolites M1, M2 and M3, whereas M8 was found to be a minor metabolite. Therefore, our computational study allowed a qualitative prediction for the metabolism of (1). The approach presented here has afforded new opportunities to improve metabolite identification strategies, mediated by not only CYP2C9 but also other CYP450 family enzymes.","author":[{"dropping-particle":"","family":"Braga","given":"Rodolpho C","non-dropping-particle":"","parse-names":false,"suffix":""},{"dropping-particle":"","family":"Alves","given":"Vinícius M","non-dropping-particle":"","parse-names":false,"suffix":""},{"dropping-particle":"","family":"Fraga","given":"Carlos A M","non-dropping-particle":"","parse-names":false,"suffix":""},{"dropping-particle":"","family":"Barreiro","given":"Eliezer J","non-dropping-particle":"","parse-names":false,"suffix":""},{"dropping-particle":"","family":"Oliveira","given":"Valéria","non-dropping-particle":"de","parse-names":false,"suffix":""},{"dropping-particle":"","family":"Andrade","given":"Carolina H","non-dropping-particle":"","parse-names":false,"suffix":""}],"container-title":"Journal of molecular modeling","id":"ITEM-1","issue":"5","issued":{"date-parts":[["2012","5"]]},"page":"2065-78","title":"Combination of docking, molecular dynamics and quantum mechanical calculations for metabolism prediction of 3,4-methylenedioxybenzoyl-2-thienylhydrazone.","type":"article-journal","volume":"18"},"uris":["http://www.mendeley.com/documents/?uuid=55ae7c31-bbd4-3b03-84cc-9d7e37a99973"]}],"mendeley":{"formattedCitation":"(BRAGA et al., 2012)","plainTextFormattedCitation":"(BRAGA et al., 2012)","previouslyFormattedCitation":"(BRAGA et al., 2012)"},"properties":{"noteIndex":0},"schema":"https://github.com/citation-style-language/schema/raw/master/csl-citation.json"}</w:instrText>
      </w:r>
      <w:r>
        <w:fldChar w:fldCharType="separate"/>
      </w:r>
      <w:r w:rsidRPr="00A85875">
        <w:rPr>
          <w:noProof/>
        </w:rPr>
        <w:t>(BRAGA et al., 2012)</w:t>
      </w:r>
      <w:r>
        <w:fldChar w:fldCharType="end"/>
      </w:r>
      <w:r>
        <w:t xml:space="preserve">. Hoje, existem vários métodos que são utilizados para a triagem </w:t>
      </w:r>
      <w:r w:rsidRPr="0030726D">
        <w:rPr>
          <w:i/>
          <w:iCs/>
        </w:rPr>
        <w:t>in vivo</w:t>
      </w:r>
      <w:r>
        <w:t xml:space="preserve">, tais como </w:t>
      </w:r>
      <w:r w:rsidRPr="004149A2">
        <w:rPr>
          <w:i/>
        </w:rPr>
        <w:t xml:space="preserve">Rapid Rat </w:t>
      </w:r>
      <w:r>
        <w:rPr>
          <w:i/>
        </w:rPr>
        <w:t xml:space="preserve">oral PK screen e o cassete. </w:t>
      </w:r>
      <w:r>
        <w:t>Ambos</w:t>
      </w:r>
      <w:r>
        <w:rPr>
          <w:i/>
        </w:rPr>
        <w:t xml:space="preserve"> </w:t>
      </w:r>
      <w:r>
        <w:t xml:space="preserve">foram desenvolvidos com o intuito de serem aplicados e avaliados para estudar a estabilidade metabólica </w:t>
      </w:r>
      <w:r>
        <w:fldChar w:fldCharType="begin" w:fldLock="1"/>
      </w:r>
      <w:r>
        <w:instrText>ADDIN CSL_CITATION {"citationItems":[{"id":"ITEM-1","itemData":{"DOI":"10.1371/journal.pntd.0003435","ISSN":"1935-2735","PMID":"25569258","abstract":"Morbidity and mortality caused by schistosomiasis are serious public health problems in developing countries. Because praziquantel is the only drug in therapeutic use, the risk of drug resistance is a concern. In the search for new schistosomicidal drugs, we performed a target-based chemogenomics screen of a dataset of 2,114 proteins to identify drugs that are approved for clinical use in humans that may be active against multiple life stages of Schistosoma mansoni. Each of these proteins was treated as a potential drug target, and its amino acid sequence was used to interrogate three databases: Therapeutic Target Database (TTD), DrugBank and STITCH. Predicted drug-target interactions were refined using a combination of approaches, including pairwise alignment, conservation state of functional regions and chemical space analysis. To validate our strategy, several drugs previously shown to be active against Schistosoma species were correctly predicted, such as clonazepam, auranofin, nifedipine, and artesunate. We were also able to identify 115 drugs that have not yet been experimentally tested against schistosomes and that require further assessment. Some examples are aprindine, gentamicin, clotrimazole, tetrabenazine, griseofulvin, and cinnarizine. In conclusion, we have developed a systematic and focused computer-aided approach to propose approved drugs that may warrant testing and/or serve as lead compounds for the design of new drugs against schistosomes.","author":[{"dropping-particle":"","family":"Neves","given":"Bruno J","non-dropping-particle":"","parse-names":false,"suffix":""},{"dropping-particle":"","family":"Braga","given":"Rodolpho C","non-dropping-particle":"","parse-names":false,"suffix":""},{"dropping-particle":"","family":"Bezerra","given":"José C B","non-dropping-particle":"","parse-names":false,"suffix":""},{"dropping-particle":"","family":"Cravo","given":"Pedro V L","non-dropping-particle":"","parse-names":false,"suffix":""},{"dropping-particle":"","family":"Andrade","given":"Carolina H","non-dropping-particle":"","parse-names":false,"suffix":""}],"container-title":"PLoS neglected tropical diseases","id":"ITEM-1","issue":"1","issued":{"date-parts":[["2015","1"]]},"page":"e3435","publisher":"Public Library of Science","title":"In silico repositioning-chemogenomics strategy identifies new drugs with potential activity against multiple life stages of Schistosoma mansoni.","type":"article-journal","volume":"9"},"uris":["http://www.mendeley.com/documents/?uuid=1cbeeff7-b62c-37fb-b5f0-5414e205840b"]}],"mendeley":{"formattedCitation":"(NEVES et al., 2015)","plainTextFormattedCitation":"(NEVES et al., 2015)","previouslyFormattedCitation":"(NEVES et al., 2015)"},"properties":{"noteIndex":0},"schema":"https://github.com/citation-style-language/schema/raw/master/csl-citation.json"}</w:instrText>
      </w:r>
      <w:r>
        <w:fldChar w:fldCharType="separate"/>
      </w:r>
      <w:r w:rsidRPr="00A85875">
        <w:rPr>
          <w:noProof/>
        </w:rPr>
        <w:t>(NEVES et al., 2015)</w:t>
      </w:r>
      <w:r>
        <w:fldChar w:fldCharType="end"/>
      </w:r>
      <w:r>
        <w:t xml:space="preserve">. Do inglês </w:t>
      </w:r>
      <w:r>
        <w:rPr>
          <w:i/>
        </w:rPr>
        <w:t xml:space="preserve">High Throughput Screening, </w:t>
      </w:r>
      <w:r>
        <w:t xml:space="preserve">o método cassete permite avaliar de maneira concomitante diversos compostos. Conhecido também como o método de alta produtividade permite examinar aproximadamente 300 mil compostos por dia, possuindo como vantagem principal a redução do uso de animais, em contrapartida, ás vezes ocorrem interações medicamentosas, resultando em falso negativo e ou positivos </w:t>
      </w:r>
      <w:r>
        <w:fldChar w:fldCharType="begin" w:fldLock="1"/>
      </w:r>
      <w:r>
        <w:instrText>ADDIN CSL_CITATION {"citationItems":[{"id":"ITEM-1","itemData":{"URL":"https://pharma.bayer.com.br/pt/pesquisa-desenvolvimento/tecnologias-tendencias/tecnologias-pesquisa/high-throughput-screening/index.php","accessed":{"date-parts":[["2020","6","16"]]},"author":[{"dropping-particle":"","family":"Tecnologias de Pesquisa","given":"","non-dropping-particle":"","parse-names":false,"suffix":""}],"id":"ITEM-1","issued":{"date-parts":[["2018"]]},"title":"High Throughput Screening - Pharmaceuticals","type":"webpage"},"uris":["http://www.mendeley.com/documents/?uuid=62c1e374-d9a4-3217-beed-c89e854195bb"]}],"mendeley":{"formattedCitation":"(TECNOLOGIAS DE PESQUISA, 2018)","plainTextFormattedCitation":"(TECNOLOGIAS DE PESQUISA, 2018)","previouslyFormattedCitation":"(TECNOLOGIAS DE PESQUISA, 2018)"},"properties":{"noteIndex":0},"schema":"https://github.com/citation-style-language/schema/raw/master/csl-citation.json"}</w:instrText>
      </w:r>
      <w:r>
        <w:fldChar w:fldCharType="separate"/>
      </w:r>
      <w:r w:rsidRPr="002670D2">
        <w:rPr>
          <w:noProof/>
        </w:rPr>
        <w:t>(TECNOLOGIAS DE PESQUISA, 2018)</w:t>
      </w:r>
      <w:r>
        <w:fldChar w:fldCharType="end"/>
      </w:r>
      <w:r>
        <w:t xml:space="preserve">. Já o </w:t>
      </w:r>
      <w:r>
        <w:rPr>
          <w:i/>
        </w:rPr>
        <w:t>Rapid Rat  Oral Pk Screen</w:t>
      </w:r>
      <w:r>
        <w:t xml:space="preserve"> ocorre através da administração de apenas um composto em pelo menos dois animais diferentes,  onde  a seguir será realizado coletas sanguíneas e seus dados serão conduzidos por um método analítico ou seja, um método comparativo </w:t>
      </w:r>
      <w:r>
        <w:fldChar w:fldCharType="begin" w:fldLock="1"/>
      </w:r>
      <w:r>
        <w:instrText>ADDIN CSL_CITATION {"citationItems":[{"id":"ITEM-1","itemData":{"DOI":"10.2174/1568026614666140506124442","ISSN":"15680266","PMID":"24805060","abstract":"Several non-cardiovascular drugs have been withdrawn from the market due to their inhibition of hERG K+ channels that can potentially lead to severe heart arrhythmia and death. As hERG safety testing is a mandatory FDArequired procedure, there is a considerable interest for developing predictive computational tools to identify and filter out potential hERG blockers early in the drug discovery process. In this study, we aimed to generate predictive and well-characterized quantitative structure-activity relationship (QSAR) models for hERG blockage using the largest publicly available dataset of 11,958 compounds from the ChEMBL database. The models have been developed and validated according to OECD guidelines using four types of descriptors and four different machine-learning techniques. The classification accuracies discriminating blockers from non-blockers were as high as 0.83-0.93 on external set. Model interpretation revealed several SAR rules, which can guide structural optimization of some hERG blockers into non-blockers. We have also applied the generated models for screening the World Drug Index (WDI) database and identify putative hERG blockers and non-blockers among currently marketed drugs. The developed models can reliably identify blockers and non-blockers, which could be useful for the scientific community. A freely accessible web server has been developed allowing users to identify putative hERG blockers and non-blockers in chemical libraries of their interest (http://labmol.farmacia.ufg.br/predherg).","author":[{"dropping-particle":"","family":"Braga","given":"Rodolpho","non-dropping-particle":"","parse-names":false,"suffix":""},{"dropping-particle":"","family":"Alves","given":"Vinicius","non-dropping-particle":"","parse-names":false,"suffix":""},{"dropping-particle":"","family":"Silva","given":"Meryck","non-dropping-particle":"","parse-names":false,"suffix":""},{"dropping-particle":"","family":"Muratov","given":"Eugene","non-dropping-particle":"","parse-names":false,"suffix":""},{"dropping-particle":"","family":"Fourches","given":"Denis","non-dropping-particle":"","parse-names":false,"suffix":""},{"dropping-particle":"","family":"Tropsha","given":"Alexander","non-dropping-particle":"","parse-names":false,"suffix":""},{"dropping-particle":"","family":"Andrade","given":"Carolina","non-dropping-particle":"","parse-names":false,"suffix":""}],"container-title":"Current Topics in Medicinal Chemistry","id":"ITEM-1","issue":"11","issued":{"date-parts":[["2014","6","10"]]},"page":"1399-1415","publisher":"Bentham Science Publishers Ltd.","title":"Tuning hERG Out: Antitarget QSAR Models for Drug Development","type":"article-journal","volume":"14"},"uris":["http://www.mendeley.com/documents/?uuid=c8b4f42f-714b-3ee2-889a-be852f311362"]}],"mendeley":{"formattedCitation":"(BRAGA et al., 2014)","plainTextFormattedCitation":"(BRAGA et al., 2014)","previouslyFormattedCitation":"(BRAGA et al., 2014)"},"properties":{"noteIndex":0},"schema":"https://github.com/citation-style-language/schema/raw/master/csl-citation.json"}</w:instrText>
      </w:r>
      <w:r>
        <w:fldChar w:fldCharType="separate"/>
      </w:r>
      <w:r w:rsidRPr="00A85875">
        <w:rPr>
          <w:noProof/>
        </w:rPr>
        <w:t>(BRAGA et al., 2014)</w:t>
      </w:r>
      <w:r>
        <w:fldChar w:fldCharType="end"/>
      </w:r>
      <w:r>
        <w:t>.</w:t>
      </w:r>
    </w:p>
    <w:p w14:paraId="5D4AC64C" w14:textId="392D268D" w:rsidR="00AF3B5F" w:rsidRPr="00A93DB5" w:rsidRDefault="00AF3B5F" w:rsidP="007E0F49">
      <w:pPr>
        <w:spacing w:line="360" w:lineRule="auto"/>
        <w:jc w:val="both"/>
        <w:rPr>
          <w:b/>
        </w:rPr>
      </w:pPr>
      <w:r w:rsidRPr="00A93DB5">
        <w:rPr>
          <w:b/>
        </w:rPr>
        <w:t xml:space="preserve">Abordagem </w:t>
      </w:r>
      <w:r>
        <w:rPr>
          <w:b/>
          <w:i/>
          <w:iCs/>
        </w:rPr>
        <w:t>I</w:t>
      </w:r>
      <w:r w:rsidRPr="00A93DB5">
        <w:rPr>
          <w:b/>
          <w:i/>
          <w:iCs/>
        </w:rPr>
        <w:t>n vitro</w:t>
      </w:r>
    </w:p>
    <w:p w14:paraId="18A627EE" w14:textId="77777777" w:rsidR="00AF3B5F" w:rsidRDefault="00AF3B5F" w:rsidP="00AF3B5F">
      <w:pPr>
        <w:spacing w:line="360" w:lineRule="auto"/>
        <w:jc w:val="both"/>
      </w:pPr>
      <w:r>
        <w:t xml:space="preserve">São agrupadas em até três categorias distintas. A primeira através de técnicas de cultura de tecido hepático, tem como vantagem a possibilidade de ser utilizada para analisar diversos fármacos diferentes, também possui a opção de ser criopreservada se tornando viável por até 4 semanas. Porém, mesmo com a criopreservação, estudos demonstram que há diminuição da função do citocromo P450, a principal enzima responsável pelo metabolismo dos fármacos </w:t>
      </w:r>
      <w:r>
        <w:fldChar w:fldCharType="begin" w:fldLock="1"/>
      </w:r>
      <w:r>
        <w:instrText>ADDIN CSL_CITATION {"citationItems":[{"id":"ITEM-1","itemData":{"DOI":"10.1016/S0041-008X(03)00128-5","ISSN":"0041008X","PMID":"12791308","abstract":"The liver is the predominant organ in which biotransformation of foreign compounds takes place, although other organs may also be involved in drug biotransformation. Ideally, an in vitro model for drug biotransformation should accurately resemble biotransformation in vivo in the liver. Several in vitro human liver models have been developed in the past few decades, including supersomes, microsomes, cytosol, S9 fraction, cell lines, transgenic cell lines, primary hepatocytes, liver slices, and perfused liver. A general advantage of these models is a reduced complexity of the study system. On the other hand, there are several more or less serious specific drawbacks for each model, which prevents their widespread use and acceptance by the regulatory authorities as an alternative for in vivo screening. This review describes the practical aspects of selected in vitro human liver models with comparisons between the methods. © 2003 Elsevier Science (USA). All rights reserved.","author":[{"dropping-particle":"","family":"Brandon","given":"Esther F.A.","non-dropping-particle":"","parse-names":false,"suffix":""},{"dropping-particle":"","family":"Raap","given":"Christiaan D.","non-dropping-particle":"","parse-names":false,"suffix":""},{"dropping-particle":"","family":"Meijerman","given":"Irma","non-dropping-particle":"","parse-names":false,"suffix":""},{"dropping-particle":"","family":"Beijnen","given":"Jos H.","non-dropping-particle":"","parse-names":false,"suffix":""},{"dropping-particle":"","family":"Schellens","given":"Jan H.M.","non-dropping-particle":"","parse-names":false,"suffix":""}],"container-title":"Toxicology and Applied Pharmacology","id":"ITEM-1","issue":"3","issued":{"date-parts":[["2003","6","15"]]},"page":"233-246","publisher":"Academic Press Inc.","title":"An update on in vitro test methods in human hepatic drug biotransformation research: Pros and cons","type":"article","volume":"189"},"uris":["http://www.mendeley.com/documents/?uuid=9ee86163-6df9-3010-8839-3288d8eeca50"]}],"mendeley":{"formattedCitation":"(BRANDON et al., 2003)","plainTextFormattedCitation":"(BRANDON et al., 2003)","previouslyFormattedCitation":"(BRANDON et al., 2003)"},"properties":{"noteIndex":0},"schema":"https://github.com/citation-style-language/schema/raw/master/csl-citation.json"}</w:instrText>
      </w:r>
      <w:r>
        <w:fldChar w:fldCharType="separate"/>
      </w:r>
      <w:r w:rsidRPr="00E13BAC">
        <w:rPr>
          <w:noProof/>
        </w:rPr>
        <w:t>(BRANDON et al., 2003)</w:t>
      </w:r>
      <w:r>
        <w:fldChar w:fldCharType="end"/>
      </w:r>
      <w:r>
        <w:t xml:space="preserve">.  A segunda categoria se encontra intimamente ligada com os estudos de estabilidade metabólica, utilizando frações celulares, possuindo maior preferência devido sua facilidade de preparo e disponibilidade. Sua principal diferença é quanto ao seu tempo de armazenamento, estudos demonstram que podem ser armazenadas por meses sem prejuízo nenhum de atividade, porém as vezes algumas enzimas se tornaram frágeis, devido sua diminuição da integralidade celular. Já a última seria caracterizada pelo seu uso de fungos que são capazes de transformar reações metabólicas simples através de sistema de biotransformação </w:t>
      </w:r>
      <w:r>
        <w:fldChar w:fldCharType="begin" w:fldLock="1"/>
      </w:r>
      <w:r>
        <w:instrText>ADDIN CSL_CITATION {"citationItems":[{"id":"ITEM-1","itemData":{"DOI":"10.1371/journal.pntd.0003435","ISSN":"1935-2735","PMID":"25569258","abstract":"Morbidity and mortality caused by schistosomiasis are serious public health problems in developing countries. Because praziquantel is the only drug in therapeutic use, the risk of drug resistance is a concern. In the search for new schistosomicidal drugs, we performed a target-based chemogenomics screen of a dataset of 2,114 proteins to identify drugs that are approved for clinical use in humans that may be active against multiple life stages of Schistosoma mansoni. Each of these proteins was treated as a potential drug target, and its amino acid sequence was used to interrogate three databases: Therapeutic Target Database (TTD), DrugBank and STITCH. Predicted drug-target interactions were refined using a combination of approaches, including pairwise alignment, conservation state of functional regions and chemical space analysis. To validate our strategy, several drugs previously shown to be active against Schistosoma species were correctly predicted, such as clonazepam, auranofin, nifedipine, and artesunate. We were also able to identify 115 drugs that have not yet been experimentally tested against schistosomes and that require further assessment. Some examples are aprindine, gentamicin, clotrimazole, tetrabenazine, griseofulvin, and cinnarizine. In conclusion, we have developed a systematic and focused computer-aided approach to propose approved drugs that may warrant testing and/or serve as lead compounds for the design of new drugs against schistosomes.","author":[{"dropping-particle":"","family":"Neves","given":"Bruno J","non-dropping-particle":"","parse-names":false,"suffix":""},{"dropping-particle":"","family":"Braga","given":"Rodolpho C","non-dropping-particle":"","parse-names":false,"suffix":""},{"dropping-particle":"","family":"Bezerra","given":"José C B","non-dropping-particle":"","parse-names":false,"suffix":""},{"dropping-particle":"","family":"Cravo","given":"Pedro V L","non-dropping-particle":"","parse-names":false,"suffix":""},{"dropping-particle":"","family":"Andrade","given":"Carolina H","non-dropping-particle":"","parse-names":false,"suffix":""}],"container-title":"PLoS neglected tropical diseases","id":"ITEM-1","issue":"1","issued":{"date-parts":[["2015","1"]]},"page":"e3435","publisher":"Public Library of Science","title":"In silico repositioning-chemogenomics strategy identifies new drugs with potential activity against multiple life stages of Schistosoma mansoni.","type":"article-journal","volume":"9"},"uris":["http://www.mendeley.com/documents/?uuid=1cbeeff7-b62c-37fb-b5f0-5414e205840b"]}],"mendeley":{"formattedCitation":"(NEVES et al., 2015)","plainTextFormattedCitation":"(NEVES et al., 2015)","previouslyFormattedCitation":"(NEVES et al., 2015)"},"properties":{"noteIndex":0},"schema":"https://github.com/citation-style-language/schema/raw/master/csl-citation.json"}</w:instrText>
      </w:r>
      <w:r>
        <w:fldChar w:fldCharType="separate"/>
      </w:r>
      <w:r w:rsidRPr="00957458">
        <w:rPr>
          <w:noProof/>
        </w:rPr>
        <w:t>(NEVES et al., 2015)</w:t>
      </w:r>
      <w:r>
        <w:fldChar w:fldCharType="end"/>
      </w:r>
      <w:r>
        <w:t>.</w:t>
      </w:r>
    </w:p>
    <w:p w14:paraId="39569287" w14:textId="77777777" w:rsidR="00AF3B5F" w:rsidRDefault="00AF3B5F" w:rsidP="00AF3B5F">
      <w:pPr>
        <w:spacing w:line="360" w:lineRule="auto"/>
        <w:jc w:val="both"/>
        <w:rPr>
          <w:b/>
        </w:rPr>
      </w:pPr>
    </w:p>
    <w:p w14:paraId="4940204E" w14:textId="5190E6AE" w:rsidR="00AF3B5F" w:rsidRDefault="00AF3B5F" w:rsidP="00AF3B5F">
      <w:pPr>
        <w:spacing w:line="360" w:lineRule="auto"/>
        <w:jc w:val="both"/>
        <w:rPr>
          <w:b/>
        </w:rPr>
      </w:pPr>
      <w:r>
        <w:rPr>
          <w:b/>
        </w:rPr>
        <w:t xml:space="preserve">Tipos de testes Toxicológicos </w:t>
      </w:r>
    </w:p>
    <w:p w14:paraId="3C243351" w14:textId="63CB9982" w:rsidR="00AF3B5F" w:rsidRDefault="00AF3B5F" w:rsidP="00AF3B5F">
      <w:pPr>
        <w:spacing w:line="360" w:lineRule="auto"/>
        <w:jc w:val="both"/>
        <w:rPr>
          <w:b/>
        </w:rPr>
      </w:pPr>
      <w:r>
        <w:rPr>
          <w:b/>
        </w:rPr>
        <w:t>Toxicidade Aguda - dose única</w:t>
      </w:r>
    </w:p>
    <w:p w14:paraId="53D1823E" w14:textId="77777777" w:rsidR="00AF3B5F" w:rsidRDefault="00AF3B5F" w:rsidP="00AF3B5F">
      <w:pPr>
        <w:spacing w:line="360" w:lineRule="auto"/>
        <w:jc w:val="both"/>
      </w:pPr>
      <w:r>
        <w:t xml:space="preserve">Antigamente era considerada como a primeira etapa do teste de avaliação de segurança de toxicidade, onde era caracterizado por realizar o teste </w:t>
      </w:r>
      <w:r w:rsidRPr="00612104">
        <w:rPr>
          <w:i/>
        </w:rPr>
        <w:t>in vivo</w:t>
      </w:r>
      <w:r>
        <w:t xml:space="preserve"> através do ensaio de toxicidade por dose única (aguda), devendo ser conduzida com pelo menos duas espécies de mamíferos, incluindo obrigatoriamente uma espécie não roedora, de amos os sexos </w:t>
      </w:r>
      <w:r>
        <w:fldChar w:fldCharType="begin" w:fldLock="1"/>
      </w:r>
      <w:r>
        <w:instrText>ADDIN CSL_CITATION {"citationItems":[{"id":"ITEM-1","itemData":{"id":"ITEM-1","issued":{"date-parts":[["2010"]]},"title":"Committee for Medicinal Products for Human Use (CHMP) Questions and answers on the withdrawal of the 'Note for guidance on single dose toxicity'","type":"report"},"uris":["http://www.mendeley.com/documents/?uuid=4b05a26e-064d-3cc8-a1a9-1e864993ea52"]}],"mendeley":{"formattedCitation":"(“Committee for Medicinal Products for Human Use (CHMP) Questions and answers on the withdrawal of the ‘Note for guidance on single dose toxicity’”, 2010)","manualFormatting":" (CHMP, 2010) ","plainTextFormattedCitation":"(“Committee for Medicinal Products for Human Use (CHMP) Questions and answers on the withdrawal of the ‘Note for guidance on single dose toxicity’”, 2010)","previouslyFormattedCitation":"(“Committee for Medicinal Products for Human Use (CHMP) Questions and answers on the withdrawal of the ‘Note for guidance on single dose toxicity’”, 2010)"},"properties":{"noteIndex":0},"schema":"https://github.com/citation-style-language/schema/raw/master/csl-citation.json"}</w:instrText>
      </w:r>
      <w:r>
        <w:fldChar w:fldCharType="separate"/>
      </w:r>
      <w:r>
        <w:rPr>
          <w:noProof/>
        </w:rPr>
        <w:t>(CHMP, 2010)</w:t>
      </w:r>
      <w:r w:rsidRPr="00494083">
        <w:rPr>
          <w:noProof/>
        </w:rPr>
        <w:t xml:space="preserve"> </w:t>
      </w:r>
      <w:r>
        <w:fldChar w:fldCharType="end"/>
      </w:r>
      <w:r>
        <w:t>. Era administrada uma dose ou doses fracionadas durante 24 horas, através de duas vias de administração: a pretendida para administração em humanos (oral, dérmica, ocular ou inalatória) e a endovenosa. Porém, é necessária a determinação da dose limite, sendo aquela que não alcance uma toxicidade letal ou uma dose de até 1000mg/kg/dia. O período de acompanhamento era em media de 14 dias após a administração da droga, sendo os animais observados por pelo menos duas vezes ao decorrer do dia. Este estudo tem como finalidade avaliar a mortalidade, dose letal 50 (DL</w:t>
      </w:r>
      <w:r w:rsidRPr="00891FB0">
        <w:rPr>
          <w:sz w:val="18"/>
          <w:szCs w:val="18"/>
        </w:rPr>
        <w:t>50</w:t>
      </w:r>
      <w:r>
        <w:t>) ou concentração letal (CL</w:t>
      </w:r>
      <w:r w:rsidRPr="00891FB0">
        <w:rPr>
          <w:sz w:val="18"/>
          <w:szCs w:val="18"/>
        </w:rPr>
        <w:t>50</w:t>
      </w:r>
      <w:r>
        <w:t xml:space="preserve">), latência, duração, sinais clínicos e patologias clínicas. Porém, desde Junho de 2008, este teste não é muito utilizado, devido a sua capacidade de também ser observado em outros ensaios de toxicidade </w:t>
      </w:r>
      <w:r>
        <w:fldChar w:fldCharType="begin" w:fldLock="1"/>
      </w:r>
      <w:r>
        <w:instrText>ADDIN CSL_CITATION {"citationItems":[{"id":"ITEM-1","itemData":{"author":[{"dropping-particle":"","family":"PatriciaAndreotti","given":"","non-dropping-particle":"","parse-names":false,"suffix":""}],"id":"ITEM-1","issued":{"date-parts":[["2013"]]},"title":"Guia para condução de estudos não clínicos de toxicologia e segurança farmacológica necessários ao desenvolvimento de mediamentos","type":"report"},"uris":["http://www.mendeley.com/documents/?uuid=8a4f6ec4-654e-3a25-8700-703db8fc2795"]}],"mendeley":{"formattedCitation":"(PATRICIAANDREOTTI, 2013)","plainTextFormattedCitation":"(PATRICIAANDREOTTI, 2013)","previouslyFormattedCitation":"(PATRICIAANDREOTTI, 2013)"},"properties":{"noteIndex":0},"schema":"https://github.com/citation-style-language/schema/raw/master/csl-citation.json"}</w:instrText>
      </w:r>
      <w:r>
        <w:fldChar w:fldCharType="separate"/>
      </w:r>
      <w:r w:rsidRPr="00F2458E">
        <w:rPr>
          <w:noProof/>
        </w:rPr>
        <w:t>(PATRICIAANDREOTTI, 2013)</w:t>
      </w:r>
      <w:r>
        <w:fldChar w:fldCharType="end"/>
      </w:r>
      <w:r>
        <w:t xml:space="preserve">. </w:t>
      </w:r>
    </w:p>
    <w:p w14:paraId="354A6F38" w14:textId="543151EA" w:rsidR="00AF3B5F" w:rsidRDefault="00AF3B5F" w:rsidP="00AF3B5F">
      <w:pPr>
        <w:spacing w:line="360" w:lineRule="auto"/>
        <w:jc w:val="both"/>
        <w:rPr>
          <w:b/>
        </w:rPr>
      </w:pPr>
      <w:r>
        <w:rPr>
          <w:b/>
        </w:rPr>
        <w:t>Toxicidade de doses repetidas</w:t>
      </w:r>
    </w:p>
    <w:p w14:paraId="3221EF40" w14:textId="1BB3C276" w:rsidR="00AF3B5F" w:rsidRDefault="00AF3B5F" w:rsidP="00AF3B5F">
      <w:pPr>
        <w:spacing w:line="360" w:lineRule="auto"/>
        <w:jc w:val="both"/>
        <w:rPr>
          <w:b/>
        </w:rPr>
      </w:pPr>
      <w:r>
        <w:rPr>
          <w:bCs/>
        </w:rPr>
        <w:t>Este</w:t>
      </w:r>
      <w:r w:rsidRPr="009C4360">
        <w:rPr>
          <w:bCs/>
        </w:rPr>
        <w:t>s estudos de toxicidade de doses repetidas têm como objetivo, caracterizar o perfil</w:t>
      </w:r>
      <w:r>
        <w:rPr>
          <w:bCs/>
        </w:rPr>
        <w:t xml:space="preserve"> </w:t>
      </w:r>
      <w:r w:rsidRPr="009C4360">
        <w:rPr>
          <w:bCs/>
        </w:rPr>
        <w:t>toxicológico da substância pela administração repetida.</w:t>
      </w:r>
      <w:r>
        <w:rPr>
          <w:bCs/>
        </w:rPr>
        <w:t xml:space="preserve"> </w:t>
      </w:r>
      <w:r w:rsidRPr="009C4360">
        <w:rPr>
          <w:bCs/>
        </w:rPr>
        <w:t xml:space="preserve">A partir </w:t>
      </w:r>
      <w:r>
        <w:rPr>
          <w:bCs/>
        </w:rPr>
        <w:t>dos dados obtidos</w:t>
      </w:r>
      <w:r w:rsidRPr="009C4360">
        <w:rPr>
          <w:bCs/>
        </w:rPr>
        <w:t xml:space="preserve"> </w:t>
      </w:r>
      <w:r>
        <w:rPr>
          <w:bCs/>
        </w:rPr>
        <w:t>é possível ter</w:t>
      </w:r>
      <w:r w:rsidRPr="009C4360">
        <w:rPr>
          <w:bCs/>
        </w:rPr>
        <w:t xml:space="preserve"> informações sobre os efeitos tóxicos, identificação de órgãos alvos, efeitos</w:t>
      </w:r>
      <w:r>
        <w:rPr>
          <w:bCs/>
        </w:rPr>
        <w:t xml:space="preserve"> </w:t>
      </w:r>
      <w:r w:rsidRPr="009C4360">
        <w:rPr>
          <w:bCs/>
        </w:rPr>
        <w:t>na fisiologia do animal, hematológicas, bioquímicas, anátomo e histopatológicas, além de</w:t>
      </w:r>
      <w:r>
        <w:rPr>
          <w:bCs/>
        </w:rPr>
        <w:t xml:space="preserve"> </w:t>
      </w:r>
      <w:r w:rsidRPr="009C4360">
        <w:rPr>
          <w:bCs/>
        </w:rPr>
        <w:t>informações sobre a indicação do NOEL e NOAEL.</w:t>
      </w:r>
      <w:r>
        <w:rPr>
          <w:bCs/>
        </w:rPr>
        <w:t xml:space="preserve"> </w:t>
      </w:r>
      <w:r w:rsidRPr="009C4360">
        <w:rPr>
          <w:bCs/>
        </w:rPr>
        <w:t>Devem ser conduzidos com no mínimo duas espécies de mamíferos, incluindo uma</w:t>
      </w:r>
      <w:r>
        <w:rPr>
          <w:bCs/>
        </w:rPr>
        <w:t xml:space="preserve"> </w:t>
      </w:r>
      <w:r w:rsidRPr="009C4360">
        <w:rPr>
          <w:bCs/>
        </w:rPr>
        <w:t>espécie não roedora.</w:t>
      </w:r>
      <w:r>
        <w:rPr>
          <w:bCs/>
        </w:rPr>
        <w:t xml:space="preserve"> </w:t>
      </w:r>
      <w:r w:rsidRPr="009C4360">
        <w:rPr>
          <w:bCs/>
        </w:rPr>
        <w:t>As espécies</w:t>
      </w:r>
      <w:r>
        <w:rPr>
          <w:bCs/>
        </w:rPr>
        <w:t xml:space="preserve"> </w:t>
      </w:r>
      <w:r w:rsidRPr="009C4360">
        <w:rPr>
          <w:bCs/>
        </w:rPr>
        <w:t>devem ser selecionadas com base em sua relevância para a extrapolação de dados para</w:t>
      </w:r>
      <w:r>
        <w:rPr>
          <w:bCs/>
        </w:rPr>
        <w:t xml:space="preserve"> </w:t>
      </w:r>
      <w:r w:rsidRPr="009C4360">
        <w:rPr>
          <w:bCs/>
        </w:rPr>
        <w:t>seres humanos</w:t>
      </w:r>
      <w:r>
        <w:rPr>
          <w:bCs/>
        </w:rPr>
        <w:t xml:space="preserve">. </w:t>
      </w:r>
      <w:r w:rsidRPr="009C4360">
        <w:rPr>
          <w:bCs/>
        </w:rPr>
        <w:t xml:space="preserve">Deverá ser utilizada a via </w:t>
      </w:r>
      <w:r>
        <w:rPr>
          <w:bCs/>
        </w:rPr>
        <w:t>de administração utilizada deverá ser aquela em que</w:t>
      </w:r>
      <w:r w:rsidRPr="009C4360">
        <w:rPr>
          <w:bCs/>
        </w:rPr>
        <w:t xml:space="preserve"> a droga será administrada em humanos, mas se a</w:t>
      </w:r>
      <w:r>
        <w:rPr>
          <w:bCs/>
        </w:rPr>
        <w:t xml:space="preserve"> </w:t>
      </w:r>
      <w:r w:rsidRPr="009C4360">
        <w:rPr>
          <w:bCs/>
        </w:rPr>
        <w:t>absorção em animais for limitada em relação ao homem, também uma via parenteral.</w:t>
      </w:r>
      <w:r>
        <w:rPr>
          <w:bCs/>
        </w:rPr>
        <w:t xml:space="preserve"> </w:t>
      </w:r>
      <w:r w:rsidRPr="009C4360">
        <w:rPr>
          <w:bCs/>
        </w:rPr>
        <w:t>As doses utilizadas em estudos de administrações repetidas geralmente são</w:t>
      </w:r>
      <w:r>
        <w:rPr>
          <w:bCs/>
        </w:rPr>
        <w:t xml:space="preserve"> </w:t>
      </w:r>
      <w:r w:rsidRPr="009C4360">
        <w:rPr>
          <w:bCs/>
        </w:rPr>
        <w:t>estabelecidas a partir das informações produzidas em estudos de toxicidade aguda ou</w:t>
      </w:r>
      <w:r>
        <w:rPr>
          <w:bCs/>
        </w:rPr>
        <w:t xml:space="preserve"> </w:t>
      </w:r>
      <w:r w:rsidRPr="009C4360">
        <w:rPr>
          <w:bCs/>
        </w:rPr>
        <w:t>testes piloto para indicação de doses. Geralmente 3 doses são utilizadas, sendo a mais</w:t>
      </w:r>
      <w:r>
        <w:rPr>
          <w:bCs/>
        </w:rPr>
        <w:t xml:space="preserve"> </w:t>
      </w:r>
      <w:r w:rsidRPr="009C4360">
        <w:rPr>
          <w:bCs/>
        </w:rPr>
        <w:t>alta escolhida com a expectativa de produzir efeitos tóxicos observáveis, mas não morte</w:t>
      </w:r>
      <w:r>
        <w:rPr>
          <w:bCs/>
        </w:rPr>
        <w:t xml:space="preserve"> </w:t>
      </w:r>
      <w:r w:rsidRPr="009C4360">
        <w:rPr>
          <w:bCs/>
        </w:rPr>
        <w:t>nem sofrimento intenso e respeitando-se o limite máximo de 1000 mg/kg/dia em roedores</w:t>
      </w:r>
      <w:r>
        <w:rPr>
          <w:bCs/>
        </w:rPr>
        <w:t xml:space="preserve"> </w:t>
      </w:r>
      <w:r w:rsidRPr="009C4360">
        <w:rPr>
          <w:bCs/>
        </w:rPr>
        <w:t>e não-roedores</w:t>
      </w:r>
      <w:r>
        <w:rPr>
          <w:bCs/>
        </w:rPr>
        <w:t xml:space="preserve">. No geral, o período de observação deve ser o mesmo da intervenção na fase clínica (ANVISA, 2013). </w:t>
      </w:r>
    </w:p>
    <w:p w14:paraId="5AE4497C" w14:textId="02EDEE30" w:rsidR="00AF3B5F" w:rsidRDefault="00AF3B5F" w:rsidP="00AF3B5F">
      <w:pPr>
        <w:spacing w:line="360" w:lineRule="auto"/>
        <w:jc w:val="both"/>
        <w:rPr>
          <w:b/>
        </w:rPr>
      </w:pPr>
      <w:r>
        <w:rPr>
          <w:b/>
        </w:rPr>
        <w:t xml:space="preserve">Genotoxicidade </w:t>
      </w:r>
    </w:p>
    <w:p w14:paraId="7D49C60F" w14:textId="5A37E841" w:rsidR="00AF3B5F" w:rsidRDefault="00AF3B5F" w:rsidP="00AF3B5F">
      <w:pPr>
        <w:spacing w:line="360" w:lineRule="auto"/>
        <w:jc w:val="both"/>
        <w:rPr>
          <w:b/>
        </w:rPr>
      </w:pPr>
      <w:r>
        <w:t xml:space="preserve">São testes realizados em </w:t>
      </w:r>
      <w:r>
        <w:rPr>
          <w:i/>
        </w:rPr>
        <w:t xml:space="preserve">in vitro </w:t>
      </w:r>
      <w:r>
        <w:t xml:space="preserve">e </w:t>
      </w:r>
      <w:r>
        <w:rPr>
          <w:i/>
        </w:rPr>
        <w:t>in vivo</w:t>
      </w:r>
      <w:r>
        <w:t xml:space="preserve"> com o objetivo de investigar e detectar de forma precoce as possíveis mutações gênicas e alterações cromossômicas, através da mutação no DNA que podem ser numéricas ou estruturais. São estudos de longa duração devido sua alta complexidade, aonde normalmente só vão se expressar ao longo do tempo e possui como característica as manifestações sobre a formas tumorais. Os ensaios </w:t>
      </w:r>
      <w:r w:rsidRPr="00FB2668">
        <w:rPr>
          <w:i/>
        </w:rPr>
        <w:t>in vitro</w:t>
      </w:r>
      <w:r>
        <w:t xml:space="preserve"> devem ser realizados na presença e ausência da ativação metabólica, já o</w:t>
      </w:r>
      <w:r w:rsidRPr="00FB2668">
        <w:rPr>
          <w:i/>
        </w:rPr>
        <w:t xml:space="preserve"> in vivo</w:t>
      </w:r>
      <w:r>
        <w:t xml:space="preserve"> é recomendado o uso roedores, preferencialmente os machos. Possui como recomendação uma dose de 5mg para testes em bactérias, porém quando utilizado em mamíferos as recomendação são de 0,5mg/ml. É considerado um estudo de suporte, devendo ser concluído antes da realização dos estudos de fase 2 em humanos </w:t>
      </w:r>
      <w:r>
        <w:fldChar w:fldCharType="begin" w:fldLock="1"/>
      </w:r>
      <w:r>
        <w:instrText>ADDIN CSL_CITATION {"citationItems":[{"id":"ITEM-1","itemData":{"author":[{"dropping-particle":"","family":"Medicines Agency","given":"European","non-dropping-particle":"","parse-names":false,"suffix":""}],"id":"ITEM-1","issued":{"date-parts":[["2012"]]},"title":"ICH guideline S2 (R1) on genotoxicity testing and data interpretation for pharmaceuticals intended for human use","type":"report"},"uris":["http://www.mendeley.com/documents/?uuid=5c33704a-0646-3d86-b18d-2aeaf2669290"]}],"mendeley":{"formattedCitation":"(MEDICINES AGENCY, 2012)","plainTextFormattedCitation":"(MEDICINES AGENCY, 2012)","previouslyFormattedCitation":"(MEDICINES AGENCY, 2012)"},"properties":{"noteIndex":0},"schema":"https://github.com/citation-style-language/schema/raw/master/csl-citation.json"}</w:instrText>
      </w:r>
      <w:r>
        <w:fldChar w:fldCharType="separate"/>
      </w:r>
      <w:r w:rsidRPr="00E60E6C">
        <w:rPr>
          <w:noProof/>
        </w:rPr>
        <w:t>(MEDICINES AGENCY, 2012)</w:t>
      </w:r>
      <w:r>
        <w:fldChar w:fldCharType="end"/>
      </w:r>
      <w:r>
        <w:t xml:space="preserve">. </w:t>
      </w:r>
    </w:p>
    <w:p w14:paraId="124016A7" w14:textId="2B173DD6" w:rsidR="00AF3B5F" w:rsidRDefault="00AF3B5F" w:rsidP="00AF3B5F">
      <w:pPr>
        <w:spacing w:line="360" w:lineRule="auto"/>
        <w:jc w:val="both"/>
        <w:rPr>
          <w:b/>
        </w:rPr>
      </w:pPr>
      <w:r>
        <w:rPr>
          <w:b/>
        </w:rPr>
        <w:t>Carcinogenicidade</w:t>
      </w:r>
    </w:p>
    <w:p w14:paraId="3FB1D01F" w14:textId="4AD94A51" w:rsidR="00AF3B5F" w:rsidRDefault="00AF3B5F" w:rsidP="00AF3B5F">
      <w:pPr>
        <w:spacing w:line="360" w:lineRule="auto"/>
        <w:jc w:val="both"/>
      </w:pPr>
      <w:r>
        <w:t xml:space="preserve">É um estudo de longo prazo e tem como objetivo identificar </w:t>
      </w:r>
      <w:r w:rsidR="0096461D">
        <w:t>as substâncias</w:t>
      </w:r>
      <w:r>
        <w:t xml:space="preserve"> potencialmente formadoras de lesões tumorais. Normalmente possui avaliação rigorosa durante um período mínimo de 24 meses em ratos e, 18 meses em camundongos e hamsteres, sendo observados através de testes específicos  realizados em animais.</w:t>
      </w:r>
      <w:r>
        <w:fldChar w:fldCharType="begin" w:fldLock="1"/>
      </w:r>
      <w:r>
        <w:instrText>ADDIN CSL_CITATION {"citationItems":[{"id":"ITEM-1","itemData":{"author":[{"dropping-particle":"","family":"PatriciaAndreotti","given":"","non-dropping-particle":"","parse-names":false,"suffix":""}],"id":"ITEM-1","issued":{"date-parts":[["2013"]]},"title":"Guia para condução de estudos não clínicos de toxicologia e segurança farmacológica necessários ao desenvolvimento de mediamentos","type":"report"},"uris":["http://www.mendeley.com/documents/?uuid=8a4f6ec4-654e-3a25-8700-703db8fc2795"]}],"mendeley":{"formattedCitation":"(PATRICIAANDREOTTI, 2013)","plainTextFormattedCitation":"(PATRICIAANDREOTTI, 2013)","previouslyFormattedCitation":"(PATRICIAANDREOTTI, 2013)"},"properties":{"noteIndex":0},"schema":"https://github.com/citation-style-language/schema/raw/master/csl-citation.json"}</w:instrText>
      </w:r>
      <w:r>
        <w:fldChar w:fldCharType="separate"/>
      </w:r>
      <w:r w:rsidRPr="00D00BC1">
        <w:rPr>
          <w:noProof/>
        </w:rPr>
        <w:t>(</w:t>
      </w:r>
      <w:r>
        <w:rPr>
          <w:noProof/>
        </w:rPr>
        <w:t xml:space="preserve"> </w:t>
      </w:r>
      <w:r w:rsidRPr="00D00BC1">
        <w:rPr>
          <w:noProof/>
        </w:rPr>
        <w:t>ANDREOTTI, 2013)</w:t>
      </w:r>
      <w:r>
        <w:fldChar w:fldCharType="end"/>
      </w:r>
      <w:r>
        <w:t xml:space="preserve">. Porém, devido sua alta complexidade existem critérios para sua elaboração, dentes eles quando o novo fármaco indica um potencial mutagênicos e/ou quando ocorre alterações fisiopatológicas. A partir de uma avaliação ampla, é possível determinar os parâmetros como taxa de mortalidade e morbidade, geralmente no </w:t>
      </w:r>
      <w:r w:rsidR="0096461D">
        <w:t>início</w:t>
      </w:r>
      <w:r>
        <w:t xml:space="preserve"> e no final de cada dia, eventos adversos, alterações hematológicas e modificações nos processos de metabolização e excreção </w:t>
      </w:r>
      <w:r>
        <w:fldChar w:fldCharType="begin" w:fldLock="1"/>
      </w:r>
      <w:r>
        <w:instrText>ADDIN CSL_CITATION {"citationItems":[{"id":"ITEM-1","itemData":{"DOI":"10.1016/j.yrtph.2013.11.011","ISSN":"02732300","abstract":"The 2-year rodent carcinogenicity test has been the regulatory standard for the prediction of human outcomes for exposure to industrial and agro-chemicals, food additives, pharmaceuticals and environmental pollutants for over 50. years. The extensive experience and data accumulated over that time has spurred a vigorous debate and assessment, particularly over the last 10. years, of the usefulness of this test in terms of cost and time for the information obtained. With renewed interest in the United States and globally, plus new regulations in the European Union, to reduce, refine and replace sentinel animals, this review offers the recommendation that reliance on information obtained from detailed shorter-term, 6. months rodent studies, combined with genotoxicity and chemical mode of action can realize effective prediction of human carcinogenicity instead of the classical two year rodent bioassay. The aim of carcinogenicity studies should not be on the length of time, and by obligation, number of animals expended but on the combined systemic pathophysiologic influence of a suspected chemical in determining disease. This perspective is in coordination with progressive regulatory standards and goals globally to utilize effectively resources of animal usage, time and cost for the goal of human disease predictability. © 2013 Elsevier Inc.","author":[{"dropping-particle":"","family":"Marone","given":"Palma Ann","non-dropping-particle":"","parse-names":false,"suffix":""},{"dropping-particle":"","family":"Hall","given":"William C.","non-dropping-particle":"","parse-names":false,"suffix":""},{"dropping-particle":"","family":"Hayes","given":"A. Wallace","non-dropping-particle":"","parse-names":false,"suffix":""}],"container-title":"Regulatory Toxicology and Pharmacology","id":"ITEM-1","issue":"1","issued":{"date-parts":[["2014","2"]]},"page":"108-118","publisher":"Regul Toxicol Pharmacol","title":"Reassessing the two-year rodent carcinogenicity bioassay: A review of the applicability to human risk and current perspectives","type":"article-journal","volume":"68"},"uris":["http://www.mendeley.com/documents/?uuid=9960c051-c0b0-3ba7-917c-c16cd17e392f"]}],"mendeley":{"formattedCitation":"(MARONE; HALL; HAYES, 2014)","plainTextFormattedCitation":"(MARONE; HALL; HAYES, 2014)"},"properties":{"noteIndex":0},"schema":"https://github.com/citation-style-language/schema/raw/master/csl-citation.json"}</w:instrText>
      </w:r>
      <w:r>
        <w:fldChar w:fldCharType="separate"/>
      </w:r>
      <w:r w:rsidRPr="00D00BC1">
        <w:rPr>
          <w:noProof/>
        </w:rPr>
        <w:t>(MARONE; HALL; HAYES, 2014)</w:t>
      </w:r>
      <w:r>
        <w:fldChar w:fldCharType="end"/>
      </w:r>
      <w:r>
        <w:t>.</w:t>
      </w:r>
    </w:p>
    <w:p w14:paraId="238A0BBB" w14:textId="77777777" w:rsidR="00AF3B5F" w:rsidRDefault="00AF3B5F" w:rsidP="00AF3B5F">
      <w:pPr>
        <w:spacing w:line="360" w:lineRule="auto"/>
        <w:jc w:val="both"/>
        <w:rPr>
          <w:b/>
        </w:rPr>
      </w:pPr>
    </w:p>
    <w:p w14:paraId="01F0CFF1" w14:textId="119EB081" w:rsidR="00AF3B5F" w:rsidRPr="00800902" w:rsidRDefault="00AF3B5F" w:rsidP="00AF3B5F">
      <w:pPr>
        <w:spacing w:line="360" w:lineRule="auto"/>
        <w:jc w:val="both"/>
        <w:rPr>
          <w:bCs/>
        </w:rPr>
      </w:pPr>
      <w:r>
        <w:rPr>
          <w:b/>
        </w:rPr>
        <w:tab/>
      </w:r>
      <w:r w:rsidRPr="00800902">
        <w:rPr>
          <w:bCs/>
        </w:rPr>
        <w:t>Por fim</w:t>
      </w:r>
      <w:r>
        <w:rPr>
          <w:bCs/>
        </w:rPr>
        <w:t xml:space="preserve">, a fase pré-clínica no estudo de um novo medicamento envolve várias etapas, segue as exigências de agências reguladoras nacional e internacionais, varia os tipos de ensaios a depender da finalidade do medicamento, duração de uso, via de administração pretendida, entre outras especificações. A Figura </w:t>
      </w:r>
      <w:r w:rsidR="000D390F">
        <w:rPr>
          <w:bCs/>
        </w:rPr>
        <w:t>4</w:t>
      </w:r>
      <w:r>
        <w:rPr>
          <w:bCs/>
        </w:rPr>
        <w:t xml:space="preserve"> mostra, resumidamente, estas etapas.</w:t>
      </w:r>
    </w:p>
    <w:p w14:paraId="0E65FD36" w14:textId="77777777" w:rsidR="00AF3B5F" w:rsidRDefault="00AF3B5F" w:rsidP="00AF3B5F">
      <w:pPr>
        <w:spacing w:line="360" w:lineRule="auto"/>
        <w:jc w:val="both"/>
        <w:rPr>
          <w:bCs/>
        </w:rPr>
      </w:pPr>
    </w:p>
    <w:p w14:paraId="79AFBDFC" w14:textId="77777777" w:rsidR="00AF3B5F" w:rsidRPr="00A93DB5" w:rsidRDefault="00AF3B5F" w:rsidP="00AF3B5F">
      <w:pPr>
        <w:spacing w:line="360" w:lineRule="auto"/>
        <w:jc w:val="both"/>
        <w:rPr>
          <w:bCs/>
        </w:rPr>
      </w:pPr>
    </w:p>
    <w:p w14:paraId="66185452" w14:textId="77777777" w:rsidR="00AF3B5F" w:rsidRDefault="00AF3B5F" w:rsidP="00AF3B5F">
      <w:pPr>
        <w:jc w:val="both"/>
        <w:rPr>
          <w:b/>
        </w:rPr>
      </w:pPr>
      <w:r w:rsidRPr="00800902">
        <w:rPr>
          <w:b/>
          <w:noProof/>
        </w:rPr>
        <w:drawing>
          <wp:inline distT="0" distB="0" distL="0" distR="0" wp14:anchorId="64F0893C" wp14:editId="7ACDC23F">
            <wp:extent cx="5760085" cy="3284855"/>
            <wp:effectExtent l="0" t="0" r="5715" b="444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
                    <a:stretch>
                      <a:fillRect/>
                    </a:stretch>
                  </pic:blipFill>
                  <pic:spPr>
                    <a:xfrm>
                      <a:off x="0" y="0"/>
                      <a:ext cx="5760085" cy="3284855"/>
                    </a:xfrm>
                    <a:prstGeom prst="rect">
                      <a:avLst/>
                    </a:prstGeom>
                  </pic:spPr>
                </pic:pic>
              </a:graphicData>
            </a:graphic>
          </wp:inline>
        </w:drawing>
      </w:r>
    </w:p>
    <w:p w14:paraId="4E67BDA8" w14:textId="21853902" w:rsidR="00AF3B5F" w:rsidRPr="005C40E0" w:rsidRDefault="00AF3B5F" w:rsidP="00AF3B5F">
      <w:pPr>
        <w:jc w:val="both"/>
        <w:rPr>
          <w:b/>
          <w:lang w:val="en-US"/>
        </w:rPr>
      </w:pPr>
      <w:r>
        <w:rPr>
          <w:b/>
        </w:rPr>
        <w:t xml:space="preserve">Figura </w:t>
      </w:r>
      <w:r w:rsidR="000D390F">
        <w:rPr>
          <w:b/>
        </w:rPr>
        <w:t>4</w:t>
      </w:r>
      <w:r>
        <w:rPr>
          <w:b/>
        </w:rPr>
        <w:t xml:space="preserve"> – Etapas de ensaios pré-clínicos no desenvolvimento de novos medicamentos.</w:t>
      </w:r>
      <w:r w:rsidRPr="00242AD3">
        <w:rPr>
          <w:bCs/>
        </w:rPr>
        <w:t xml:space="preserve"> BPL: </w:t>
      </w:r>
      <w:r>
        <w:rPr>
          <w:bCs/>
        </w:rPr>
        <w:t>Boas Práticas de Laboratório; INM: Investigação de nova molécula; INF: Investigação de novo fármaco; ANM: Aplicação de novo medicamento; ADME: Absorção, Distribuição, Metabolismo, Excreção.</w:t>
      </w:r>
      <w:r>
        <w:rPr>
          <w:b/>
        </w:rPr>
        <w:t xml:space="preserve"> </w:t>
      </w:r>
      <w:r w:rsidRPr="005C40E0">
        <w:rPr>
          <w:bCs/>
          <w:lang w:val="en-US"/>
        </w:rPr>
        <w:t>Fonte: Adaptado de Andrade et al. (2016).</w:t>
      </w:r>
    </w:p>
    <w:p w14:paraId="7CE3B723" w14:textId="032B64E2" w:rsidR="00AF3B5F" w:rsidRDefault="00AF3B5F" w:rsidP="00AF3B5F">
      <w:pPr>
        <w:rPr>
          <w:b/>
          <w:lang w:val="en-US"/>
        </w:rPr>
      </w:pPr>
    </w:p>
    <w:p w14:paraId="32C9F371" w14:textId="77777777" w:rsidR="004974DB" w:rsidRPr="005C40E0" w:rsidRDefault="004974DB" w:rsidP="00AF3B5F">
      <w:pPr>
        <w:rPr>
          <w:b/>
          <w:lang w:val="en-US"/>
        </w:rPr>
      </w:pPr>
    </w:p>
    <w:p w14:paraId="5880656F" w14:textId="05410A19" w:rsidR="00AF3B5F" w:rsidRPr="005C40E0" w:rsidRDefault="00AF3B5F" w:rsidP="00AF3B5F">
      <w:pPr>
        <w:spacing w:line="360" w:lineRule="auto"/>
        <w:jc w:val="both"/>
        <w:rPr>
          <w:b/>
          <w:lang w:val="en-US"/>
        </w:rPr>
      </w:pPr>
      <w:r w:rsidRPr="005C40E0">
        <w:rPr>
          <w:b/>
          <w:lang w:val="en-US"/>
        </w:rPr>
        <w:t>R</w:t>
      </w:r>
      <w:r w:rsidR="000D390F" w:rsidRPr="005C40E0">
        <w:rPr>
          <w:b/>
          <w:lang w:val="en-US"/>
        </w:rPr>
        <w:t>eferências</w:t>
      </w:r>
    </w:p>
    <w:p w14:paraId="7691A170" w14:textId="088CF885" w:rsidR="00AF3B5F" w:rsidRPr="004974DB" w:rsidRDefault="00AF3B5F" w:rsidP="004974DB">
      <w:pPr>
        <w:autoSpaceDE w:val="0"/>
        <w:autoSpaceDN w:val="0"/>
        <w:adjustRightInd w:val="0"/>
        <w:spacing w:before="100" w:beforeAutospacing="1" w:after="100" w:afterAutospacing="1" w:line="360" w:lineRule="auto"/>
        <w:jc w:val="both"/>
        <w:rPr>
          <w:lang w:val="en-US"/>
        </w:rPr>
      </w:pPr>
      <w:r w:rsidRPr="004974DB">
        <w:rPr>
          <w:lang w:val="en-US"/>
        </w:rPr>
        <w:t xml:space="preserve">ANDRADE, E.L.; BENTO, A.F.; CAVALLI, J.; OLIVEIRA, S.K.; SCHWANKE, R.C.; SIQUEIRA, J.M.; FREITAS, C.S.; MARCON, R.; CALIXTO, J.B. Non-clinical studies in the process of new drug development – Part II: Good laboratory practice, metabolism, pharmacokinetics, safety and dose translation to clinical studies. </w:t>
      </w:r>
      <w:r w:rsidRPr="004974DB">
        <w:rPr>
          <w:b/>
          <w:bCs/>
          <w:lang w:val="en-US"/>
        </w:rPr>
        <w:t>Brazilian Journal of Medical and Biological Research</w:t>
      </w:r>
      <w:r w:rsidRPr="004974DB">
        <w:rPr>
          <w:lang w:val="en-US"/>
        </w:rPr>
        <w:t>, n. 49, n .12, e5646; 2016.</w:t>
      </w:r>
    </w:p>
    <w:p w14:paraId="4BEB3495"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b/>
        </w:rPr>
        <w:fldChar w:fldCharType="begin" w:fldLock="1"/>
      </w:r>
      <w:r w:rsidRPr="004974DB">
        <w:rPr>
          <w:b/>
        </w:rPr>
        <w:instrText xml:space="preserve">ADDIN Mendeley Bibliography CSL_BIBLIOGRAPHY </w:instrText>
      </w:r>
      <w:r w:rsidRPr="004974DB">
        <w:rPr>
          <w:b/>
        </w:rPr>
        <w:fldChar w:fldCharType="separate"/>
      </w:r>
      <w:r w:rsidRPr="004974DB">
        <w:rPr>
          <w:b/>
          <w:bCs/>
          <w:noProof/>
        </w:rPr>
        <w:t>Agência Europeia de Medicamentos (EMA) | União Europeia</w:t>
      </w:r>
      <w:r w:rsidRPr="004974DB">
        <w:rPr>
          <w:noProof/>
        </w:rPr>
        <w:t xml:space="preserve">. Disponível em: &lt;https://europa.eu/european-union/about-eu/agencies/ema_pt&gt;. Acesso em: 13 jun. 2020. </w:t>
      </w:r>
    </w:p>
    <w:p w14:paraId="194D0B60"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noProof/>
        </w:rPr>
        <w:t xml:space="preserve">ANVISA - Agência Nacional de Vigilância Sanitária. </w:t>
      </w:r>
      <w:r w:rsidRPr="004974DB">
        <w:rPr>
          <w:b/>
          <w:bCs/>
          <w:noProof/>
        </w:rPr>
        <w:t>Nota sobre o uso de animais em estudos pré-clínicos</w:t>
      </w:r>
      <w:r w:rsidRPr="004974DB">
        <w:rPr>
          <w:noProof/>
        </w:rPr>
        <w:t xml:space="preserve">. 2017. Disponível em: https://www.gov.br/anvisa/pt-br/assuntos/noticias-anvisa/anosanteriores/nota-da-anvisa-sobre-o-uso-de-animais-em-estudos-pre-clinicos. Acesso em: 12 jan 2022. </w:t>
      </w:r>
    </w:p>
    <w:p w14:paraId="69F5F762" w14:textId="77777777" w:rsidR="004974DB" w:rsidRDefault="004974DB" w:rsidP="004974DB">
      <w:pPr>
        <w:widowControl w:val="0"/>
        <w:autoSpaceDE w:val="0"/>
        <w:autoSpaceDN w:val="0"/>
        <w:adjustRightInd w:val="0"/>
        <w:spacing w:before="100" w:beforeAutospacing="1" w:after="100" w:afterAutospacing="1" w:line="360" w:lineRule="auto"/>
        <w:jc w:val="both"/>
        <w:rPr>
          <w:noProof/>
        </w:rPr>
      </w:pPr>
    </w:p>
    <w:p w14:paraId="3BBA3426" w14:textId="7DC0D69B"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noProof/>
        </w:rPr>
        <w:t>ANVISA</w:t>
      </w:r>
      <w:r w:rsidR="004974DB" w:rsidRPr="004974DB">
        <w:rPr>
          <w:noProof/>
          <w:lang w:val="pt-BR"/>
        </w:rPr>
        <w:t xml:space="preserve">. </w:t>
      </w:r>
      <w:r w:rsidRPr="004974DB">
        <w:rPr>
          <w:b/>
          <w:bCs/>
          <w:noProof/>
        </w:rPr>
        <w:t>Guia Para A Condução De</w:t>
      </w:r>
      <w:r w:rsidRPr="004974DB">
        <w:rPr>
          <w:noProof/>
        </w:rPr>
        <w:t xml:space="preserve"> </w:t>
      </w:r>
      <w:r w:rsidRPr="004974DB">
        <w:rPr>
          <w:b/>
          <w:bCs/>
          <w:noProof/>
        </w:rPr>
        <w:t>Estudos Não Clínicos De</w:t>
      </w:r>
      <w:r w:rsidRPr="004974DB">
        <w:rPr>
          <w:noProof/>
        </w:rPr>
        <w:t xml:space="preserve"> </w:t>
      </w:r>
      <w:r w:rsidRPr="004974DB">
        <w:rPr>
          <w:b/>
          <w:bCs/>
          <w:noProof/>
        </w:rPr>
        <w:t>Toxicologia e Segurança</w:t>
      </w:r>
      <w:r w:rsidRPr="004974DB">
        <w:rPr>
          <w:noProof/>
        </w:rPr>
        <w:t xml:space="preserve"> </w:t>
      </w:r>
      <w:r w:rsidRPr="004974DB">
        <w:rPr>
          <w:b/>
          <w:bCs/>
          <w:noProof/>
        </w:rPr>
        <w:t>Farmacológica</w:t>
      </w:r>
      <w:r w:rsidRPr="004974DB">
        <w:rPr>
          <w:noProof/>
        </w:rPr>
        <w:t xml:space="preserve"> </w:t>
      </w:r>
      <w:r w:rsidRPr="004974DB">
        <w:rPr>
          <w:b/>
          <w:bCs/>
          <w:noProof/>
        </w:rPr>
        <w:t>Necessários ao</w:t>
      </w:r>
      <w:r w:rsidRPr="004974DB">
        <w:rPr>
          <w:noProof/>
        </w:rPr>
        <w:t xml:space="preserve"> </w:t>
      </w:r>
      <w:r w:rsidRPr="004974DB">
        <w:rPr>
          <w:b/>
          <w:bCs/>
          <w:noProof/>
        </w:rPr>
        <w:t>Desenvolvimento De</w:t>
      </w:r>
      <w:r w:rsidRPr="004974DB">
        <w:rPr>
          <w:noProof/>
        </w:rPr>
        <w:t xml:space="preserve"> </w:t>
      </w:r>
      <w:r w:rsidRPr="004974DB">
        <w:rPr>
          <w:b/>
          <w:bCs/>
          <w:noProof/>
        </w:rPr>
        <w:t>Medicamentos</w:t>
      </w:r>
      <w:r w:rsidRPr="004974DB">
        <w:rPr>
          <w:noProof/>
        </w:rPr>
        <w:t>. Gerência de Avaliação de Segurança e Eficácia, 2013.</w:t>
      </w:r>
    </w:p>
    <w:p w14:paraId="716F5A36"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noProof/>
        </w:rPr>
        <w:t>ANVISA - Agência Nacional de Vigilância Sanitária. Resolução N</w:t>
      </w:r>
      <w:r w:rsidRPr="004974DB">
        <w:rPr>
          <w:noProof/>
          <w:vertAlign w:val="superscript"/>
        </w:rPr>
        <w:t>o</w:t>
      </w:r>
      <w:r w:rsidRPr="004974DB">
        <w:rPr>
          <w:noProof/>
        </w:rPr>
        <w:t xml:space="preserve"> 90, de 16 de março de 2004. Guia Para A Realização De Estudos De Toxicidade Pré-Clínica De Fitoterápicos.</w:t>
      </w:r>
    </w:p>
    <w:p w14:paraId="57E4C399"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lang w:val="en-US"/>
        </w:rPr>
      </w:pPr>
      <w:r w:rsidRPr="004974DB">
        <w:rPr>
          <w:noProof/>
          <w:lang w:val="en-US"/>
        </w:rPr>
        <w:t xml:space="preserve">BRAGA, R. et al. Tuning hERG Out: Antitarget QSAR Models for Drug Development. </w:t>
      </w:r>
      <w:r w:rsidRPr="004974DB">
        <w:rPr>
          <w:b/>
          <w:bCs/>
          <w:noProof/>
          <w:lang w:val="en-US"/>
        </w:rPr>
        <w:t>Current Topics in Medicinal Chemistry</w:t>
      </w:r>
      <w:r w:rsidRPr="004974DB">
        <w:rPr>
          <w:noProof/>
          <w:lang w:val="en-US"/>
        </w:rPr>
        <w:t xml:space="preserve">, v. 14, n. 11, p. 1399–1415; 2014. </w:t>
      </w:r>
    </w:p>
    <w:p w14:paraId="7E30B9B1"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lang w:val="en-US"/>
        </w:rPr>
      </w:pPr>
      <w:r w:rsidRPr="004974DB">
        <w:rPr>
          <w:noProof/>
          <w:lang w:val="en-US"/>
        </w:rPr>
        <w:t xml:space="preserve">BRAGA, R. C. et al. Combination of docking, molecular dynamics and quantum mechanical calculations for metabolism prediction of 3,4-methylenedioxybenzoyl-2-thienylhydrazone. </w:t>
      </w:r>
      <w:r w:rsidRPr="004974DB">
        <w:rPr>
          <w:b/>
          <w:bCs/>
          <w:noProof/>
          <w:lang w:val="en-US"/>
        </w:rPr>
        <w:t>Journal of molecular modeling</w:t>
      </w:r>
      <w:r w:rsidRPr="004974DB">
        <w:rPr>
          <w:noProof/>
          <w:lang w:val="en-US"/>
        </w:rPr>
        <w:t xml:space="preserve">, v. 18, n. 5, p. 2065–78; 2012. </w:t>
      </w:r>
    </w:p>
    <w:p w14:paraId="2E50B7D5"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noProof/>
          <w:lang w:val="en-US"/>
        </w:rPr>
        <w:t xml:space="preserve">BRANDON, E. F. A. et al. </w:t>
      </w:r>
      <w:r w:rsidRPr="004974DB">
        <w:rPr>
          <w:b/>
          <w:bCs/>
          <w:noProof/>
          <w:lang w:val="en-US"/>
        </w:rPr>
        <w:t xml:space="preserve">An update on in vitro test methods in human hepatic drug biotransformation research: Pros and consToxicology and Applied Pharmacology. </w:t>
      </w:r>
      <w:r w:rsidRPr="004974DB">
        <w:rPr>
          <w:noProof/>
        </w:rPr>
        <w:t xml:space="preserve">Academic Press Inc; 2003. </w:t>
      </w:r>
    </w:p>
    <w:p w14:paraId="69A93C05"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noProof/>
        </w:rPr>
        <w:t xml:space="preserve">BRASIL. </w:t>
      </w:r>
      <w:r w:rsidRPr="004974DB">
        <w:rPr>
          <w:b/>
          <w:bCs/>
          <w:noProof/>
        </w:rPr>
        <w:t>Resolução N</w:t>
      </w:r>
      <w:r w:rsidRPr="004974DB">
        <w:rPr>
          <w:b/>
          <w:bCs/>
          <w:noProof/>
          <w:vertAlign w:val="superscript"/>
        </w:rPr>
        <w:t>o</w:t>
      </w:r>
      <w:r w:rsidRPr="004974DB">
        <w:rPr>
          <w:b/>
          <w:bCs/>
          <w:noProof/>
        </w:rPr>
        <w:t xml:space="preserve"> 466</w:t>
      </w:r>
      <w:r w:rsidRPr="004974DB">
        <w:rPr>
          <w:noProof/>
        </w:rPr>
        <w:t xml:space="preserve">, de dezembro de 2012. Aprova diretrizes e normas regulamentadoras de pesquisas envolvendo seres humanos. Ministério da Saúde, Conselho Nacional de Saúde. Diário Oficial da União nº 12, 13 de junho de 2013. </w:t>
      </w:r>
    </w:p>
    <w:p w14:paraId="1C707D43"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b/>
          <w:bCs/>
          <w:noProof/>
          <w:lang w:val="en-US"/>
        </w:rPr>
        <w:t>Committee for Medicinal Products for Human Use (CHMP) Questions and answers on the withdrawal of the “Note for guidance on single dose toxicity”</w:t>
      </w:r>
      <w:r w:rsidRPr="004974DB">
        <w:rPr>
          <w:noProof/>
          <w:lang w:val="en-US"/>
        </w:rPr>
        <w:t xml:space="preserve">. . </w:t>
      </w:r>
      <w:r w:rsidRPr="004974DB">
        <w:rPr>
          <w:noProof/>
        </w:rPr>
        <w:t>[s.l: s.n.]. Disponível em: &lt;www.ema.europa.eu&gt;. Acesso em: 24 jun. 2020.</w:t>
      </w:r>
    </w:p>
    <w:p w14:paraId="228226F8"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noProof/>
        </w:rPr>
        <w:t xml:space="preserve">COSTA, N. M. N. </w:t>
      </w:r>
      <w:r w:rsidRPr="004974DB">
        <w:rPr>
          <w:b/>
          <w:bCs/>
          <w:noProof/>
        </w:rPr>
        <w:t>Estudos Clínicos de Fase 0 no contexto dos Ensaios Clínicos: um novo paradigma a considerar?</w:t>
      </w:r>
      <w:r w:rsidRPr="004974DB">
        <w:rPr>
          <w:noProof/>
        </w:rPr>
        <w:t xml:space="preserve"> [s.l: s.n.]. </w:t>
      </w:r>
    </w:p>
    <w:p w14:paraId="761DB156"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b/>
          <w:bCs/>
          <w:noProof/>
        </w:rPr>
        <w:t>Estudos IND Exploratórios | FDA</w:t>
      </w:r>
      <w:r w:rsidRPr="004974DB">
        <w:rPr>
          <w:noProof/>
        </w:rPr>
        <w:t xml:space="preserve">. Disponível em: &lt;https://www.fda.gov/regulatory-information/search-fda-guidance-documents/exploratory-ind-studies&gt;. Acesso em: 22 jun. 2020. </w:t>
      </w:r>
    </w:p>
    <w:p w14:paraId="6C2927C0"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noProof/>
        </w:rPr>
        <w:t xml:space="preserve">GAWAI, A. A. et al. </w:t>
      </w:r>
      <w:r w:rsidRPr="004974DB">
        <w:rPr>
          <w:b/>
          <w:bCs/>
          <w:noProof/>
        </w:rPr>
        <w:t xml:space="preserve">Klinik Faz ‘0’Testleri ya da Yeni İlaç Keşif Araştırmaları Üzerine Bir DerlemeTurkish Journal of Pharmaceutical Sciences, </w:t>
      </w:r>
      <w:r w:rsidRPr="004974DB">
        <w:rPr>
          <w:noProof/>
        </w:rPr>
        <w:t xml:space="preserve">Turkish Pharmacists Association, , 15 abr. 2017. </w:t>
      </w:r>
    </w:p>
    <w:p w14:paraId="01E6E62B"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lang w:val="en-US"/>
        </w:rPr>
      </w:pPr>
      <w:r w:rsidRPr="004974DB">
        <w:rPr>
          <w:noProof/>
          <w:lang w:val="en-US"/>
        </w:rPr>
        <w:t xml:space="preserve">GUPTA, U. et al. Phase 0 clinical trials in oncology new drug development. </w:t>
      </w:r>
      <w:r w:rsidRPr="004974DB">
        <w:rPr>
          <w:b/>
          <w:bCs/>
          <w:noProof/>
          <w:lang w:val="en-US"/>
        </w:rPr>
        <w:t>Perspectives in Clinical Research</w:t>
      </w:r>
      <w:r w:rsidRPr="004974DB">
        <w:rPr>
          <w:noProof/>
          <w:lang w:val="en-US"/>
        </w:rPr>
        <w:t xml:space="preserve">, v. 2, n. 1, p. 13, 2011. </w:t>
      </w:r>
    </w:p>
    <w:p w14:paraId="1218A503"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lang w:val="en-US"/>
        </w:rPr>
      </w:pPr>
      <w:r w:rsidRPr="004974DB">
        <w:rPr>
          <w:noProof/>
          <w:lang w:val="en-US"/>
        </w:rPr>
        <w:t xml:space="preserve">KREGER, J. FELDMAN, N. </w:t>
      </w:r>
      <w:r w:rsidRPr="004974DB">
        <w:rPr>
          <w:b/>
          <w:bCs/>
          <w:noProof/>
          <w:lang w:val="en-US"/>
        </w:rPr>
        <w:t>From mice to men: a preclinical outsourcing market update</w:t>
      </w:r>
      <w:r w:rsidRPr="004974DB">
        <w:rPr>
          <w:noProof/>
          <w:lang w:val="en-US"/>
        </w:rPr>
        <w:t>. Chicago: William Blair &amp; Company, 2004.</w:t>
      </w:r>
    </w:p>
    <w:p w14:paraId="567F3012"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lang w:val="en-US"/>
        </w:rPr>
      </w:pPr>
      <w:r w:rsidRPr="004974DB">
        <w:rPr>
          <w:noProof/>
          <w:lang w:val="en-US"/>
        </w:rPr>
        <w:t>MARCHETTI, S.; SCHELLENS, J. H. M. The impact of FDA and EMEA guidelines on drug development in relation to Phase 0 trials. British Journal of Cancer</w:t>
      </w:r>
      <w:r w:rsidRPr="004974DB">
        <w:rPr>
          <w:b/>
          <w:bCs/>
          <w:noProof/>
          <w:lang w:val="en-US"/>
        </w:rPr>
        <w:t xml:space="preserve"> </w:t>
      </w:r>
      <w:r w:rsidRPr="004974DB">
        <w:rPr>
          <w:noProof/>
          <w:lang w:val="en-US"/>
        </w:rPr>
        <w:t xml:space="preserve">Nature Publishing Group, , 28 ago. 2007. </w:t>
      </w:r>
    </w:p>
    <w:p w14:paraId="5D96D544" w14:textId="1C206D34" w:rsidR="00AF3B5F" w:rsidRPr="004974DB" w:rsidRDefault="00AF3B5F" w:rsidP="004974DB">
      <w:pPr>
        <w:widowControl w:val="0"/>
        <w:autoSpaceDE w:val="0"/>
        <w:autoSpaceDN w:val="0"/>
        <w:adjustRightInd w:val="0"/>
        <w:spacing w:before="100" w:beforeAutospacing="1" w:after="100" w:afterAutospacing="1" w:line="360" w:lineRule="auto"/>
        <w:jc w:val="both"/>
        <w:rPr>
          <w:noProof/>
          <w:lang w:val="en-US"/>
        </w:rPr>
      </w:pPr>
      <w:r w:rsidRPr="004974DB">
        <w:rPr>
          <w:noProof/>
          <w:lang w:val="en-US"/>
        </w:rPr>
        <w:t xml:space="preserve">MARONE, P. A.; HALL, W. C.; HAYES, A. W. Reassessing the two-year rodent carcinogenicity bioassay: A review of the applicability to human risk and current perspectives. </w:t>
      </w:r>
      <w:r w:rsidRPr="004974DB">
        <w:rPr>
          <w:b/>
          <w:bCs/>
          <w:noProof/>
          <w:lang w:val="en-US"/>
        </w:rPr>
        <w:t>Regulatory Toxicology and Pharmacology</w:t>
      </w:r>
      <w:r w:rsidRPr="004974DB">
        <w:rPr>
          <w:noProof/>
          <w:lang w:val="en-US"/>
        </w:rPr>
        <w:t xml:space="preserve">, v. 68, n. 1, p. 108–118; 2014. </w:t>
      </w:r>
    </w:p>
    <w:p w14:paraId="7E80682B"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lang w:val="en-US"/>
        </w:rPr>
      </w:pPr>
      <w:r w:rsidRPr="004974DB">
        <w:rPr>
          <w:noProof/>
          <w:lang w:val="en-US"/>
        </w:rPr>
        <w:t xml:space="preserve">MEDICINES AGENCY, E. </w:t>
      </w:r>
      <w:r w:rsidRPr="004974DB">
        <w:rPr>
          <w:b/>
          <w:bCs/>
          <w:noProof/>
          <w:lang w:val="en-US"/>
        </w:rPr>
        <w:t>ICH guideline S2 (R1) on genotoxicity testing and data interpretation for pharmaceuticals intended for human use</w:t>
      </w:r>
      <w:r w:rsidRPr="004974DB">
        <w:rPr>
          <w:noProof/>
          <w:lang w:val="en-US"/>
        </w:rPr>
        <w:t xml:space="preserve">. </w:t>
      </w:r>
      <w:r w:rsidRPr="004974DB">
        <w:rPr>
          <w:noProof/>
        </w:rPr>
        <w:t xml:space="preserve">[s.l: s.n.]. Disponível em: &lt;www.ema.europa.eu&gt;. </w:t>
      </w:r>
      <w:r w:rsidRPr="004974DB">
        <w:rPr>
          <w:noProof/>
          <w:lang w:val="en-US"/>
        </w:rPr>
        <w:t>Acesso em: 24 jun. 2020.</w:t>
      </w:r>
    </w:p>
    <w:p w14:paraId="1F292AFD"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noProof/>
          <w:lang w:val="en-US"/>
        </w:rPr>
        <w:t xml:space="preserve">NEVES, B. J. et al. In silico repositioning-chemogenomics strategy identifies new drugs with potential activity against multiple life stages of Schistosoma mansoni. </w:t>
      </w:r>
      <w:r w:rsidRPr="004974DB">
        <w:rPr>
          <w:b/>
          <w:bCs/>
          <w:noProof/>
        </w:rPr>
        <w:t>PLoS neglected tropical diseases</w:t>
      </w:r>
      <w:r w:rsidRPr="004974DB">
        <w:rPr>
          <w:noProof/>
        </w:rPr>
        <w:t xml:space="preserve">, v. 9, n. 1, p. e3435, jan. 2015. </w:t>
      </w:r>
    </w:p>
    <w:p w14:paraId="0962FF02"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noProof/>
        </w:rPr>
        <w:t xml:space="preserve">ANDREOTTI, P. </w:t>
      </w:r>
      <w:r w:rsidRPr="004974DB">
        <w:rPr>
          <w:b/>
          <w:bCs/>
          <w:noProof/>
        </w:rPr>
        <w:t>Guia para condução de estudos não clínicos de toxicologia e segurança farmacológica necessários ao desenvolvimento de mediamentos</w:t>
      </w:r>
      <w:r w:rsidRPr="004974DB">
        <w:rPr>
          <w:noProof/>
        </w:rPr>
        <w:t>. [s.l: s.n.]. Disponível em: &lt;www.anvisa.gov.br&gt;. Acesso em: 24 jun. 2020.</w:t>
      </w:r>
    </w:p>
    <w:p w14:paraId="35DDB410"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noProof/>
        </w:rPr>
        <w:t xml:space="preserve">Pieroni, J.P.; Capanema, L.X.Lemos; Reis, C.; Souza, J O.B.; Silva, L.G. Terceirização da P&amp;D de medicamentos: panorama do setor de testes pré-clínicos no Brasil. </w:t>
      </w:r>
      <w:r w:rsidRPr="004974DB">
        <w:rPr>
          <w:b/>
          <w:bCs/>
          <w:noProof/>
        </w:rPr>
        <w:t>BNDES Setorial</w:t>
      </w:r>
      <w:r w:rsidRPr="004974DB">
        <w:rPr>
          <w:noProof/>
        </w:rPr>
        <w:t>, n. 29, p. 131-158; 2009.</w:t>
      </w:r>
    </w:p>
    <w:p w14:paraId="15519678" w14:textId="77777777" w:rsidR="00AF3B5F" w:rsidRPr="004974DB" w:rsidRDefault="00AF3B5F" w:rsidP="004974DB">
      <w:pPr>
        <w:widowControl w:val="0"/>
        <w:autoSpaceDE w:val="0"/>
        <w:autoSpaceDN w:val="0"/>
        <w:adjustRightInd w:val="0"/>
        <w:spacing w:before="100" w:beforeAutospacing="1" w:after="100" w:afterAutospacing="1" w:line="360" w:lineRule="auto"/>
        <w:jc w:val="both"/>
        <w:rPr>
          <w:noProof/>
        </w:rPr>
      </w:pPr>
      <w:r w:rsidRPr="004974DB">
        <w:rPr>
          <w:noProof/>
        </w:rPr>
        <w:t xml:space="preserve">TECNOLOGIAS DE PESQUISA. </w:t>
      </w:r>
      <w:r w:rsidRPr="004974DB">
        <w:rPr>
          <w:b/>
          <w:bCs/>
          <w:noProof/>
        </w:rPr>
        <w:t>High Throughput Screening - Pharmaceuticals</w:t>
      </w:r>
      <w:r w:rsidRPr="004974DB">
        <w:rPr>
          <w:noProof/>
        </w:rPr>
        <w:t xml:space="preserve">. Disponível em: &lt;https://pharma.bayer.com.br/pt/pesquisa-desenvolvimento/tecnologias-tendencias/tecnologias-pesquisa/high-throughput-screening/index.php&gt;. Acesso em: 16 jun. 2020. </w:t>
      </w:r>
    </w:p>
    <w:p w14:paraId="58A1BB1E" w14:textId="34305A8D" w:rsidR="00AF3B5F" w:rsidRPr="009C4360" w:rsidRDefault="00AF3B5F" w:rsidP="004974DB">
      <w:pPr>
        <w:widowControl w:val="0"/>
        <w:autoSpaceDE w:val="0"/>
        <w:autoSpaceDN w:val="0"/>
        <w:adjustRightInd w:val="0"/>
        <w:spacing w:before="100" w:beforeAutospacing="1" w:after="100" w:afterAutospacing="1" w:line="360" w:lineRule="auto"/>
        <w:jc w:val="both"/>
        <w:rPr>
          <w:b/>
        </w:rPr>
      </w:pPr>
      <w:r w:rsidRPr="004974DB">
        <w:rPr>
          <w:b/>
        </w:rPr>
        <w:fldChar w:fldCharType="end"/>
      </w:r>
      <w:r w:rsidR="004974DB">
        <w:rPr>
          <w:b/>
        </w:rPr>
        <w:br w:type="page"/>
      </w:r>
    </w:p>
    <w:p w14:paraId="1E27EC7A" w14:textId="10F5AE5C" w:rsidR="007E47CB" w:rsidRDefault="007E47CB" w:rsidP="007E47CB">
      <w:pPr>
        <w:rPr>
          <w:rFonts w:cstheme="minorHAnsi"/>
          <w:b/>
          <w:bCs/>
          <w:sz w:val="32"/>
        </w:rPr>
      </w:pPr>
      <w:bookmarkStart w:id="1" w:name="_Hlk46073362"/>
      <w:r>
        <w:rPr>
          <w:rFonts w:cstheme="minorHAnsi"/>
          <w:b/>
          <w:bCs/>
          <w:sz w:val="32"/>
        </w:rPr>
        <w:t xml:space="preserve">Capítulo </w:t>
      </w:r>
      <w:r w:rsidR="0096461D">
        <w:rPr>
          <w:rFonts w:cstheme="minorHAnsi"/>
          <w:b/>
          <w:bCs/>
          <w:sz w:val="32"/>
        </w:rPr>
        <w:t>5</w:t>
      </w:r>
    </w:p>
    <w:p w14:paraId="0CC9A7E0" w14:textId="77777777" w:rsidR="007E0F49" w:rsidRDefault="007E0F49" w:rsidP="007E0F49">
      <w:pPr>
        <w:spacing w:line="360" w:lineRule="auto"/>
        <w:rPr>
          <w:b/>
          <w:bCs/>
          <w:color w:val="000000"/>
          <w:sz w:val="28"/>
          <w:szCs w:val="28"/>
        </w:rPr>
      </w:pPr>
      <w:r>
        <w:rPr>
          <w:b/>
          <w:bCs/>
          <w:color w:val="000000"/>
          <w:sz w:val="28"/>
          <w:szCs w:val="28"/>
        </w:rPr>
        <w:t>Ensaios Clínicos</w:t>
      </w:r>
    </w:p>
    <w:p w14:paraId="2F39E5A9" w14:textId="77777777" w:rsidR="007E0F49" w:rsidRPr="000C7AAD" w:rsidRDefault="007E0F49" w:rsidP="007E0F49">
      <w:pPr>
        <w:spacing w:line="360" w:lineRule="auto"/>
        <w:jc w:val="right"/>
        <w:rPr>
          <w:color w:val="000000"/>
          <w:sz w:val="28"/>
          <w:szCs w:val="28"/>
        </w:rPr>
      </w:pPr>
      <w:r w:rsidRPr="000C7AAD">
        <w:rPr>
          <w:color w:val="000000"/>
          <w:sz w:val="28"/>
          <w:szCs w:val="28"/>
        </w:rPr>
        <w:t>Carolline de Araújo Mariz</w:t>
      </w:r>
    </w:p>
    <w:p w14:paraId="5B2C6174" w14:textId="77777777" w:rsidR="007E0F49" w:rsidRPr="000C7AAD" w:rsidRDefault="007E0F49" w:rsidP="007E0F49">
      <w:pPr>
        <w:spacing w:line="360" w:lineRule="auto"/>
        <w:jc w:val="right"/>
        <w:rPr>
          <w:color w:val="000000"/>
          <w:sz w:val="28"/>
          <w:szCs w:val="28"/>
        </w:rPr>
      </w:pPr>
      <w:r w:rsidRPr="000C7AAD">
        <w:rPr>
          <w:color w:val="000000"/>
          <w:sz w:val="28"/>
          <w:szCs w:val="28"/>
        </w:rPr>
        <w:t xml:space="preserve">Irineu </w:t>
      </w:r>
      <w:r>
        <w:rPr>
          <w:color w:val="000000"/>
          <w:sz w:val="28"/>
          <w:szCs w:val="28"/>
        </w:rPr>
        <w:t>Pessoa</w:t>
      </w:r>
    </w:p>
    <w:p w14:paraId="50A38FE8" w14:textId="77777777" w:rsidR="007E0F49" w:rsidRDefault="007E0F49" w:rsidP="007E0F49">
      <w:pPr>
        <w:spacing w:line="360" w:lineRule="auto"/>
        <w:rPr>
          <w:b/>
          <w:bCs/>
          <w:color w:val="000000"/>
          <w:sz w:val="28"/>
          <w:szCs w:val="28"/>
        </w:rPr>
      </w:pPr>
    </w:p>
    <w:p w14:paraId="50EF6B7E" w14:textId="67D62F03" w:rsidR="007E0F49" w:rsidRPr="007D0992" w:rsidRDefault="007E0F49" w:rsidP="007E0F49">
      <w:pPr>
        <w:spacing w:line="360" w:lineRule="auto"/>
        <w:rPr>
          <w:b/>
          <w:bCs/>
          <w:color w:val="000000"/>
        </w:rPr>
      </w:pPr>
      <w:bookmarkStart w:id="2" w:name="_Hlk45879236"/>
      <w:r w:rsidRPr="007D0992">
        <w:rPr>
          <w:b/>
          <w:bCs/>
          <w:color w:val="000000"/>
        </w:rPr>
        <w:t>Uma breve história</w:t>
      </w:r>
      <w:bookmarkEnd w:id="2"/>
    </w:p>
    <w:p w14:paraId="0BFB8E8D" w14:textId="77777777" w:rsidR="007E0F49" w:rsidRPr="000B0C18" w:rsidRDefault="007E0F49" w:rsidP="007E0F49">
      <w:pPr>
        <w:spacing w:line="360" w:lineRule="auto"/>
        <w:ind w:firstLine="708"/>
        <w:jc w:val="both"/>
      </w:pPr>
      <w:r w:rsidRPr="00EF5D48">
        <w:t xml:space="preserve">Historicamente, os estudos de intervenção têm evoluído ao longo do tempo. </w:t>
      </w:r>
      <w:r>
        <w:t xml:space="preserve">Os primeiros relatos remontam ao </w:t>
      </w:r>
      <w:r w:rsidRPr="00EF5D48">
        <w:t>Antigo Testamento</w:t>
      </w:r>
      <w:r>
        <w:t xml:space="preserve"> e à data de 605 a.C.</w:t>
      </w:r>
      <w:r w:rsidRPr="00EF5D48">
        <w:t xml:space="preserve"> </w:t>
      </w:r>
      <w:r>
        <w:t xml:space="preserve">O </w:t>
      </w:r>
      <w:r w:rsidRPr="00EF5D48">
        <w:t>primeiro capítulo do Livro de Daniel</w:t>
      </w:r>
      <w:r>
        <w:t xml:space="preserve"> </w:t>
      </w:r>
      <w:r w:rsidRPr="00EF5D48">
        <w:t xml:space="preserve">descreve um </w:t>
      </w:r>
      <w:r>
        <w:t>“</w:t>
      </w:r>
      <w:r w:rsidRPr="00EF5D48">
        <w:t>ensaio clínico</w:t>
      </w:r>
      <w:r>
        <w:t xml:space="preserve">”. O Rei da Babilônia, </w:t>
      </w:r>
      <w:r w:rsidRPr="00EF5D48">
        <w:t>Nabucodonosor,</w:t>
      </w:r>
      <w:r w:rsidRPr="000B0C18">
        <w:t xml:space="preserve"> </w:t>
      </w:r>
      <w:r>
        <w:t xml:space="preserve">após conquistar Israel, </w:t>
      </w:r>
      <w:r w:rsidRPr="00EF5D48">
        <w:t>ordenou que diversos jovens judeus fossem trazidos a seu palácio para servir por três anos</w:t>
      </w:r>
      <w:r>
        <w:t xml:space="preserve"> e </w:t>
      </w:r>
      <w:r w:rsidRPr="00EF5D48">
        <w:t>comessem apenas carne e vinh</w:t>
      </w:r>
      <w:r>
        <w:t xml:space="preserve">o. </w:t>
      </w:r>
      <w:r w:rsidRPr="00EF5D48">
        <w:t>Entre esses jovens, estava Daniel, que não queria desafiar a lei judaica ao comer a carne ou tomar o vinho servidos pelo Rei</w:t>
      </w:r>
      <w:r>
        <w:t xml:space="preserve"> e </w:t>
      </w:r>
      <w:r w:rsidRPr="00EF5D48">
        <w:t xml:space="preserve">pediu permissão para os jovens judeus comerem ervilhas e feijões (“legumes”) e beberem água </w:t>
      </w:r>
      <w:r>
        <w:t>ao invés</w:t>
      </w:r>
      <w:r w:rsidRPr="00EF5D48">
        <w:t xml:space="preserve"> de vinho.</w:t>
      </w:r>
      <w:r>
        <w:t xml:space="preserve"> </w:t>
      </w:r>
      <w:r w:rsidRPr="000B0C18">
        <w:t xml:space="preserve">Passados </w:t>
      </w:r>
      <w:r>
        <w:t>dez</w:t>
      </w:r>
      <w:r w:rsidRPr="000B0C18">
        <w:t xml:space="preserve"> dias, a aparência dos quatro rapazes era melhor e eles demonstravam estar mais saudáveis e fortes do que todos os jovens que se alimentavam da comida da mesa do Rei. </w:t>
      </w:r>
    </w:p>
    <w:p w14:paraId="4C987F87" w14:textId="77777777" w:rsidR="007E0F49" w:rsidRPr="00EF5D48" w:rsidRDefault="007E0F49" w:rsidP="007E0F49">
      <w:pPr>
        <w:spacing w:line="360" w:lineRule="auto"/>
        <w:ind w:firstLine="708"/>
        <w:jc w:val="both"/>
      </w:pPr>
      <w:r w:rsidRPr="00EF5D48">
        <w:t>No século XVII</w:t>
      </w:r>
      <w:r>
        <w:t>I</w:t>
      </w:r>
      <w:r w:rsidRPr="00EF5D48">
        <w:t>, James Lind, médico escocês da Marinha Britânica, ao tentar evitar o escorbuto, doença causada pela deficiência de vitamina C e, na época, responsável pela morte de vários marinheiros após longos períodos em alto mar, documentou a ingestão de sucos cítricos no tratamento do escorbuto, realizando o primeiro estudo controlado de que se tem notícia na Medicina</w:t>
      </w:r>
      <w:r>
        <w:t xml:space="preserve"> (LIND, 1953) </w:t>
      </w:r>
      <w:r w:rsidRPr="00EF5D48">
        <w:t xml:space="preserve">. </w:t>
      </w:r>
    </w:p>
    <w:p w14:paraId="116142C0" w14:textId="77777777" w:rsidR="007E0F49" w:rsidRDefault="007E0F49" w:rsidP="007E0F49">
      <w:pPr>
        <w:spacing w:line="360" w:lineRule="auto"/>
        <w:ind w:firstLine="708"/>
        <w:jc w:val="both"/>
      </w:pPr>
      <w:r w:rsidRPr="00EF5D48">
        <w:t>Lind, durante uma viagem pelo canal da mancha, resolveu testar em doze marinheiros, com sinais claros de escorbuto, 6 tipos de tratamento para a doença. Ao comparar os grupos, comprovou que àquele que recebeu duas laranjas e um limão por dia melhorou drasticamente da doença em uma semana e logo retomou o trabalho. Observou</w:t>
      </w:r>
      <w:r>
        <w:t xml:space="preserve"> também, que uma outra dupla, apresentou discreta melhora ao receber um suprimento especial com cidra, que na época, a cidra não purificada, continha pequenas quantidades de ácido ascórbico, suficientes para melhorar a progressão da doença </w:t>
      </w:r>
      <w:bookmarkStart w:id="3" w:name="_Hlk46307466"/>
      <w:r>
        <w:t>(LIND, 1953)</w:t>
      </w:r>
      <w:bookmarkEnd w:id="3"/>
      <w:r>
        <w:t xml:space="preserve">. Desta forma, James Lind tornou-se o </w:t>
      </w:r>
      <w:r w:rsidRPr="004166FC">
        <w:t>primeiro</w:t>
      </w:r>
      <w:r>
        <w:t xml:space="preserve"> na história da medicina,</w:t>
      </w:r>
      <w:r w:rsidRPr="004166FC">
        <w:t xml:space="preserve"> a correlacionar a alta morbidade e mortalidade dos marinheiros ingleses com a deficiência da vitamina C</w:t>
      </w:r>
      <w:r>
        <w:t xml:space="preserve">. Apesar disso, somente após 40 anos, o seu trabalho foi posto em prática, com a obrigatoriedade da ingestão diária de sumos de </w:t>
      </w:r>
      <w:r w:rsidRPr="00CC0A08">
        <w:t>frutas cítricas</w:t>
      </w:r>
      <w:r>
        <w:t xml:space="preserve"> pela</w:t>
      </w:r>
      <w:r w:rsidRPr="00CC0A08">
        <w:t xml:space="preserve"> Marinha Britânica</w:t>
      </w:r>
      <w:r>
        <w:t xml:space="preserve"> (</w:t>
      </w:r>
      <w:r w:rsidRPr="003E382F">
        <w:t>BARTHOLOMEW</w:t>
      </w:r>
      <w:r>
        <w:t xml:space="preserve">, 2002; </w:t>
      </w:r>
      <w:r w:rsidRPr="001A6481">
        <w:t>TRÖHLE</w:t>
      </w:r>
      <w:r>
        <w:t xml:space="preserve">R, 2005). </w:t>
      </w:r>
    </w:p>
    <w:p w14:paraId="5B4A7805" w14:textId="77777777" w:rsidR="007E0F49" w:rsidRDefault="007E0F49" w:rsidP="007E0F49">
      <w:pPr>
        <w:spacing w:line="360" w:lineRule="auto"/>
        <w:ind w:firstLine="708"/>
        <w:jc w:val="both"/>
      </w:pPr>
      <w:r>
        <w:t xml:space="preserve">O século XIX foi marcado por uma série de eventos importantes que contribuíram para o desenvolvimento do que é hoje, o órgão </w:t>
      </w:r>
      <w:r w:rsidRPr="00C12B23">
        <w:rPr>
          <w:i/>
          <w:iCs/>
        </w:rPr>
        <w:t>Food and Drug Administration</w:t>
      </w:r>
      <w:r w:rsidRPr="00BB54F1">
        <w:t xml:space="preserve"> </w:t>
      </w:r>
      <w:r>
        <w:t xml:space="preserve">(FDA), </w:t>
      </w:r>
      <w:r w:rsidRPr="00BB54F1">
        <w:t>uma agência do Departamento</w:t>
      </w:r>
      <w:r>
        <w:t xml:space="preserve"> </w:t>
      </w:r>
      <w:r w:rsidRPr="00BB54F1">
        <w:t>da Saúde e Serviços Humanos dos Estados Unidos, responsável pela regulamentação e supervisão da maioria dos produtos alimentares, medicamentos</w:t>
      </w:r>
      <w:r>
        <w:t xml:space="preserve"> </w:t>
      </w:r>
      <w:r w:rsidRPr="00BB54F1">
        <w:t>humanos e veterinários, equipamentos biológicos e médicos, cosméticos e alimentos para animais</w:t>
      </w:r>
      <w:r>
        <w:t xml:space="preserve">. </w:t>
      </w:r>
    </w:p>
    <w:p w14:paraId="52EB4177" w14:textId="77777777" w:rsidR="007E0F49" w:rsidRPr="00C12B23" w:rsidRDefault="007E0F49" w:rsidP="007E0F49">
      <w:pPr>
        <w:spacing w:line="360" w:lineRule="auto"/>
        <w:ind w:firstLine="708"/>
        <w:jc w:val="both"/>
      </w:pPr>
      <w:r>
        <w:t xml:space="preserve">Foi na década de 1820 que </w:t>
      </w:r>
      <w:r w:rsidRPr="003D79AD">
        <w:t xml:space="preserve">o primeiro </w:t>
      </w:r>
      <w:r>
        <w:t xml:space="preserve">compêndio de medicamentos dos Estados Unidos, </w:t>
      </w:r>
      <w:r w:rsidRPr="003D79AD">
        <w:rPr>
          <w:i/>
          <w:iCs/>
        </w:rPr>
        <w:t>US Pharmacopeia</w:t>
      </w:r>
      <w:r>
        <w:t xml:space="preserve">, </w:t>
      </w:r>
      <w:r w:rsidRPr="003D79AD">
        <w:t>foi produzido, determinando os padrões para pontos fortes, pureza, qualidade e consistência dos medicamentos.</w:t>
      </w:r>
      <w:r>
        <w:t xml:space="preserve"> </w:t>
      </w:r>
      <w:r w:rsidRPr="003D79AD">
        <w:t>Quase trinta anos após,</w:t>
      </w:r>
      <w:r w:rsidRPr="004C00E2">
        <w:t xml:space="preserve"> </w:t>
      </w:r>
      <w:r w:rsidRPr="0016487B">
        <w:t xml:space="preserve">o Ato de </w:t>
      </w:r>
      <w:r w:rsidRPr="00C12B23">
        <w:t xml:space="preserve">Importação de Medicamentos foi aprovado em resposta à morte de soldados norte-americanos em razão de quinina adulterada durante a guerra do México. Esse ato exigiu dos agentes alfandegários norte-americanos a inspeção e proibição da entrada de medicamentos adulterados de outros países. </w:t>
      </w:r>
      <w:r>
        <w:t xml:space="preserve">Paralelamente, a moralidade das observações experimentais despertava </w:t>
      </w:r>
      <w:r w:rsidRPr="00A30476">
        <w:t>Claude Bernard</w:t>
      </w:r>
      <w:r>
        <w:t xml:space="preserve">, </w:t>
      </w:r>
      <w:r w:rsidRPr="00A30476">
        <w:t>fisiologista francês</w:t>
      </w:r>
      <w:r>
        <w:t>, ao afirmar que</w:t>
      </w:r>
      <w:r w:rsidRPr="005901FC">
        <w:t xml:space="preserve"> “o princípio da moralidade médica” consistia em nunca causar dano ao ser humano, ainda que o resultado fosse altamente vantajoso para a ciência ou para a sociedade</w:t>
      </w:r>
      <w:r>
        <w:t xml:space="preserve"> (BERNARD, 1957).</w:t>
      </w:r>
    </w:p>
    <w:p w14:paraId="263B506B" w14:textId="249D776F" w:rsidR="007E0F49" w:rsidRDefault="007E0F49" w:rsidP="007E0F49">
      <w:pPr>
        <w:spacing w:line="360" w:lineRule="auto"/>
        <w:ind w:firstLine="708"/>
        <w:jc w:val="both"/>
      </w:pPr>
      <w:r>
        <w:t xml:space="preserve">Outros fatos importantes impulsionaram as autoridades a adotarem medidas de segurança envolvendo a produção </w:t>
      </w:r>
      <w:r w:rsidRPr="00C12B23">
        <w:t>de novas ferramentas para o tratamento e a</w:t>
      </w:r>
      <w:r>
        <w:t xml:space="preserve"> </w:t>
      </w:r>
      <w:r w:rsidRPr="00C12B23">
        <w:t>prevenção de doenças</w:t>
      </w:r>
      <w:r>
        <w:t>. A pesquisa biológica floresceu no mundo durante</w:t>
      </w:r>
      <w:r w:rsidRPr="00C12B23">
        <w:t xml:space="preserve"> </w:t>
      </w:r>
      <w:r>
        <w:t>a</w:t>
      </w:r>
      <w:r w:rsidRPr="00C12B23">
        <w:t xml:space="preserve"> transição entre os séculos XIX e XX</w:t>
      </w:r>
      <w:r>
        <w:t xml:space="preserve">. Nas Américas, a vacina inativada pelo calor para prevenir o </w:t>
      </w:r>
      <w:bookmarkStart w:id="4" w:name="_Hlk45471224"/>
      <w:r w:rsidRPr="002B2E0B">
        <w:rPr>
          <w:i/>
          <w:iCs/>
        </w:rPr>
        <w:t>Vibrio Cholerae</w:t>
      </w:r>
      <w:bookmarkEnd w:id="4"/>
      <w:r w:rsidRPr="002B2E0B">
        <w:t xml:space="preserve"> </w:t>
      </w:r>
      <w:r>
        <w:t xml:space="preserve">em porcos foi criada pelos </w:t>
      </w:r>
      <w:r w:rsidRPr="00C12B23">
        <w:t>norte-americanos</w:t>
      </w:r>
      <w:r>
        <w:t xml:space="preserve"> </w:t>
      </w:r>
      <w:r w:rsidRPr="00C12B23">
        <w:t>Theobald Smith e Edmund Salmon</w:t>
      </w:r>
      <w:r>
        <w:t xml:space="preserve"> (</w:t>
      </w:r>
      <w:r w:rsidRPr="0073004A">
        <w:t>SCHULTZ</w:t>
      </w:r>
      <w:r>
        <w:t xml:space="preserve">, 2008). Na Europa, o francês </w:t>
      </w:r>
      <w:r w:rsidRPr="00C12B23">
        <w:t>Louis Pasteur</w:t>
      </w:r>
      <w:r>
        <w:t>,</w:t>
      </w:r>
      <w:r w:rsidRPr="00C12B23">
        <w:t xml:space="preserve"> desenvolveu a vacina para proteger as aves do</w:t>
      </w:r>
      <w:r w:rsidRPr="002B2E0B">
        <w:rPr>
          <w:i/>
          <w:iCs/>
        </w:rPr>
        <w:t xml:space="preserve"> Vibrio Cholerae</w:t>
      </w:r>
      <w:r w:rsidRPr="00C12B23">
        <w:t xml:space="preserve"> </w:t>
      </w:r>
      <w:r>
        <w:t xml:space="preserve">e o alemão, </w:t>
      </w:r>
      <w:r w:rsidRPr="00C12B23">
        <w:t>Robert Koch</w:t>
      </w:r>
      <w:r>
        <w:t>,</w:t>
      </w:r>
      <w:r w:rsidRPr="00C12B23">
        <w:t xml:space="preserve"> descobriu e isolou os patógenos que causam o antraz, </w:t>
      </w:r>
      <w:r>
        <w:t>a</w:t>
      </w:r>
      <w:r w:rsidRPr="00C12B23">
        <w:t xml:space="preserve"> cólera, a tuberculose e a raiva</w:t>
      </w:r>
      <w:r>
        <w:t xml:space="preserve">. </w:t>
      </w:r>
      <w:r w:rsidRPr="00D77295">
        <w:t xml:space="preserve">Também no laboratório de Koch, foi descoberto como produzir e isolar as </w:t>
      </w:r>
      <w:bookmarkStart w:id="5" w:name="_Hlk45624725"/>
      <w:r w:rsidRPr="00D77295">
        <w:t>antitoxinas diftérica e tetânica</w:t>
      </w:r>
      <w:bookmarkEnd w:id="5"/>
      <w:r w:rsidRPr="00D77295">
        <w:t>, usando modelos animais</w:t>
      </w:r>
      <w:r>
        <w:t xml:space="preserve"> (</w:t>
      </w:r>
      <w:r w:rsidRPr="0073004A">
        <w:t>KAPER</w:t>
      </w:r>
      <w:r>
        <w:t>;</w:t>
      </w:r>
      <w:r w:rsidR="000D390F">
        <w:t xml:space="preserve"> </w:t>
      </w:r>
      <w:r w:rsidRPr="0073004A">
        <w:t>MORRIS</w:t>
      </w:r>
      <w:r>
        <w:t>;</w:t>
      </w:r>
      <w:r w:rsidR="000D390F">
        <w:t xml:space="preserve"> </w:t>
      </w:r>
      <w:r w:rsidRPr="0073004A">
        <w:t>LEVINE</w:t>
      </w:r>
      <w:r>
        <w:t>, 1995; GHOSE, 2011)</w:t>
      </w:r>
      <w:r w:rsidRPr="00D77295">
        <w:t>. E assim, após ser testada em humanos, a antitoxina sérica reduziu a mortalidade atribuída à difteria na Europa</w:t>
      </w:r>
      <w:r w:rsidRPr="00A17E9C">
        <w:t xml:space="preserve">. </w:t>
      </w:r>
      <w:r>
        <w:t xml:space="preserve">Logo, os Estados Unidos também começaram a produzir a toxina diftérica e, a partir daí, surgiram as discussões </w:t>
      </w:r>
      <w:r w:rsidRPr="00A17E9C">
        <w:t>sobre a necessidade de regulamentar e controlar a qualidade</w:t>
      </w:r>
      <w:r>
        <w:t xml:space="preserve"> </w:t>
      </w:r>
      <w:r w:rsidRPr="00A17E9C">
        <w:t>desses produtos biológicos</w:t>
      </w:r>
      <w:r>
        <w:t xml:space="preserve"> que eram </w:t>
      </w:r>
      <w:r w:rsidRPr="00A17E9C">
        <w:t>opera</w:t>
      </w:r>
      <w:r>
        <w:t>dos</w:t>
      </w:r>
      <w:r w:rsidRPr="00A17E9C">
        <w:t xml:space="preserve"> sem supervisão</w:t>
      </w:r>
      <w:bookmarkStart w:id="6" w:name="_Hlk45520738"/>
      <w:r>
        <w:t xml:space="preserve"> (</w:t>
      </w:r>
      <w:r w:rsidRPr="00F93643">
        <w:t>JUNOD, 2002</w:t>
      </w:r>
      <w:r>
        <w:t>).</w:t>
      </w:r>
    </w:p>
    <w:p w14:paraId="4C88D8B6" w14:textId="77777777" w:rsidR="007E0F49" w:rsidRDefault="007E0F49" w:rsidP="007E0F49">
      <w:pPr>
        <w:spacing w:line="360" w:lineRule="auto"/>
        <w:ind w:firstLine="708"/>
        <w:jc w:val="both"/>
      </w:pPr>
      <w:r>
        <w:t xml:space="preserve">Era nítida </w:t>
      </w:r>
      <w:r w:rsidRPr="00A30476">
        <w:t xml:space="preserve">a interferência da ciência na vida do ser humano e esta tendência </w:t>
      </w:r>
      <w:r>
        <w:t>emitia</w:t>
      </w:r>
      <w:r w:rsidRPr="00A30476">
        <w:t xml:space="preserve"> sinais claros de expansão, porém, além de conhecimento e descobertas consagradas, o ser humano também </w:t>
      </w:r>
      <w:r>
        <w:t xml:space="preserve">estava exposto à </w:t>
      </w:r>
      <w:r w:rsidRPr="00A30476">
        <w:t>aplicações de conhecimentos em fases iniciais, de natureza experimental</w:t>
      </w:r>
      <w:r>
        <w:t>, o que nem sempre trazia benefícios, pois, s</w:t>
      </w:r>
      <w:r w:rsidRPr="00A059D8">
        <w:t>e por um lado</w:t>
      </w:r>
      <w:r>
        <w:t xml:space="preserve"> </w:t>
      </w:r>
      <w:r w:rsidRPr="00A059D8">
        <w:t xml:space="preserve">os novos avanços traziam uma melhora significativa para algumas doenças, por outro lado, os experimentos eram conduzidos de forma não controlada, trazendo riscos à saúde dos seres humanos. Infelizmente, precisaram acontecer algumas tragédias, a exemplo do Elixir de Sulfanilamida que causou mortes dolorosas em </w:t>
      </w:r>
      <w:r>
        <w:t>mais de 100 pessoas</w:t>
      </w:r>
      <w:r w:rsidRPr="00A059D8">
        <w:t>, a maioria crianças, após ter sido comercializado sem que a sua formulação tenha sido previamente testada para toxicidade</w:t>
      </w:r>
      <w:r>
        <w:t xml:space="preserve"> (</w:t>
      </w:r>
      <w:bookmarkEnd w:id="6"/>
      <w:r w:rsidRPr="00773CB3">
        <w:t>GEILING</w:t>
      </w:r>
      <w:r>
        <w:t xml:space="preserve">; </w:t>
      </w:r>
      <w:r w:rsidRPr="00773CB3">
        <w:t>CANNON</w:t>
      </w:r>
      <w:r>
        <w:t xml:space="preserve">, 1938; </w:t>
      </w:r>
      <w:r w:rsidRPr="00773CB3">
        <w:t>ROUTLEDGE</w:t>
      </w:r>
      <w:r>
        <w:t>, 1998).</w:t>
      </w:r>
    </w:p>
    <w:p w14:paraId="38EE8EAA" w14:textId="77777777" w:rsidR="007E0F49" w:rsidRDefault="007E0F49" w:rsidP="007E0F49">
      <w:pPr>
        <w:spacing w:line="360" w:lineRule="auto"/>
        <w:ind w:firstLine="708"/>
        <w:jc w:val="both"/>
      </w:pPr>
      <w:r>
        <w:t xml:space="preserve">Ainda </w:t>
      </w:r>
      <w:r w:rsidRPr="00C12B23">
        <w:t>no século XX, a tuberculose pulmonar caracterizava-se por altas taxas de mortalidade, sobretudo até o final dos anos 40, quando resolveu-se testar a eficácia da estreptomicina, descoberta em 1944, no tratamento da tuberculose</w:t>
      </w:r>
      <w:r>
        <w:t xml:space="preserve"> </w:t>
      </w:r>
      <w:r w:rsidRPr="00773CB3">
        <w:t>(MACIEL, MENDES, GOMES et al., 2012)</w:t>
      </w:r>
      <w:r w:rsidRPr="00C12B23">
        <w:t xml:space="preserve">. A ideia de se fazer um ensaio clínico surgiu pelo fato </w:t>
      </w:r>
      <w:r>
        <w:t>do fármaco</w:t>
      </w:r>
      <w:r w:rsidRPr="00C12B23">
        <w:t xml:space="preserve"> ser rar</w:t>
      </w:r>
      <w:r>
        <w:t>o</w:t>
      </w:r>
      <w:r w:rsidRPr="00C12B23">
        <w:t xml:space="preserve">, </w:t>
      </w:r>
      <w:r>
        <w:t>de alto custo</w:t>
      </w:r>
      <w:r w:rsidRPr="00C12B23">
        <w:t xml:space="preserve"> e haver grande falta de recursos no pós-guerra, além do desastre que havia sido o uso de sais de ouro e da própria tuberculina, no tratamento da tuberculose. Existiam também, outros fatores que subsidiavam a condução de um ensaio clínico, a exemplo da imprevisibilidade da doença que tornava difícil verificar uma associação entre o efeito de um novo</w:t>
      </w:r>
      <w:r>
        <w:t xml:space="preserve"> medicamento e a cura ou a melhora da doença, além da avaliação empírica envolvendo vários medicamentos utilizados previamente no tratamento da tuberculose, o que produziu erros graves e até morte </w:t>
      </w:r>
      <w:r w:rsidRPr="00773CB3">
        <w:t>(MONTEIRO, 1945; ZWERLING et al., 2011)</w:t>
      </w:r>
      <w:r>
        <w:t xml:space="preserve">. </w:t>
      </w:r>
    </w:p>
    <w:p w14:paraId="32E3F3B7" w14:textId="77777777" w:rsidR="007E0F49" w:rsidRDefault="007E0F49" w:rsidP="007E0F49">
      <w:pPr>
        <w:spacing w:line="360" w:lineRule="auto"/>
        <w:ind w:firstLine="708"/>
        <w:jc w:val="both"/>
      </w:pPr>
      <w:r>
        <w:t xml:space="preserve">Diante deste cenário, considerou-se ético testar o medicamento em 55 pacientes com tuberculose e compará-los ao grupo controle que faria somente repouso no leito. Nascia, então, o </w:t>
      </w:r>
      <w:r w:rsidRPr="004A3773">
        <w:t xml:space="preserve">primeiro ensaio clínico </w:t>
      </w:r>
      <w:r>
        <w:t xml:space="preserve">randomizado. A novidade da alocação aleatória dos participantes foi introduzida pelo estatístico </w:t>
      </w:r>
      <w:r w:rsidRPr="004513EF">
        <w:t>Sir Austin Bradford Hill</w:t>
      </w:r>
      <w:r>
        <w:t xml:space="preserve"> com a finalidade de ocultar a sequência de alocação dos responsáveis pela entrada dos voluntários no estudo. Após 6 meses de seguimento, foi possível avaliar de maneira não viesada, a eficácia da estreptomicina (HILL, 1937; YOSHIOKA, 1998). </w:t>
      </w:r>
    </w:p>
    <w:p w14:paraId="6E0972CB" w14:textId="77777777" w:rsidR="007E0F49" w:rsidRDefault="007E0F49" w:rsidP="007E0F49">
      <w:pPr>
        <w:spacing w:line="360" w:lineRule="auto"/>
        <w:ind w:firstLine="708"/>
        <w:jc w:val="both"/>
      </w:pPr>
      <w:r>
        <w:t>A</w:t>
      </w:r>
      <w:r w:rsidRPr="00C32159">
        <w:t>pós o conhecimento dos abusos cometidos nos campos de concentração, durante a Segunda Guerra Mundial, com assassinatos, torturas e outros atos indignos nos experimentos científicos</w:t>
      </w:r>
      <w:r>
        <w:t xml:space="preserve">, </w:t>
      </w:r>
      <w:r w:rsidRPr="00C32159">
        <w:t>medidas internacionais de controle sobre a experimentação com seres humanos foram criadas</w:t>
      </w:r>
      <w:r>
        <w:t xml:space="preserve">. O </w:t>
      </w:r>
      <w:r w:rsidRPr="00C32159">
        <w:t>Código de Nuremberg</w:t>
      </w:r>
      <w:r>
        <w:t xml:space="preserve"> resultou </w:t>
      </w:r>
      <w:r w:rsidRPr="00C32159">
        <w:t>na elaboração de um conjunto de preceitos éticos para a pesquisa clínica</w:t>
      </w:r>
      <w:r>
        <w:t>, entre eles, a necessidade do</w:t>
      </w:r>
      <w:r w:rsidRPr="00C32159">
        <w:t xml:space="preserve"> consentimento voluntário do ser humano </w:t>
      </w:r>
      <w:r>
        <w:t xml:space="preserve">em participar do experimento. </w:t>
      </w:r>
      <w:r w:rsidRPr="00433980">
        <w:t>Infelizmente, durante os primeiros vinte anos de existência do documento, as diretrizes éticas de Nuremberg não foram capazes de sensibilizar os médicos para o respeito necessário no uso de seres humanos em pesquisas clínicas</w:t>
      </w:r>
      <w:r>
        <w:t xml:space="preserve"> </w:t>
      </w:r>
      <w:r w:rsidRPr="00FF74AD">
        <w:t>(WANDILE; GHOOI, 2017)</w:t>
      </w:r>
      <w:r>
        <w:t xml:space="preserve">. </w:t>
      </w:r>
    </w:p>
    <w:p w14:paraId="7B85C23D" w14:textId="77777777" w:rsidR="007E0F49" w:rsidRDefault="007E0F49" w:rsidP="007E0F49">
      <w:pPr>
        <w:spacing w:line="360" w:lineRule="auto"/>
        <w:ind w:firstLine="708"/>
        <w:jc w:val="both"/>
      </w:pPr>
      <w:r>
        <w:t xml:space="preserve">A condução de “ensaios clínicos” informais, envolvendo a talidomida, deixou mais </w:t>
      </w:r>
      <w:r w:rsidRPr="00540F14">
        <w:t>de dez mil bebês</w:t>
      </w:r>
      <w:r>
        <w:t xml:space="preserve"> </w:t>
      </w:r>
      <w:r w:rsidRPr="00540F14">
        <w:t>na Europa e na África</w:t>
      </w:r>
      <w:r>
        <w:t xml:space="preserve"> </w:t>
      </w:r>
      <w:r w:rsidRPr="00540F14">
        <w:t>com graves defeitos, sendo o mais comum</w:t>
      </w:r>
      <w:r>
        <w:t>, a ausência ou o encurtamento dos membros (BEECHER, 1966)</w:t>
      </w:r>
      <w:r w:rsidRPr="00540F14">
        <w:t>.</w:t>
      </w:r>
      <w:r>
        <w:t xml:space="preserve"> Por muito pouco, o medicamento não foi testado entre os norte-americanos, porém, diante de tamanha tragédia, o país publicou a </w:t>
      </w:r>
      <w:r w:rsidRPr="005A397A">
        <w:t>Emenda de Kefauver-Harris</w:t>
      </w:r>
      <w:r>
        <w:t>,</w:t>
      </w:r>
      <w:r w:rsidRPr="005A397A">
        <w:t xml:space="preserve"> de 1962</w:t>
      </w:r>
      <w:r>
        <w:t xml:space="preserve">, que </w:t>
      </w:r>
      <w:r w:rsidRPr="00A26A6B">
        <w:t>obrigou os fabricantes de medicamentos a oferecerem prova de eficácia de seus produtos através de</w:t>
      </w:r>
      <w:r>
        <w:t xml:space="preserve"> ensaios </w:t>
      </w:r>
      <w:r w:rsidRPr="00A26A6B">
        <w:t>clínicos</w:t>
      </w:r>
      <w:r>
        <w:t xml:space="preserve"> adequados e bem controlados</w:t>
      </w:r>
      <w:r w:rsidRPr="00A26A6B">
        <w:t xml:space="preserve">, </w:t>
      </w:r>
      <w:r w:rsidRPr="005A397A">
        <w:t xml:space="preserve">antes </w:t>
      </w:r>
      <w:r>
        <w:t>da sua comercialização</w:t>
      </w:r>
      <w:r w:rsidRPr="005A397A">
        <w:t xml:space="preserve">. </w:t>
      </w:r>
      <w:r>
        <w:t>Além disso, foram instituídos p</w:t>
      </w:r>
      <w:r w:rsidRPr="005A397A">
        <w:t>adrões mais rígidos de segurança</w:t>
      </w:r>
      <w:r>
        <w:t xml:space="preserve"> com a obrigatoriedade do relato de </w:t>
      </w:r>
      <w:r w:rsidRPr="005A397A">
        <w:t>efeitos adversos ao FDA</w:t>
      </w:r>
      <w:r>
        <w:t xml:space="preserve"> e o </w:t>
      </w:r>
      <w:r w:rsidRPr="005A397A">
        <w:t>consentimento informado</w:t>
      </w:r>
      <w:r>
        <w:t xml:space="preserve"> d</w:t>
      </w:r>
      <w:r w:rsidRPr="005A397A">
        <w:t>os participantes</w:t>
      </w:r>
      <w:r>
        <w:t xml:space="preserve"> no experimento (FDA, </w:t>
      </w:r>
      <w:r w:rsidRPr="00B55F9C">
        <w:t>NATIONAL RESEARCH COUNCIL</w:t>
      </w:r>
      <w:r>
        <w:t xml:space="preserve">, </w:t>
      </w:r>
      <w:r w:rsidRPr="00B55F9C">
        <w:t>1969</w:t>
      </w:r>
      <w:r>
        <w:t xml:space="preserve">; </w:t>
      </w:r>
      <w:r w:rsidRPr="00DE06D6">
        <w:rPr>
          <w:color w:val="000000"/>
          <w:shd w:val="clear" w:color="auto" w:fill="FFFFFF"/>
        </w:rPr>
        <w:t>LIPSKY; SHARP</w:t>
      </w:r>
      <w:r>
        <w:rPr>
          <w:color w:val="000000"/>
          <w:shd w:val="clear" w:color="auto" w:fill="FFFFFF"/>
        </w:rPr>
        <w:t>, 2001</w:t>
      </w:r>
      <w:r>
        <w:t>).</w:t>
      </w:r>
    </w:p>
    <w:p w14:paraId="161391B6" w14:textId="1EAAF403" w:rsidR="000D390F" w:rsidRDefault="007E0F49" w:rsidP="000D390F">
      <w:pPr>
        <w:spacing w:line="360" w:lineRule="auto"/>
        <w:ind w:firstLine="708"/>
        <w:jc w:val="both"/>
      </w:pPr>
      <w:r>
        <w:t xml:space="preserve">O rápido reconhecimento da aplicação dos ensaios clínicos como padrão-ouro para testar novas terapêuticas evitando efeitos colaterais graves, fez com que esse tipo de estudo fosse adotado por todas as disciplinas médicas, ocupando posição de destaque na prática médica </w:t>
      </w:r>
      <w:r w:rsidRPr="00493B83">
        <w:t>contemporânea (</w:t>
      </w:r>
      <w:bookmarkStart w:id="7" w:name="_Hlk46951324"/>
      <w:r w:rsidRPr="00493B83">
        <w:t>OLMOS et al., 2011</w:t>
      </w:r>
      <w:bookmarkEnd w:id="7"/>
      <w:r w:rsidRPr="00493B83">
        <w:t xml:space="preserve">). </w:t>
      </w:r>
      <w:r>
        <w:t xml:space="preserve">Atualmente, todos os Ensaios Clínicos conduzidos no mundo, devem ser registrados na </w:t>
      </w:r>
      <w:r w:rsidRPr="000E600D">
        <w:t>Plataforma Internacional de Registro de Ensaios Clínicos (ICTRP</w:t>
      </w:r>
      <w:r>
        <w:t xml:space="preserve"> - </w:t>
      </w:r>
      <w:r w:rsidRPr="000E600D">
        <w:rPr>
          <w:i/>
          <w:iCs/>
        </w:rPr>
        <w:t>International Clinical Trials Registry Platform</w:t>
      </w:r>
      <w:r w:rsidRPr="000E600D">
        <w:t>)</w:t>
      </w:r>
      <w:r>
        <w:t>, que desde sua implantação, em 29 de fevereiro de 2000, já registrou um total de 345.959 ensaios clínicos no mundo (OLIVEIRA; VIANA, 2019; CLINICAL TRIALS.GOV 2020).</w:t>
      </w:r>
    </w:p>
    <w:p w14:paraId="1F5FD595" w14:textId="77777777" w:rsidR="007D0992" w:rsidRDefault="007D0992" w:rsidP="000D390F">
      <w:pPr>
        <w:spacing w:line="360" w:lineRule="auto"/>
        <w:ind w:firstLine="708"/>
        <w:jc w:val="both"/>
      </w:pPr>
    </w:p>
    <w:p w14:paraId="26D5BBE4" w14:textId="16F37D1D" w:rsidR="007E0F49" w:rsidRPr="007D0992" w:rsidRDefault="007E0F49" w:rsidP="000D390F">
      <w:pPr>
        <w:spacing w:line="360" w:lineRule="auto"/>
        <w:jc w:val="both"/>
      </w:pPr>
      <w:r w:rsidRPr="007D0992">
        <w:rPr>
          <w:b/>
          <w:bCs/>
          <w:color w:val="172938"/>
        </w:rPr>
        <w:t xml:space="preserve">Boas Práticas Clínicas </w:t>
      </w:r>
    </w:p>
    <w:p w14:paraId="7095E6ED" w14:textId="77777777" w:rsidR="007E0F49" w:rsidRDefault="007E0F49" w:rsidP="007E0F49">
      <w:pPr>
        <w:spacing w:line="360" w:lineRule="auto"/>
        <w:jc w:val="both"/>
        <w:rPr>
          <w:color w:val="172938"/>
        </w:rPr>
      </w:pPr>
      <w:r>
        <w:rPr>
          <w:b/>
          <w:bCs/>
          <w:color w:val="172938"/>
          <w:sz w:val="28"/>
          <w:szCs w:val="28"/>
        </w:rPr>
        <w:tab/>
      </w:r>
      <w:r w:rsidRPr="00497655">
        <w:rPr>
          <w:color w:val="172938"/>
        </w:rPr>
        <w:t xml:space="preserve">Após </w:t>
      </w:r>
      <w:r>
        <w:rPr>
          <w:color w:val="172938"/>
        </w:rPr>
        <w:t xml:space="preserve">escândalos sucessivos envolvendo experimentos na população norte-americana, a exemplo do </w:t>
      </w:r>
      <w:r w:rsidRPr="00497655">
        <w:rPr>
          <w:color w:val="172938"/>
        </w:rPr>
        <w:t xml:space="preserve">caso </w:t>
      </w:r>
      <w:r w:rsidRPr="00C15079">
        <w:rPr>
          <w:i/>
          <w:iCs/>
          <w:color w:val="172938"/>
        </w:rPr>
        <w:t>Tuskegee</w:t>
      </w:r>
      <w:r>
        <w:rPr>
          <w:color w:val="172938"/>
        </w:rPr>
        <w:t xml:space="preserve">, no Estado do Alabama, onde </w:t>
      </w:r>
      <w:r w:rsidRPr="00497655">
        <w:rPr>
          <w:color w:val="172938"/>
        </w:rPr>
        <w:t>400 negros com sífilis</w:t>
      </w:r>
      <w:r>
        <w:rPr>
          <w:color w:val="172938"/>
        </w:rPr>
        <w:t xml:space="preserve"> </w:t>
      </w:r>
      <w:r w:rsidRPr="00497655">
        <w:rPr>
          <w:color w:val="172938"/>
        </w:rPr>
        <w:t>foram recrutados para participarem de uma pesquisa de história natural da doença e foram deixados sem tratamento</w:t>
      </w:r>
      <w:r>
        <w:rPr>
          <w:color w:val="172938"/>
        </w:rPr>
        <w:t xml:space="preserve"> (</w:t>
      </w:r>
      <w:r w:rsidRPr="00665557">
        <w:rPr>
          <w:color w:val="172938"/>
        </w:rPr>
        <w:t>VEATCH</w:t>
      </w:r>
      <w:r>
        <w:rPr>
          <w:color w:val="172938"/>
        </w:rPr>
        <w:t xml:space="preserve">, 1997) e do caso da injeção do </w:t>
      </w:r>
      <w:r w:rsidRPr="00497655">
        <w:rPr>
          <w:color w:val="172938"/>
        </w:rPr>
        <w:t>vírus da hepatite em crianças com deficiência mental</w:t>
      </w:r>
      <w:r w:rsidRPr="00C15079">
        <w:rPr>
          <w:color w:val="172938"/>
        </w:rPr>
        <w:t xml:space="preserve"> </w:t>
      </w:r>
      <w:r w:rsidRPr="00497655">
        <w:rPr>
          <w:color w:val="172938"/>
        </w:rPr>
        <w:t xml:space="preserve">no Hospital Estadual de </w:t>
      </w:r>
      <w:r w:rsidRPr="00C15079">
        <w:rPr>
          <w:i/>
          <w:iCs/>
          <w:color w:val="172938"/>
        </w:rPr>
        <w:t>Willowbrook</w:t>
      </w:r>
      <w:r w:rsidRPr="00497655">
        <w:rPr>
          <w:color w:val="172938"/>
        </w:rPr>
        <w:t>,</w:t>
      </w:r>
      <w:r>
        <w:rPr>
          <w:color w:val="172938"/>
        </w:rPr>
        <w:t xml:space="preserve"> </w:t>
      </w:r>
      <w:r w:rsidRPr="00497655">
        <w:rPr>
          <w:color w:val="172938"/>
        </w:rPr>
        <w:t>em Nova York</w:t>
      </w:r>
      <w:r w:rsidRPr="00C57119">
        <w:t xml:space="preserve"> </w:t>
      </w:r>
      <w:r w:rsidRPr="004B671E">
        <w:t>KRUGMAN</w:t>
      </w:r>
      <w:r>
        <w:t xml:space="preserve">; </w:t>
      </w:r>
      <w:r w:rsidRPr="004B671E">
        <w:t>GILES</w:t>
      </w:r>
      <w:r>
        <w:t xml:space="preserve">; </w:t>
      </w:r>
      <w:r w:rsidRPr="004B671E">
        <w:t>HAMMOND</w:t>
      </w:r>
      <w:r>
        <w:t>, 1967)</w:t>
      </w:r>
      <w:r>
        <w:rPr>
          <w:color w:val="172938"/>
        </w:rPr>
        <w:t xml:space="preserve">, foi estabelecido o relatório de Belmont através da criação da </w:t>
      </w:r>
      <w:r w:rsidRPr="00C15079">
        <w:rPr>
          <w:i/>
          <w:iCs/>
          <w:color w:val="172938"/>
        </w:rPr>
        <w:t>National Comission for the Protection of Human Subjects of Biomedical and Behavioral Research</w:t>
      </w:r>
      <w:r>
        <w:rPr>
          <w:color w:val="172938"/>
        </w:rPr>
        <w:t xml:space="preserve">, e constituiu um marco importante na construção das Diretrizes da </w:t>
      </w:r>
      <w:r w:rsidRPr="00AD0ED8">
        <w:rPr>
          <w:i/>
          <w:iCs/>
          <w:color w:val="172938"/>
        </w:rPr>
        <w:t>International Conference on Harmonisation</w:t>
      </w:r>
      <w:r>
        <w:rPr>
          <w:i/>
          <w:iCs/>
          <w:color w:val="172938"/>
        </w:rPr>
        <w:t xml:space="preserve"> – Good Clinical Practice </w:t>
      </w:r>
      <w:r>
        <w:rPr>
          <w:color w:val="172938"/>
        </w:rPr>
        <w:t>(ICH-GCP)</w:t>
      </w:r>
      <w:r w:rsidRPr="00C57119">
        <w:rPr>
          <w:color w:val="000000"/>
          <w:shd w:val="clear" w:color="auto" w:fill="FFFFFF"/>
        </w:rPr>
        <w:t xml:space="preserve"> </w:t>
      </w:r>
      <w:r>
        <w:rPr>
          <w:color w:val="000000"/>
          <w:shd w:val="clear" w:color="auto" w:fill="FFFFFF"/>
        </w:rPr>
        <w:t>(</w:t>
      </w:r>
      <w:r w:rsidRPr="00C57119">
        <w:rPr>
          <w:color w:val="000000"/>
          <w:shd w:val="clear" w:color="auto" w:fill="FFFFFF"/>
        </w:rPr>
        <w:t>WANDILE</w:t>
      </w:r>
      <w:r>
        <w:rPr>
          <w:color w:val="000000"/>
          <w:shd w:val="clear" w:color="auto" w:fill="FFFFFF"/>
        </w:rPr>
        <w:t xml:space="preserve">; </w:t>
      </w:r>
      <w:r w:rsidRPr="00C57119">
        <w:rPr>
          <w:color w:val="000000"/>
          <w:shd w:val="clear" w:color="auto" w:fill="FFFFFF"/>
        </w:rPr>
        <w:t>GHOOI</w:t>
      </w:r>
      <w:r>
        <w:rPr>
          <w:color w:val="000000"/>
          <w:shd w:val="clear" w:color="auto" w:fill="FFFFFF"/>
        </w:rPr>
        <w:t>, 2017)</w:t>
      </w:r>
      <w:r>
        <w:rPr>
          <w:color w:val="172938"/>
        </w:rPr>
        <w:t xml:space="preserve">. Na época, o </w:t>
      </w:r>
      <w:r w:rsidRPr="00C15079">
        <w:rPr>
          <w:color w:val="172938"/>
        </w:rPr>
        <w:t>objetivo principal da Comissão</w:t>
      </w:r>
      <w:r>
        <w:rPr>
          <w:color w:val="172938"/>
        </w:rPr>
        <w:t xml:space="preserve"> foi</w:t>
      </w:r>
      <w:r w:rsidRPr="00C15079">
        <w:rPr>
          <w:color w:val="172938"/>
        </w:rPr>
        <w:t xml:space="preserve"> identificar os princípios éticos “básicos” que deveriam conduzir a experimentação em seres humanos</w:t>
      </w:r>
      <w:r>
        <w:rPr>
          <w:color w:val="172938"/>
        </w:rPr>
        <w:t xml:space="preserve">: </w:t>
      </w:r>
      <w:r w:rsidRPr="00C15079">
        <w:rPr>
          <w:color w:val="172938"/>
        </w:rPr>
        <w:t>respeito às pessoas;</w:t>
      </w:r>
      <w:r>
        <w:rPr>
          <w:color w:val="172938"/>
        </w:rPr>
        <w:t xml:space="preserve"> </w:t>
      </w:r>
      <w:r w:rsidRPr="00C15079">
        <w:rPr>
          <w:color w:val="172938"/>
        </w:rPr>
        <w:t>beneficência</w:t>
      </w:r>
      <w:r>
        <w:rPr>
          <w:color w:val="172938"/>
        </w:rPr>
        <w:t xml:space="preserve"> e </w:t>
      </w:r>
      <w:r w:rsidRPr="00C15079">
        <w:rPr>
          <w:color w:val="172938"/>
        </w:rPr>
        <w:t>justiça</w:t>
      </w:r>
      <w:r>
        <w:rPr>
          <w:color w:val="172938"/>
        </w:rPr>
        <w:t xml:space="preserve"> </w:t>
      </w:r>
      <w:bookmarkStart w:id="8" w:name="_Hlk46953833"/>
      <w:r>
        <w:rPr>
          <w:color w:val="000000"/>
          <w:shd w:val="clear" w:color="auto" w:fill="FFFFFF"/>
        </w:rPr>
        <w:t>(</w:t>
      </w:r>
      <w:r w:rsidRPr="00C57119">
        <w:t>DOMINGUEZ-URBAN</w:t>
      </w:r>
      <w:r>
        <w:rPr>
          <w:color w:val="000000"/>
          <w:shd w:val="clear" w:color="auto" w:fill="FFFFFF"/>
        </w:rPr>
        <w:t xml:space="preserve">, 1997; </w:t>
      </w:r>
      <w:r w:rsidRPr="00C57119">
        <w:rPr>
          <w:color w:val="000000"/>
          <w:shd w:val="clear" w:color="auto" w:fill="FFFFFF"/>
        </w:rPr>
        <w:t>WANDILE</w:t>
      </w:r>
      <w:r>
        <w:rPr>
          <w:color w:val="000000"/>
          <w:shd w:val="clear" w:color="auto" w:fill="FFFFFF"/>
        </w:rPr>
        <w:t xml:space="preserve">; </w:t>
      </w:r>
      <w:r w:rsidRPr="00C57119">
        <w:rPr>
          <w:color w:val="000000"/>
          <w:shd w:val="clear" w:color="auto" w:fill="FFFFFF"/>
        </w:rPr>
        <w:t>GHOOI</w:t>
      </w:r>
      <w:r>
        <w:rPr>
          <w:color w:val="000000"/>
          <w:shd w:val="clear" w:color="auto" w:fill="FFFFFF"/>
        </w:rPr>
        <w:t>, 2017)</w:t>
      </w:r>
      <w:bookmarkEnd w:id="8"/>
      <w:r w:rsidRPr="00C15079">
        <w:rPr>
          <w:color w:val="172938"/>
        </w:rPr>
        <w:t>.</w:t>
      </w:r>
    </w:p>
    <w:p w14:paraId="41C90EC7" w14:textId="77777777" w:rsidR="007E0F49" w:rsidRDefault="007E0F49" w:rsidP="007E0F49">
      <w:pPr>
        <w:spacing w:line="360" w:lineRule="auto"/>
        <w:ind w:firstLine="708"/>
        <w:jc w:val="both"/>
        <w:rPr>
          <w:color w:val="172938"/>
        </w:rPr>
      </w:pPr>
      <w:r>
        <w:rPr>
          <w:color w:val="172938"/>
        </w:rPr>
        <w:t xml:space="preserve">Posteriormente, </w:t>
      </w:r>
      <w:r w:rsidRPr="00D1317B">
        <w:rPr>
          <w:color w:val="172938"/>
        </w:rPr>
        <w:t xml:space="preserve">um documento intitulado </w:t>
      </w:r>
      <w:r>
        <w:rPr>
          <w:color w:val="172938"/>
        </w:rPr>
        <w:t>“</w:t>
      </w:r>
      <w:r w:rsidRPr="00D1317B">
        <w:rPr>
          <w:color w:val="172938"/>
        </w:rPr>
        <w:t>Diretrizes Internacionais para Pesquisa Biomédica envolvendo Seres Humanos</w:t>
      </w:r>
      <w:r>
        <w:rPr>
          <w:color w:val="172938"/>
        </w:rPr>
        <w:t xml:space="preserve">” foi publicado, visando </w:t>
      </w:r>
      <w:r w:rsidRPr="00D1317B">
        <w:rPr>
          <w:color w:val="172938"/>
        </w:rPr>
        <w:t>ajudar os países em desenvolvimento a aplicar os princípios da Declaração de Helsinque e do Código de Nuremberg. Em todo o mundo, muitas organizações e comitês publicaram vários documentos e diretrizes sobre o mesmo assunto, e uma decisão foi tomada para consolidar todas essas diretrizes em uma diretriz universal a ser usada globalmente</w:t>
      </w:r>
      <w:r>
        <w:rPr>
          <w:color w:val="172938"/>
        </w:rPr>
        <w:t xml:space="preserve"> – a Diretriz para boas práticas clínicas, </w:t>
      </w:r>
      <w:r w:rsidRPr="00F62EBA">
        <w:rPr>
          <w:color w:val="172938"/>
        </w:rPr>
        <w:t>aprovada em</w:t>
      </w:r>
      <w:r>
        <w:rPr>
          <w:color w:val="172938"/>
        </w:rPr>
        <w:t xml:space="preserve"> </w:t>
      </w:r>
      <w:r w:rsidRPr="00F62EBA">
        <w:rPr>
          <w:color w:val="172938"/>
        </w:rPr>
        <w:t>1996 e implementada para ensaios clínicos a partir de</w:t>
      </w:r>
      <w:r>
        <w:rPr>
          <w:color w:val="172938"/>
        </w:rPr>
        <w:t xml:space="preserve"> </w:t>
      </w:r>
      <w:r w:rsidRPr="00F62EBA">
        <w:rPr>
          <w:color w:val="172938"/>
        </w:rPr>
        <w:t>1997</w:t>
      </w:r>
      <w:r>
        <w:rPr>
          <w:color w:val="172938"/>
        </w:rPr>
        <w:t xml:space="preserve"> </w:t>
      </w:r>
      <w:r w:rsidRPr="00FF74AD">
        <w:rPr>
          <w:color w:val="172938"/>
        </w:rPr>
        <w:t>(DOMINGUEZ-URBAN, 1997; WANDILE; GHOOI, 2017)</w:t>
      </w:r>
      <w:r w:rsidRPr="00F62EBA">
        <w:rPr>
          <w:color w:val="172938"/>
        </w:rPr>
        <w:t>.</w:t>
      </w:r>
    </w:p>
    <w:p w14:paraId="5948CBB9" w14:textId="77777777" w:rsidR="007E0F49" w:rsidRDefault="007E0F49" w:rsidP="007E0F49">
      <w:pPr>
        <w:spacing w:line="360" w:lineRule="auto"/>
        <w:ind w:firstLine="708"/>
        <w:jc w:val="both"/>
        <w:rPr>
          <w:color w:val="172938"/>
        </w:rPr>
      </w:pPr>
      <w:r w:rsidRPr="009D6DC2">
        <w:rPr>
          <w:color w:val="172938"/>
        </w:rPr>
        <w:t>Boas Práticas Clínicas</w:t>
      </w:r>
      <w:r>
        <w:rPr>
          <w:color w:val="172938"/>
        </w:rPr>
        <w:t xml:space="preserve">, do inglês, </w:t>
      </w:r>
      <w:r w:rsidRPr="009D6DC2">
        <w:rPr>
          <w:i/>
          <w:iCs/>
          <w:color w:val="172938"/>
        </w:rPr>
        <w:t>Good Clinical Practice</w:t>
      </w:r>
      <w:r w:rsidRPr="009D6DC2">
        <w:rPr>
          <w:color w:val="172938"/>
        </w:rPr>
        <w:t xml:space="preserve"> (GCP) é um padrão de qualidade ética e científica internacional para projetar, conduzir, registrar e relatar ensaios que envolvam a participação de seres humanos. A conformidade com esta norma fornece garantia pública de que os direitos, a segurança e o bem-estar dos sujeitos do estudo estão protegidos, consistente com os princípios que têm sua origem na Declaração de Helsinque e que os dados dos ensaios clínicos são confiáveis. </w:t>
      </w:r>
      <w:r w:rsidRPr="002E55BC">
        <w:rPr>
          <w:color w:val="172938"/>
        </w:rPr>
        <w:t>O objetivo deste Guia de BPC do ICH é estabelecer um padrão unificado para a União Europeia (EU), o Japão e os Estados Unidos para facilitar a aceitação mútua de dados clínicos pelas autoridades regulatórias em tais jurisdições. O guia foi desenvolvido levando em consideração as boas práticas clínicas atuais da União Europeia, Japão, e Estados Unidos, assim como aquelas da Austrália, Canadá, países nórdicos e a Organização Mundial de Saúde (OMS)</w:t>
      </w:r>
      <w:r>
        <w:rPr>
          <w:color w:val="172938"/>
        </w:rPr>
        <w:t xml:space="preserve"> </w:t>
      </w:r>
      <w:bookmarkStart w:id="9" w:name="_Hlk46954932"/>
      <w:r>
        <w:rPr>
          <w:color w:val="172938"/>
        </w:rPr>
        <w:t>(ANVISA, 2019)</w:t>
      </w:r>
      <w:r w:rsidRPr="002E55BC">
        <w:rPr>
          <w:color w:val="172938"/>
        </w:rPr>
        <w:t>.</w:t>
      </w:r>
    </w:p>
    <w:p w14:paraId="58BC5378" w14:textId="77777777" w:rsidR="007E0F49" w:rsidRDefault="007E0F49" w:rsidP="007E0F49">
      <w:pPr>
        <w:spacing w:line="360" w:lineRule="auto"/>
        <w:ind w:firstLine="708"/>
        <w:jc w:val="both"/>
        <w:rPr>
          <w:color w:val="172938"/>
        </w:rPr>
      </w:pPr>
      <w:bookmarkStart w:id="10" w:name="_Hlk46073432"/>
      <w:bookmarkEnd w:id="9"/>
      <w:r w:rsidRPr="00CB475F">
        <w:rPr>
          <w:color w:val="172938"/>
        </w:rPr>
        <w:t>Desde a sua criação em 1990, a ICH evoluiu gradualmente, para responder à face cada vez mais global do desenvolvimento de medicamentos. A harmonização é alcançada através do desenvolvimento das Diretrizes da ICH por meio de um processo de consenso científico com especialistas em regulamentação e setor trabalhando lado a lado. A chave para o sucesso desse processo é o compromisso dos reguladores da ICH de implementar as Diretrizes finais</w:t>
      </w:r>
      <w:r>
        <w:rPr>
          <w:color w:val="172938"/>
        </w:rPr>
        <w:t xml:space="preserve"> </w:t>
      </w:r>
      <w:r w:rsidRPr="00F95AE0">
        <w:rPr>
          <w:color w:val="172938"/>
        </w:rPr>
        <w:t>(WANDILE; GHOOI, 2017)</w:t>
      </w:r>
      <w:r w:rsidRPr="00CB475F">
        <w:rPr>
          <w:color w:val="172938"/>
        </w:rPr>
        <w:t>.</w:t>
      </w:r>
    </w:p>
    <w:p w14:paraId="4BDB0593" w14:textId="77777777" w:rsidR="007E0F49" w:rsidRPr="007D0992" w:rsidRDefault="007E0F49" w:rsidP="007E0F49">
      <w:pPr>
        <w:pStyle w:val="NormalWeb"/>
        <w:shd w:val="clear" w:color="auto" w:fill="FFFFFF"/>
        <w:spacing w:before="0" w:beforeAutospacing="0" w:after="150" w:afterAutospacing="0" w:line="360" w:lineRule="auto"/>
        <w:ind w:firstLine="708"/>
        <w:jc w:val="both"/>
        <w:rPr>
          <w:rStyle w:val="Forte"/>
          <w:b w:val="0"/>
          <w:bCs w:val="0"/>
          <w:color w:val="172938"/>
        </w:rPr>
      </w:pPr>
      <w:r w:rsidRPr="007D0992">
        <w:rPr>
          <w:rStyle w:val="Forte"/>
          <w:b w:val="0"/>
          <w:bCs w:val="0"/>
          <w:color w:val="172938"/>
        </w:rPr>
        <w:t>Existem 13 princípios fundamentais do ICH-GCP, os quais estão descritos a seguir (ANVISA, 2019):</w:t>
      </w:r>
    </w:p>
    <w:p w14:paraId="2C71B038" w14:textId="77777777" w:rsidR="007E0F49" w:rsidRPr="000C7AAD" w:rsidRDefault="007E0F49" w:rsidP="007E0F49">
      <w:pPr>
        <w:pStyle w:val="PargrafodaLista"/>
        <w:numPr>
          <w:ilvl w:val="0"/>
          <w:numId w:val="17"/>
        </w:numPr>
        <w:spacing w:after="160" w:line="360" w:lineRule="auto"/>
        <w:jc w:val="both"/>
      </w:pPr>
      <w:r>
        <w:t>“</w:t>
      </w:r>
      <w:r w:rsidRPr="000C7AAD">
        <w:t>Ensaios clínicos devem ser conduzidos em conformidade com os princípios éticos estabelecidos na Declaração de Helsinque e de forma consistente com as BPC e a(s) exigência(s) regulatória(s) aplicável(eis).</w:t>
      </w:r>
      <w:r>
        <w:t>”</w:t>
      </w:r>
    </w:p>
    <w:p w14:paraId="208229B0" w14:textId="77777777" w:rsidR="007E0F49" w:rsidRPr="00F95AE0" w:rsidRDefault="007E0F49" w:rsidP="007E0F49">
      <w:pPr>
        <w:pStyle w:val="NormalWeb"/>
        <w:numPr>
          <w:ilvl w:val="0"/>
          <w:numId w:val="17"/>
        </w:numPr>
        <w:shd w:val="clear" w:color="auto" w:fill="FFFFFF"/>
        <w:spacing w:before="0" w:beforeAutospacing="0" w:after="150" w:afterAutospacing="0" w:line="360" w:lineRule="auto"/>
        <w:jc w:val="both"/>
      </w:pPr>
      <w:r w:rsidRPr="00F95AE0">
        <w:t>“Antes que um ensaio seja iniciado, os riscos e inconveniências previsíveis devem ser ponderados em função do benefício esperado para cada participante do ensaio e para a sociedade. Um ensaio só deve ser iniciado e continuado se os benefícios esperados justificarem os riscos.</w:t>
      </w:r>
      <w:r>
        <w:t>”</w:t>
      </w:r>
      <w:r w:rsidRPr="00F95AE0">
        <w:t xml:space="preserve"> </w:t>
      </w:r>
    </w:p>
    <w:p w14:paraId="3C861A82" w14:textId="77777777" w:rsidR="007E0F49" w:rsidRPr="00F95AE0" w:rsidRDefault="007E0F49" w:rsidP="007E0F49">
      <w:pPr>
        <w:pStyle w:val="NormalWeb"/>
        <w:numPr>
          <w:ilvl w:val="0"/>
          <w:numId w:val="17"/>
        </w:numPr>
        <w:shd w:val="clear" w:color="auto" w:fill="FFFFFF"/>
        <w:spacing w:before="0" w:beforeAutospacing="0" w:after="150" w:afterAutospacing="0" w:line="360" w:lineRule="auto"/>
        <w:jc w:val="both"/>
      </w:pPr>
      <w:r w:rsidRPr="00F95AE0">
        <w:t>“Os direitos, a segurança e o bem-estar dos participantes do ensaio são as considerações mais importantes e devem prevalecer sobre os interesses da ciência e da sociedade.</w:t>
      </w:r>
      <w:r>
        <w:t>”</w:t>
      </w:r>
      <w:r w:rsidRPr="00F95AE0">
        <w:t xml:space="preserve"> </w:t>
      </w:r>
    </w:p>
    <w:p w14:paraId="7FB3B155" w14:textId="77777777" w:rsidR="007E0F49" w:rsidRPr="00F95AE0" w:rsidRDefault="007E0F49" w:rsidP="007E0F49">
      <w:pPr>
        <w:pStyle w:val="NormalWeb"/>
        <w:numPr>
          <w:ilvl w:val="0"/>
          <w:numId w:val="17"/>
        </w:numPr>
        <w:shd w:val="clear" w:color="auto" w:fill="FFFFFF"/>
        <w:spacing w:before="0" w:beforeAutospacing="0" w:after="150" w:afterAutospacing="0" w:line="360" w:lineRule="auto"/>
        <w:jc w:val="both"/>
      </w:pPr>
      <w:r w:rsidRPr="00F95AE0">
        <w:t xml:space="preserve">“As informações clínicas e não clínicas disponíveis sobre um medicamento experimental devem ser adequadas para consubstanciar o ensaio clínico proposto”. </w:t>
      </w:r>
    </w:p>
    <w:p w14:paraId="2BA70E5B" w14:textId="77777777" w:rsidR="007E0F49" w:rsidRPr="00F95AE0" w:rsidRDefault="007E0F49" w:rsidP="007E0F49">
      <w:pPr>
        <w:pStyle w:val="NormalWeb"/>
        <w:numPr>
          <w:ilvl w:val="0"/>
          <w:numId w:val="17"/>
        </w:numPr>
        <w:shd w:val="clear" w:color="auto" w:fill="FFFFFF"/>
        <w:spacing w:before="0" w:beforeAutospacing="0" w:after="150" w:afterAutospacing="0" w:line="360" w:lineRule="auto"/>
        <w:jc w:val="both"/>
      </w:pPr>
      <w:r w:rsidRPr="00F95AE0">
        <w:t>“Ensaios clínicos devem ser cientificamente robustos e descritos em um protocolo claro e detalhado.”</w:t>
      </w:r>
    </w:p>
    <w:p w14:paraId="42DE71EE" w14:textId="77777777" w:rsidR="007E0F49" w:rsidRPr="00F95AE0" w:rsidRDefault="007E0F49" w:rsidP="007E0F49">
      <w:pPr>
        <w:pStyle w:val="NormalWeb"/>
        <w:numPr>
          <w:ilvl w:val="0"/>
          <w:numId w:val="17"/>
        </w:numPr>
        <w:shd w:val="clear" w:color="auto" w:fill="FFFFFF"/>
        <w:spacing w:before="0" w:beforeAutospacing="0" w:after="150" w:afterAutospacing="0" w:line="360" w:lineRule="auto"/>
        <w:jc w:val="both"/>
      </w:pPr>
      <w:r w:rsidRPr="00F95AE0">
        <w:t xml:space="preserve"> “Um ensaio deve ser conduzido em conformidade com o protocolo que tenha recebido a aprovação prévia/parecer favorável do Comitê de Ética em Pesquisa (CEP)/Comitê de Ética Independente (CEI).</w:t>
      </w:r>
      <w:r>
        <w:t>”</w:t>
      </w:r>
      <w:r w:rsidRPr="00F95AE0">
        <w:t xml:space="preserve"> </w:t>
      </w:r>
    </w:p>
    <w:p w14:paraId="6AC58C21" w14:textId="77777777" w:rsidR="007E0F49" w:rsidRPr="00F95AE0" w:rsidRDefault="007E0F49" w:rsidP="007E0F49">
      <w:pPr>
        <w:pStyle w:val="NormalWeb"/>
        <w:numPr>
          <w:ilvl w:val="0"/>
          <w:numId w:val="17"/>
        </w:numPr>
        <w:shd w:val="clear" w:color="auto" w:fill="FFFFFF"/>
        <w:spacing w:before="0" w:beforeAutospacing="0" w:after="150" w:afterAutospacing="0" w:line="360" w:lineRule="auto"/>
        <w:jc w:val="both"/>
      </w:pPr>
      <w:r w:rsidRPr="00F95AE0">
        <w:t>“Os cuidados médicos concedidos ao participante e as decisões médicas tomadas em seu nome devem estar sempre sob responsabilidade de um médico qualificado ou, conforme o caso, de um dentista qualificado.”</w:t>
      </w:r>
    </w:p>
    <w:p w14:paraId="379DB192" w14:textId="77777777" w:rsidR="007E0F49" w:rsidRPr="00F95AE0" w:rsidRDefault="007E0F49" w:rsidP="007E0F49">
      <w:pPr>
        <w:pStyle w:val="NormalWeb"/>
        <w:numPr>
          <w:ilvl w:val="0"/>
          <w:numId w:val="17"/>
        </w:numPr>
        <w:shd w:val="clear" w:color="auto" w:fill="FFFFFF"/>
        <w:spacing w:before="0" w:beforeAutospacing="0" w:after="150" w:afterAutospacing="0" w:line="360" w:lineRule="auto"/>
        <w:jc w:val="both"/>
      </w:pPr>
      <w:r w:rsidRPr="00F95AE0">
        <w:t>“Cada indivíduo envolvido com a condução de um ensaio deve ser academicamente qualificado, treinado, e com experiência para realizar sua(s) respectiva(s) tarefa(s).</w:t>
      </w:r>
      <w:r>
        <w:t>”</w:t>
      </w:r>
    </w:p>
    <w:p w14:paraId="37B1F0F3" w14:textId="77777777" w:rsidR="007E0F49" w:rsidRPr="00F95AE0" w:rsidRDefault="007E0F49" w:rsidP="007E0F49">
      <w:pPr>
        <w:pStyle w:val="NormalWeb"/>
        <w:numPr>
          <w:ilvl w:val="0"/>
          <w:numId w:val="17"/>
        </w:numPr>
        <w:shd w:val="clear" w:color="auto" w:fill="FFFFFF"/>
        <w:spacing w:before="0" w:beforeAutospacing="0" w:after="150" w:afterAutospacing="0" w:line="360" w:lineRule="auto"/>
        <w:jc w:val="both"/>
      </w:pPr>
      <w:r w:rsidRPr="00F95AE0">
        <w:t>“Consentimento livre e esclarecido deve ser obtido para cada participante antes da sua participação no ensaio clínico.</w:t>
      </w:r>
      <w:r>
        <w:t>”</w:t>
      </w:r>
    </w:p>
    <w:p w14:paraId="40757BFC" w14:textId="77777777" w:rsidR="007E0F49" w:rsidRPr="00F95AE0" w:rsidRDefault="007E0F49" w:rsidP="007E0F49">
      <w:pPr>
        <w:pStyle w:val="NormalWeb"/>
        <w:numPr>
          <w:ilvl w:val="0"/>
          <w:numId w:val="17"/>
        </w:numPr>
        <w:shd w:val="clear" w:color="auto" w:fill="FFFFFF"/>
        <w:spacing w:before="0" w:beforeAutospacing="0" w:after="150" w:afterAutospacing="0" w:line="360" w:lineRule="auto"/>
        <w:jc w:val="both"/>
      </w:pPr>
      <w:r w:rsidRPr="00F95AE0">
        <w:t>“Todas as informações do ensaio clínico devem ser registradas, manuseadas e arquivadas de uma forma que permita sua notificação, interpretação e verificação exatas.”</w:t>
      </w:r>
    </w:p>
    <w:p w14:paraId="762246FD" w14:textId="77777777" w:rsidR="007E0F49" w:rsidRPr="00F95AE0" w:rsidRDefault="007E0F49" w:rsidP="007E0F49">
      <w:pPr>
        <w:pStyle w:val="NormalWeb"/>
        <w:numPr>
          <w:ilvl w:val="0"/>
          <w:numId w:val="17"/>
        </w:numPr>
        <w:shd w:val="clear" w:color="auto" w:fill="FFFFFF"/>
        <w:spacing w:before="0" w:beforeAutospacing="0" w:after="150" w:afterAutospacing="0" w:line="360" w:lineRule="auto"/>
        <w:jc w:val="both"/>
      </w:pPr>
      <w:r w:rsidRPr="00F95AE0">
        <w:t>“A confidencialidade dos registros que possam identificar os participantes deve ser protegida, respeitando as regras de privacidade e confidencialidade e em conformidade com a(s) exigência(s) regulatória(s) aplicável(eis).”</w:t>
      </w:r>
    </w:p>
    <w:p w14:paraId="1C0A4CF3" w14:textId="77777777" w:rsidR="007E0F49" w:rsidRPr="00F95AE0" w:rsidRDefault="007E0F49" w:rsidP="007E0F49">
      <w:pPr>
        <w:pStyle w:val="NormalWeb"/>
        <w:numPr>
          <w:ilvl w:val="0"/>
          <w:numId w:val="17"/>
        </w:numPr>
        <w:shd w:val="clear" w:color="auto" w:fill="FFFFFF"/>
        <w:spacing w:before="0" w:beforeAutospacing="0" w:after="150" w:afterAutospacing="0" w:line="360" w:lineRule="auto"/>
        <w:jc w:val="both"/>
      </w:pPr>
      <w:r w:rsidRPr="00F95AE0">
        <w:t xml:space="preserve">“Medicamentos experimentais devem ser fabricados, manuseados e armazenados em conformidade com as Boas Práticas de Fabricação (BPF) aplicáveis. Eles devem ser usados em conformidade com o protocolo aprovado.” </w:t>
      </w:r>
    </w:p>
    <w:p w14:paraId="5236D5A0" w14:textId="77777777" w:rsidR="007E0F49" w:rsidRDefault="007E0F49" w:rsidP="007E0F49">
      <w:pPr>
        <w:pStyle w:val="NormalWeb"/>
        <w:numPr>
          <w:ilvl w:val="0"/>
          <w:numId w:val="17"/>
        </w:numPr>
        <w:shd w:val="clear" w:color="auto" w:fill="FFFFFF"/>
        <w:spacing w:before="0" w:beforeAutospacing="0" w:after="150" w:afterAutospacing="0" w:line="360" w:lineRule="auto"/>
        <w:jc w:val="both"/>
      </w:pPr>
      <w:r w:rsidRPr="00F95AE0">
        <w:t>“Devem ser implementados sistemas com procedimentos que garantam a qualidade de cada aspecto do ensaio.”</w:t>
      </w:r>
    </w:p>
    <w:p w14:paraId="1CAE42AE" w14:textId="77777777" w:rsidR="007E0F49" w:rsidRPr="00F95AE0" w:rsidRDefault="007E0F49" w:rsidP="007E0F49">
      <w:pPr>
        <w:pStyle w:val="NormalWeb"/>
        <w:shd w:val="clear" w:color="auto" w:fill="FFFFFF"/>
        <w:spacing w:before="0" w:beforeAutospacing="0" w:after="150" w:afterAutospacing="0" w:line="360" w:lineRule="auto"/>
        <w:jc w:val="both"/>
      </w:pPr>
    </w:p>
    <w:p w14:paraId="6440C1BC" w14:textId="77777777" w:rsidR="007E0F49" w:rsidRPr="007D0992" w:rsidRDefault="007E0F49" w:rsidP="000D390F">
      <w:pPr>
        <w:spacing w:after="160" w:line="360" w:lineRule="auto"/>
        <w:jc w:val="both"/>
      </w:pPr>
      <w:bookmarkStart w:id="11" w:name="_Hlk46044774"/>
      <w:bookmarkEnd w:id="10"/>
      <w:r w:rsidRPr="007D0992">
        <w:rPr>
          <w:b/>
          <w:bCs/>
          <w:color w:val="000000"/>
        </w:rPr>
        <w:t>Considerações gerais</w:t>
      </w:r>
    </w:p>
    <w:bookmarkEnd w:id="11"/>
    <w:p w14:paraId="23552FCD" w14:textId="77777777" w:rsidR="007E0F49" w:rsidRDefault="007E0F49" w:rsidP="007E0F49">
      <w:pPr>
        <w:spacing w:line="360" w:lineRule="auto"/>
        <w:ind w:firstLine="708"/>
        <w:jc w:val="both"/>
        <w:rPr>
          <w:color w:val="172938"/>
        </w:rPr>
      </w:pPr>
      <w:r>
        <w:rPr>
          <w:color w:val="172938"/>
        </w:rPr>
        <w:t>E</w:t>
      </w:r>
      <w:r w:rsidRPr="008A153E">
        <w:rPr>
          <w:color w:val="172938"/>
        </w:rPr>
        <w:t xml:space="preserve">nsaio clínico é um </w:t>
      </w:r>
      <w:r>
        <w:rPr>
          <w:color w:val="172938"/>
        </w:rPr>
        <w:t xml:space="preserve">tipo de </w:t>
      </w:r>
      <w:r w:rsidRPr="008A153E">
        <w:rPr>
          <w:color w:val="172938"/>
        </w:rPr>
        <w:t xml:space="preserve">estudo </w:t>
      </w:r>
      <w:r>
        <w:rPr>
          <w:color w:val="172938"/>
        </w:rPr>
        <w:t xml:space="preserve">epidemiológico de intervenção, </w:t>
      </w:r>
      <w:r w:rsidRPr="008A153E">
        <w:rPr>
          <w:color w:val="172938"/>
        </w:rPr>
        <w:t>sistemático</w:t>
      </w:r>
      <w:r>
        <w:rPr>
          <w:color w:val="172938"/>
        </w:rPr>
        <w:t xml:space="preserve"> de um produto (fármaco, instrumento ou equipamento), a ser conduzido em seres humanos </w:t>
      </w:r>
      <w:r w:rsidRPr="00B719A6">
        <w:rPr>
          <w:color w:val="172938"/>
        </w:rPr>
        <w:t xml:space="preserve">com </w:t>
      </w:r>
      <w:r>
        <w:rPr>
          <w:color w:val="172938"/>
        </w:rPr>
        <w:t xml:space="preserve">a intenção de tratamento, prevenção ou diagnóstico de uma doença, </w:t>
      </w:r>
      <w:r w:rsidRPr="00B719A6">
        <w:rPr>
          <w:color w:val="172938"/>
        </w:rPr>
        <w:t>objetiv</w:t>
      </w:r>
      <w:r>
        <w:rPr>
          <w:color w:val="172938"/>
        </w:rPr>
        <w:t xml:space="preserve">ando </w:t>
      </w:r>
      <w:r w:rsidRPr="00B719A6">
        <w:rPr>
          <w:color w:val="172938"/>
        </w:rPr>
        <w:t>descobrir</w:t>
      </w:r>
      <w:r>
        <w:rPr>
          <w:color w:val="172938"/>
        </w:rPr>
        <w:t xml:space="preserve"> ou confirmar </w:t>
      </w:r>
      <w:r w:rsidRPr="00B719A6">
        <w:rPr>
          <w:color w:val="172938"/>
        </w:rPr>
        <w:t xml:space="preserve">efeitos </w:t>
      </w:r>
      <w:r>
        <w:rPr>
          <w:color w:val="172938"/>
        </w:rPr>
        <w:t xml:space="preserve">farmacodinâmicos, </w:t>
      </w:r>
      <w:r w:rsidRPr="00B719A6">
        <w:rPr>
          <w:color w:val="172938"/>
        </w:rPr>
        <w:t>clínicos</w:t>
      </w:r>
      <w:r>
        <w:rPr>
          <w:color w:val="172938"/>
        </w:rPr>
        <w:t xml:space="preserve"> e </w:t>
      </w:r>
      <w:r w:rsidRPr="00B719A6">
        <w:rPr>
          <w:color w:val="172938"/>
        </w:rPr>
        <w:t>farmacológicos</w:t>
      </w:r>
      <w:r>
        <w:rPr>
          <w:color w:val="172938"/>
        </w:rPr>
        <w:t xml:space="preserve">, além de </w:t>
      </w:r>
      <w:r w:rsidRPr="008A153E">
        <w:rPr>
          <w:color w:val="172938"/>
        </w:rPr>
        <w:t>reações adversas</w:t>
      </w:r>
      <w:r>
        <w:rPr>
          <w:color w:val="172938"/>
        </w:rPr>
        <w:t xml:space="preserve">, </w:t>
      </w:r>
      <w:r w:rsidRPr="00B719A6">
        <w:rPr>
          <w:color w:val="172938"/>
        </w:rPr>
        <w:t>absorção, distribuição,</w:t>
      </w:r>
      <w:r>
        <w:rPr>
          <w:color w:val="172938"/>
        </w:rPr>
        <w:t xml:space="preserve"> </w:t>
      </w:r>
      <w:r w:rsidRPr="00B719A6">
        <w:rPr>
          <w:color w:val="172938"/>
        </w:rPr>
        <w:t xml:space="preserve">metabolismo e excreção </w:t>
      </w:r>
      <w:r>
        <w:rPr>
          <w:color w:val="172938"/>
        </w:rPr>
        <w:t>do produto em investigação, subsidiando sua segurança e eficácia (</w:t>
      </w:r>
      <w:bookmarkStart w:id="12" w:name="_Hlk46991454"/>
      <w:r>
        <w:rPr>
          <w:color w:val="172938"/>
        </w:rPr>
        <w:t>LOUSANA, 2008</w:t>
      </w:r>
      <w:bookmarkEnd w:id="12"/>
      <w:r>
        <w:rPr>
          <w:color w:val="172938"/>
        </w:rPr>
        <w:t xml:space="preserve">; WHO, 2018). </w:t>
      </w:r>
    </w:p>
    <w:p w14:paraId="16179189" w14:textId="77777777" w:rsidR="007E0F49" w:rsidRDefault="007E0F49" w:rsidP="007E0F49">
      <w:pPr>
        <w:spacing w:line="360" w:lineRule="auto"/>
        <w:ind w:firstLine="708"/>
        <w:jc w:val="both"/>
        <w:rPr>
          <w:color w:val="172938"/>
        </w:rPr>
      </w:pPr>
      <w:r>
        <w:rPr>
          <w:color w:val="172938"/>
        </w:rPr>
        <w:t>Do ponto de vista epidemiológico, o ensaio clínico consiste na verificação das consequências empíricas de uma dada hipótese, realizada por meio de uma intervenção proposital, em um ambiente artificial controlado, ou seja, isento de influências não pertinentes à hipótese sob teste. A avaliação de efeitos isolados exige a comparação entre um grupo de participantes sujeitos à intervenção e um grupo controle, idealmente constituídos de forma aleatória (GREENLAND, 1990).</w:t>
      </w:r>
    </w:p>
    <w:p w14:paraId="2136E1E1" w14:textId="77777777" w:rsidR="007E0F49" w:rsidRDefault="007E0F49" w:rsidP="007E0F49">
      <w:pPr>
        <w:spacing w:line="360" w:lineRule="auto"/>
        <w:ind w:firstLine="708"/>
        <w:jc w:val="both"/>
        <w:rPr>
          <w:color w:val="172938"/>
        </w:rPr>
      </w:pPr>
      <w:r>
        <w:rPr>
          <w:color w:val="172938"/>
        </w:rPr>
        <w:t>A alocação aleatória ou “randomização” constitui o principal método para minimizar o viés de seleção</w:t>
      </w:r>
      <w:r w:rsidRPr="002F530E">
        <w:t xml:space="preserve"> </w:t>
      </w:r>
      <w:r>
        <w:t>(</w:t>
      </w:r>
      <w:r w:rsidRPr="002F530E">
        <w:t>CIOLINO</w:t>
      </w:r>
      <w:r>
        <w:t xml:space="preserve"> </w:t>
      </w:r>
      <w:r w:rsidRPr="00B36D8C">
        <w:t>et al.,</w:t>
      </w:r>
      <w:r>
        <w:t xml:space="preserve"> 2019)</w:t>
      </w:r>
      <w:r>
        <w:rPr>
          <w:color w:val="172938"/>
        </w:rPr>
        <w:t xml:space="preserve">, ou seja, permite a mesma probabilidade de determinada característica em ambos os grupos de intervenção e controle, semelhante a jogar “cara” ou “coroa” com uma moeda. Para tanto, </w:t>
      </w:r>
      <w:r w:rsidRPr="0009653B">
        <w:rPr>
          <w:color w:val="172938"/>
        </w:rPr>
        <w:t>é necessário assegurar que o método pelo qual a randomização dos participantes nos distintos grupos do ensaio clínico seja apropriad</w:t>
      </w:r>
      <w:r>
        <w:rPr>
          <w:color w:val="172938"/>
        </w:rPr>
        <w:t>a</w:t>
      </w:r>
      <w:r w:rsidRPr="0009653B">
        <w:rPr>
          <w:color w:val="172938"/>
        </w:rPr>
        <w:t xml:space="preserve">. </w:t>
      </w:r>
    </w:p>
    <w:p w14:paraId="5184358D" w14:textId="77777777" w:rsidR="007E0F49" w:rsidRDefault="007E0F49" w:rsidP="007E0F49">
      <w:pPr>
        <w:spacing w:line="360" w:lineRule="auto"/>
        <w:ind w:firstLine="708"/>
        <w:jc w:val="both"/>
        <w:rPr>
          <w:color w:val="172938"/>
        </w:rPr>
      </w:pPr>
      <w:r>
        <w:rPr>
          <w:color w:val="172938"/>
        </w:rPr>
        <w:t>Os métodos determinísticos, a exemplo do número de registro hospitalar ou data de nascimento, embora apresentem algum elemento de aleatoriedade, não podem ser considerados totalmente aleatórios porque são previsíveis. A geração da sequência de alocação e a ocultação dessa sequência até que a alocação seja consumada são processos distintos, porém inter-relacionados, que compõem a randomização</w:t>
      </w:r>
      <w:r w:rsidRPr="00C117C2">
        <w:t xml:space="preserve"> </w:t>
      </w:r>
      <w:bookmarkStart w:id="13" w:name="_Hlk46990077"/>
      <w:r>
        <w:t>(</w:t>
      </w:r>
      <w:r w:rsidRPr="00C117C2">
        <w:rPr>
          <w:color w:val="172938"/>
        </w:rPr>
        <w:t>MOHER</w:t>
      </w:r>
      <w:r>
        <w:rPr>
          <w:color w:val="172938"/>
        </w:rPr>
        <w:t xml:space="preserve">; </w:t>
      </w:r>
      <w:r w:rsidRPr="00C117C2">
        <w:rPr>
          <w:color w:val="172938"/>
        </w:rPr>
        <w:t>HOPEWELL</w:t>
      </w:r>
      <w:r>
        <w:rPr>
          <w:color w:val="172938"/>
        </w:rPr>
        <w:t xml:space="preserve">; </w:t>
      </w:r>
      <w:r w:rsidRPr="00C117C2">
        <w:rPr>
          <w:color w:val="172938"/>
        </w:rPr>
        <w:t>SCHULZ</w:t>
      </w:r>
      <w:r>
        <w:rPr>
          <w:color w:val="172938"/>
        </w:rPr>
        <w:t>, 2010).</w:t>
      </w:r>
    </w:p>
    <w:bookmarkEnd w:id="13"/>
    <w:p w14:paraId="580740A2" w14:textId="77777777" w:rsidR="007E0F49" w:rsidRDefault="007E0F49" w:rsidP="007E0F49">
      <w:pPr>
        <w:spacing w:line="360" w:lineRule="auto"/>
        <w:ind w:firstLine="708"/>
        <w:jc w:val="both"/>
        <w:rPr>
          <w:color w:val="172938"/>
        </w:rPr>
      </w:pPr>
      <w:r>
        <w:rPr>
          <w:color w:val="172938"/>
        </w:rPr>
        <w:t xml:space="preserve">Um outro importante método utilizado em ensaios clínicos é o mascaramento sobre o tipo de intervenção aplicada entre os voluntários do estudo, onde uma ou mais partes (paciente, investigador e estatístico), não é informado quanto às designações para o tratamento. </w:t>
      </w:r>
    </w:p>
    <w:p w14:paraId="29475B99" w14:textId="77777777" w:rsidR="007E0F49" w:rsidRDefault="007E0F49" w:rsidP="007E0F49">
      <w:pPr>
        <w:spacing w:line="360" w:lineRule="auto"/>
        <w:ind w:firstLine="708"/>
        <w:jc w:val="both"/>
        <w:rPr>
          <w:color w:val="172938"/>
        </w:rPr>
      </w:pPr>
      <w:r>
        <w:rPr>
          <w:color w:val="172938"/>
        </w:rPr>
        <w:t>Sabendo-se que o comportamento humano é altamente influenciado por diferentes opiniões e expectativas, podendo produzir distorções acerca da eficácia do produto investigado, torna-se essencial o</w:t>
      </w:r>
      <w:r w:rsidRPr="00901AC0">
        <w:rPr>
          <w:color w:val="172938"/>
        </w:rPr>
        <w:t xml:space="preserve"> mascaramento</w:t>
      </w:r>
      <w:r>
        <w:rPr>
          <w:color w:val="172938"/>
        </w:rPr>
        <w:t xml:space="preserve"> </w:t>
      </w:r>
      <w:r w:rsidRPr="00901AC0">
        <w:rPr>
          <w:color w:val="172938"/>
        </w:rPr>
        <w:t xml:space="preserve">para dificultar algum viés de </w:t>
      </w:r>
      <w:r>
        <w:rPr>
          <w:color w:val="172938"/>
        </w:rPr>
        <w:t xml:space="preserve">aferição </w:t>
      </w:r>
      <w:r w:rsidRPr="00901AC0">
        <w:rPr>
          <w:color w:val="172938"/>
        </w:rPr>
        <w:t>ao longo do desenvolvimento clínico-laboratorial, sustentando assim</w:t>
      </w:r>
      <w:r>
        <w:rPr>
          <w:color w:val="172938"/>
        </w:rPr>
        <w:t>,</w:t>
      </w:r>
      <w:r w:rsidRPr="00901AC0">
        <w:rPr>
          <w:color w:val="172938"/>
        </w:rPr>
        <w:t xml:space="preserve"> uma completa imparcialidade na avaliação dos resultados</w:t>
      </w:r>
      <w:r>
        <w:rPr>
          <w:color w:val="172938"/>
        </w:rPr>
        <w:t xml:space="preserve">, sem </w:t>
      </w:r>
      <w:r w:rsidRPr="002B3FC1">
        <w:rPr>
          <w:color w:val="172938"/>
        </w:rPr>
        <w:t>com</w:t>
      </w:r>
      <w:r>
        <w:rPr>
          <w:color w:val="172938"/>
        </w:rPr>
        <w:t>prometer o protocolo (LIM; IN, 2019).</w:t>
      </w:r>
    </w:p>
    <w:p w14:paraId="3191C0C5" w14:textId="77777777" w:rsidR="007E0F49" w:rsidRDefault="007E0F49" w:rsidP="007E0F49">
      <w:pPr>
        <w:spacing w:line="360" w:lineRule="auto"/>
        <w:ind w:firstLine="708"/>
        <w:jc w:val="both"/>
        <w:rPr>
          <w:color w:val="172938"/>
        </w:rPr>
      </w:pPr>
      <w:r w:rsidRPr="002D4061">
        <w:rPr>
          <w:color w:val="172938"/>
        </w:rPr>
        <w:t>Os resultados obtidos n</w:t>
      </w:r>
      <w:r>
        <w:rPr>
          <w:color w:val="172938"/>
        </w:rPr>
        <w:t>os ensaios clínicos</w:t>
      </w:r>
      <w:r w:rsidRPr="002D4061">
        <w:rPr>
          <w:color w:val="172938"/>
        </w:rPr>
        <w:t xml:space="preserve"> determinam o registro, a autorização e subsequente comercialização do medicamento</w:t>
      </w:r>
      <w:r>
        <w:rPr>
          <w:color w:val="172938"/>
        </w:rPr>
        <w:t xml:space="preserve">. </w:t>
      </w:r>
      <w:r w:rsidRPr="002D4061">
        <w:rPr>
          <w:color w:val="172938"/>
        </w:rPr>
        <w:t>Dessa forma, há necessidade de padrões nacionais e internacionais para pesquisa clínica</w:t>
      </w:r>
      <w:r>
        <w:rPr>
          <w:color w:val="172938"/>
        </w:rPr>
        <w:t xml:space="preserve"> envolvendo</w:t>
      </w:r>
      <w:r w:rsidRPr="002D4061">
        <w:rPr>
          <w:color w:val="172938"/>
        </w:rPr>
        <w:t xml:space="preserve"> medicamento</w:t>
      </w:r>
      <w:r>
        <w:rPr>
          <w:color w:val="172938"/>
        </w:rPr>
        <w:t xml:space="preserve">, de modo a </w:t>
      </w:r>
      <w:r w:rsidRPr="002D4061">
        <w:rPr>
          <w:color w:val="172938"/>
        </w:rPr>
        <w:t>ser garantid</w:t>
      </w:r>
      <w:r>
        <w:rPr>
          <w:color w:val="172938"/>
        </w:rPr>
        <w:t>o o rigor metodológico</w:t>
      </w:r>
      <w:r w:rsidRPr="002D4061">
        <w:rPr>
          <w:color w:val="172938"/>
        </w:rPr>
        <w:t xml:space="preserve"> do estudo</w:t>
      </w:r>
      <w:r>
        <w:rPr>
          <w:color w:val="172938"/>
        </w:rPr>
        <w:t xml:space="preserve"> </w:t>
      </w:r>
      <w:r w:rsidRPr="00771988">
        <w:rPr>
          <w:color w:val="172938"/>
        </w:rPr>
        <w:t>(MOHER; HOPEWELL; SCHULZ, 2010)</w:t>
      </w:r>
      <w:r w:rsidRPr="002D4061">
        <w:rPr>
          <w:color w:val="172938"/>
        </w:rPr>
        <w:t xml:space="preserve">. </w:t>
      </w:r>
      <w:r w:rsidRPr="00EA0571">
        <w:rPr>
          <w:color w:val="172938"/>
        </w:rPr>
        <w:t xml:space="preserve">Além disso, </w:t>
      </w:r>
      <w:r>
        <w:rPr>
          <w:color w:val="172938"/>
        </w:rPr>
        <w:t xml:space="preserve">objetivando </w:t>
      </w:r>
      <w:r w:rsidRPr="00EA0571">
        <w:rPr>
          <w:color w:val="172938"/>
        </w:rPr>
        <w:t>salvaguardar a integridade física e psíquica dos sujeitos envolvidos</w:t>
      </w:r>
      <w:r>
        <w:rPr>
          <w:color w:val="172938"/>
        </w:rPr>
        <w:t xml:space="preserve">, todos </w:t>
      </w:r>
      <w:r w:rsidRPr="00EA0571">
        <w:rPr>
          <w:color w:val="172938"/>
        </w:rPr>
        <w:t xml:space="preserve">os ensaios clínicos </w:t>
      </w:r>
      <w:r>
        <w:rPr>
          <w:color w:val="172938"/>
        </w:rPr>
        <w:t>conduzidos no mundo,</w:t>
      </w:r>
      <w:r w:rsidRPr="00EA0571">
        <w:rPr>
          <w:color w:val="172938"/>
        </w:rPr>
        <w:t xml:space="preserve"> devem seguir estritamente princípios éticos e científicos</w:t>
      </w:r>
      <w:r>
        <w:rPr>
          <w:color w:val="172938"/>
        </w:rPr>
        <w:t xml:space="preserve"> universais</w:t>
      </w:r>
      <w:r w:rsidRPr="00EA0571">
        <w:rPr>
          <w:color w:val="172938"/>
        </w:rPr>
        <w:t xml:space="preserve">. </w:t>
      </w:r>
    </w:p>
    <w:p w14:paraId="3F9D0448" w14:textId="77777777" w:rsidR="007E0F49" w:rsidRDefault="007E0F49" w:rsidP="007E0F49">
      <w:pPr>
        <w:spacing w:line="360" w:lineRule="auto"/>
        <w:jc w:val="both"/>
        <w:rPr>
          <w:color w:val="172938"/>
        </w:rPr>
      </w:pPr>
    </w:p>
    <w:p w14:paraId="05BA1946" w14:textId="77777777" w:rsidR="007E0F49" w:rsidRPr="007D0992" w:rsidRDefault="007E0F49" w:rsidP="000D390F">
      <w:pPr>
        <w:spacing w:after="160" w:line="360" w:lineRule="auto"/>
        <w:jc w:val="both"/>
      </w:pPr>
      <w:r w:rsidRPr="007D0992">
        <w:rPr>
          <w:b/>
          <w:bCs/>
          <w:color w:val="000000"/>
        </w:rPr>
        <w:t>Fases Clínicas</w:t>
      </w:r>
    </w:p>
    <w:p w14:paraId="4F68411C" w14:textId="1031A912" w:rsidR="007E0F49" w:rsidRDefault="007E0F49" w:rsidP="007E0F49">
      <w:pPr>
        <w:spacing w:line="360" w:lineRule="auto"/>
        <w:ind w:firstLine="708"/>
        <w:jc w:val="both"/>
        <w:rPr>
          <w:color w:val="172938"/>
        </w:rPr>
      </w:pPr>
      <w:r>
        <w:t xml:space="preserve">A condução de um ensaio clínico </w:t>
      </w:r>
      <w:r w:rsidRPr="00864053">
        <w:rPr>
          <w:color w:val="172938"/>
        </w:rPr>
        <w:t xml:space="preserve">é usualmente classificada em </w:t>
      </w:r>
      <w:r>
        <w:rPr>
          <w:color w:val="172938"/>
        </w:rPr>
        <w:t>quatro</w:t>
      </w:r>
      <w:r w:rsidRPr="00864053">
        <w:rPr>
          <w:color w:val="172938"/>
        </w:rPr>
        <w:t xml:space="preserve"> fases</w:t>
      </w:r>
      <w:r>
        <w:rPr>
          <w:color w:val="172938"/>
        </w:rPr>
        <w:t xml:space="preserve"> distintas, </w:t>
      </w:r>
      <w:r w:rsidRPr="004719FB">
        <w:rPr>
          <w:color w:val="172938"/>
        </w:rPr>
        <w:t>sucessivas e escalonadas, de acordo com o nível crescente de conhecimento que se tem sobre os efeitos de determinada substância em modelos celulares, animais e em seres humanos</w:t>
      </w:r>
      <w:r>
        <w:rPr>
          <w:color w:val="172938"/>
        </w:rPr>
        <w:t xml:space="preserve"> (WHO, 2020)</w:t>
      </w:r>
      <w:r w:rsidRPr="004719FB">
        <w:rPr>
          <w:color w:val="172938"/>
        </w:rPr>
        <w:t>.</w:t>
      </w:r>
      <w:r>
        <w:rPr>
          <w:color w:val="172938"/>
        </w:rPr>
        <w:t xml:space="preserve"> Denominadas de 1 a 4, e</w:t>
      </w:r>
      <w:r w:rsidRPr="004719FB">
        <w:rPr>
          <w:color w:val="172938"/>
        </w:rPr>
        <w:t>ssas fases também se diferenciam pelos objetivos específicos de cada tipo de estudo, pelo tipo de delineamento utilizado e principalmente pelo número e características dos participantes</w:t>
      </w:r>
      <w:r>
        <w:rPr>
          <w:color w:val="172938"/>
        </w:rPr>
        <w:t xml:space="preserve"> (Quadro </w:t>
      </w:r>
      <w:r w:rsidR="00D44B98">
        <w:rPr>
          <w:color w:val="172938"/>
        </w:rPr>
        <w:t>3</w:t>
      </w:r>
      <w:r>
        <w:rPr>
          <w:color w:val="172938"/>
        </w:rPr>
        <w:t>)</w:t>
      </w:r>
      <w:r w:rsidRPr="004719FB">
        <w:rPr>
          <w:color w:val="172938"/>
        </w:rPr>
        <w:t>.</w:t>
      </w:r>
    </w:p>
    <w:p w14:paraId="6D96AF3A" w14:textId="1B5CE5F1" w:rsidR="007E0F49" w:rsidRDefault="007E0F49" w:rsidP="007E0F49">
      <w:pPr>
        <w:spacing w:line="360" w:lineRule="auto"/>
        <w:ind w:firstLine="708"/>
        <w:jc w:val="both"/>
        <w:rPr>
          <w:color w:val="172938"/>
        </w:rPr>
      </w:pPr>
      <w:r>
        <w:rPr>
          <w:color w:val="172938"/>
        </w:rPr>
        <w:t xml:space="preserve">Para tanto, antes de dar início a estas fases, é necessária a aprovação do produto investigado </w:t>
      </w:r>
      <w:r w:rsidRPr="00864053">
        <w:rPr>
          <w:color w:val="172938"/>
        </w:rPr>
        <w:t>em testes pré-clínicos</w:t>
      </w:r>
      <w:r>
        <w:rPr>
          <w:color w:val="172938"/>
        </w:rPr>
        <w:t xml:space="preserve"> que forneçam evidências </w:t>
      </w:r>
      <w:r w:rsidRPr="006B553F">
        <w:rPr>
          <w:i/>
          <w:iCs/>
          <w:color w:val="172938"/>
        </w:rPr>
        <w:t>in vitro</w:t>
      </w:r>
      <w:r>
        <w:rPr>
          <w:color w:val="172938"/>
        </w:rPr>
        <w:t xml:space="preserve"> e em animais de experimentação, sobre </w:t>
      </w:r>
      <w:r w:rsidRPr="00864053">
        <w:rPr>
          <w:color w:val="172938"/>
        </w:rPr>
        <w:t>aspectos de segurança</w:t>
      </w:r>
      <w:r>
        <w:rPr>
          <w:color w:val="172938"/>
        </w:rPr>
        <w:t>,</w:t>
      </w:r>
      <w:r w:rsidRPr="00864053">
        <w:rPr>
          <w:color w:val="172938"/>
        </w:rPr>
        <w:t xml:space="preserve"> antes da aplicação dessa droga em seres humanos</w:t>
      </w:r>
      <w:r>
        <w:rPr>
          <w:color w:val="172938"/>
        </w:rPr>
        <w:t xml:space="preserve"> (</w:t>
      </w:r>
      <w:r w:rsidRPr="00F93643">
        <w:rPr>
          <w:color w:val="172938"/>
        </w:rPr>
        <w:t>LOUSANA, 2008</w:t>
      </w:r>
      <w:r>
        <w:rPr>
          <w:color w:val="172938"/>
        </w:rPr>
        <w:t>)</w:t>
      </w:r>
      <w:r w:rsidRPr="00864053">
        <w:rPr>
          <w:color w:val="172938"/>
        </w:rPr>
        <w:t>.</w:t>
      </w:r>
      <w:r>
        <w:rPr>
          <w:color w:val="172938"/>
        </w:rPr>
        <w:t xml:space="preserve"> </w:t>
      </w:r>
    </w:p>
    <w:p w14:paraId="48CD3F07" w14:textId="7EDAE0FB" w:rsidR="007D0992" w:rsidRDefault="007D0992">
      <w:pPr>
        <w:spacing w:after="200" w:line="276" w:lineRule="auto"/>
        <w:rPr>
          <w:color w:val="172938"/>
        </w:rPr>
      </w:pPr>
      <w:r>
        <w:rPr>
          <w:color w:val="172938"/>
        </w:rPr>
        <w:br w:type="page"/>
      </w:r>
    </w:p>
    <w:p w14:paraId="2DF5ECD4" w14:textId="77777777" w:rsidR="007E0F49" w:rsidRDefault="007E0F49" w:rsidP="007E0F49">
      <w:pPr>
        <w:spacing w:line="360" w:lineRule="auto"/>
        <w:ind w:firstLine="708"/>
        <w:jc w:val="both"/>
        <w:rPr>
          <w:color w:val="172938"/>
        </w:rPr>
      </w:pPr>
    </w:p>
    <w:p w14:paraId="04F7CC3C" w14:textId="7B890889" w:rsidR="007E0F49" w:rsidRPr="006B3A68" w:rsidRDefault="007E0F49" w:rsidP="007E0F49">
      <w:pPr>
        <w:spacing w:line="360" w:lineRule="auto"/>
        <w:jc w:val="both"/>
        <w:rPr>
          <w:b/>
          <w:bCs/>
          <w:color w:val="172938"/>
        </w:rPr>
      </w:pPr>
      <w:r w:rsidRPr="006B3A68">
        <w:rPr>
          <w:b/>
          <w:bCs/>
          <w:color w:val="172938"/>
        </w:rPr>
        <w:t xml:space="preserve">Quadro </w:t>
      </w:r>
      <w:r w:rsidR="00D44B98">
        <w:rPr>
          <w:b/>
          <w:bCs/>
          <w:color w:val="172938"/>
        </w:rPr>
        <w:t>3</w:t>
      </w:r>
      <w:r w:rsidRPr="006B3A68">
        <w:rPr>
          <w:b/>
          <w:bCs/>
          <w:color w:val="172938"/>
        </w:rPr>
        <w:t xml:space="preserve"> – Fases do Ensaio Clínico.</w:t>
      </w:r>
    </w:p>
    <w:tbl>
      <w:tblPr>
        <w:tblStyle w:val="TabeladeGrade5Escura-nfase1"/>
        <w:tblW w:w="0" w:type="auto"/>
        <w:tblLook w:val="04A0" w:firstRow="1" w:lastRow="0" w:firstColumn="1" w:lastColumn="0" w:noHBand="0" w:noVBand="1"/>
      </w:tblPr>
      <w:tblGrid>
        <w:gridCol w:w="1379"/>
        <w:gridCol w:w="7115"/>
      </w:tblGrid>
      <w:tr w:rsidR="007E0F49" w14:paraId="34A0BCAA" w14:textId="77777777" w:rsidTr="00787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7" w:type="dxa"/>
            <w:gridSpan w:val="2"/>
          </w:tcPr>
          <w:p w14:paraId="3162C15C" w14:textId="77777777" w:rsidR="007E0F49" w:rsidRPr="003C5B95" w:rsidRDefault="007E0F49" w:rsidP="00A72C7A">
            <w:pPr>
              <w:spacing w:line="360" w:lineRule="auto"/>
              <w:jc w:val="center"/>
            </w:pPr>
            <w:r w:rsidRPr="003C5B95">
              <w:rPr>
                <w:color w:val="auto"/>
              </w:rPr>
              <w:t>Fases Clínicas</w:t>
            </w:r>
          </w:p>
        </w:tc>
      </w:tr>
      <w:tr w:rsidR="007E0F49" w14:paraId="706F4B2C" w14:textId="77777777" w:rsidTr="00787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72A239" w14:textId="77777777" w:rsidR="007E0F49" w:rsidRDefault="007E0F49" w:rsidP="00A72C7A">
            <w:pPr>
              <w:spacing w:line="360" w:lineRule="auto"/>
              <w:jc w:val="both"/>
              <w:rPr>
                <w:color w:val="172938"/>
              </w:rPr>
            </w:pPr>
            <w:r>
              <w:rPr>
                <w:color w:val="172938"/>
              </w:rPr>
              <w:t>Fase I</w:t>
            </w:r>
          </w:p>
        </w:tc>
        <w:tc>
          <w:tcPr>
            <w:tcW w:w="7364" w:type="dxa"/>
          </w:tcPr>
          <w:p w14:paraId="69C61DBA" w14:textId="77777777" w:rsidR="007E0F49" w:rsidRDefault="007E0F49" w:rsidP="00A72C7A">
            <w:pPr>
              <w:spacing w:line="360" w:lineRule="auto"/>
              <w:ind w:firstLine="708"/>
              <w:jc w:val="both"/>
              <w:cnfStyle w:val="000000100000" w:firstRow="0" w:lastRow="0" w:firstColumn="0" w:lastColumn="0" w:oddVBand="0" w:evenVBand="0" w:oddHBand="1" w:evenHBand="0" w:firstRowFirstColumn="0" w:firstRowLastColumn="0" w:lastRowFirstColumn="0" w:lastRowLastColumn="0"/>
              <w:rPr>
                <w:color w:val="172938"/>
              </w:rPr>
            </w:pPr>
            <w:r>
              <w:rPr>
                <w:color w:val="172938"/>
              </w:rPr>
              <w:t>Constitui a primeira das quatro fases de um estudo clínico e acontece quando o ser humano recebe pela primeira vez um novo produto medicamentoso. Envolve uma pequena população de voluntários saudáveis, com o objetivo de conhecer dados de segurança</w:t>
            </w:r>
            <w:r>
              <w:t xml:space="preserve">, </w:t>
            </w:r>
            <w:r w:rsidRPr="004719FB">
              <w:rPr>
                <w:color w:val="172938"/>
              </w:rPr>
              <w:t>perfil farmacocinético e farmacodinâmico.</w:t>
            </w:r>
            <w:r>
              <w:rPr>
                <w:color w:val="172938"/>
              </w:rPr>
              <w:t xml:space="preserve"> </w:t>
            </w:r>
          </w:p>
        </w:tc>
      </w:tr>
      <w:tr w:rsidR="007E0F49" w14:paraId="1EAA1753" w14:textId="77777777" w:rsidTr="00787381">
        <w:tc>
          <w:tcPr>
            <w:cnfStyle w:val="001000000000" w:firstRow="0" w:lastRow="0" w:firstColumn="1" w:lastColumn="0" w:oddVBand="0" w:evenVBand="0" w:oddHBand="0" w:evenHBand="0" w:firstRowFirstColumn="0" w:firstRowLastColumn="0" w:lastRowFirstColumn="0" w:lastRowLastColumn="0"/>
            <w:tcW w:w="1413" w:type="dxa"/>
          </w:tcPr>
          <w:p w14:paraId="78A3D8AF" w14:textId="77777777" w:rsidR="007E0F49" w:rsidRDefault="007E0F49" w:rsidP="00A72C7A">
            <w:pPr>
              <w:spacing w:line="360" w:lineRule="auto"/>
              <w:jc w:val="both"/>
              <w:rPr>
                <w:color w:val="172938"/>
              </w:rPr>
            </w:pPr>
            <w:r>
              <w:rPr>
                <w:color w:val="172938"/>
              </w:rPr>
              <w:t>Fase II</w:t>
            </w:r>
          </w:p>
        </w:tc>
        <w:tc>
          <w:tcPr>
            <w:tcW w:w="7364" w:type="dxa"/>
          </w:tcPr>
          <w:p w14:paraId="40BC9B99" w14:textId="77777777" w:rsidR="007E0F49" w:rsidRDefault="007E0F49" w:rsidP="00A72C7A">
            <w:pPr>
              <w:spacing w:line="360" w:lineRule="auto"/>
              <w:ind w:firstLine="708"/>
              <w:jc w:val="both"/>
              <w:cnfStyle w:val="000000000000" w:firstRow="0" w:lastRow="0" w:firstColumn="0" w:lastColumn="0" w:oddVBand="0" w:evenVBand="0" w:oddHBand="0" w:evenHBand="0" w:firstRowFirstColumn="0" w:firstRowLastColumn="0" w:lastRowFirstColumn="0" w:lastRowLastColumn="0"/>
              <w:rPr>
                <w:color w:val="172938"/>
              </w:rPr>
            </w:pPr>
            <w:r>
              <w:rPr>
                <w:color w:val="172938"/>
              </w:rPr>
              <w:t xml:space="preserve">Após completar com sucesso o estudo fase I, o novo medicamento é investigado </w:t>
            </w:r>
            <w:r w:rsidRPr="004719FB">
              <w:rPr>
                <w:color w:val="172938"/>
              </w:rPr>
              <w:t xml:space="preserve">em </w:t>
            </w:r>
            <w:r>
              <w:rPr>
                <w:color w:val="172938"/>
              </w:rPr>
              <w:t xml:space="preserve">um </w:t>
            </w:r>
            <w:r w:rsidRPr="004719FB">
              <w:rPr>
                <w:color w:val="172938"/>
              </w:rPr>
              <w:t>número limitado de pessoas</w:t>
            </w:r>
            <w:r>
              <w:rPr>
                <w:color w:val="172938"/>
              </w:rPr>
              <w:t xml:space="preserve"> quanto ao efeito e </w:t>
            </w:r>
            <w:r w:rsidRPr="004719FB">
              <w:rPr>
                <w:color w:val="172938"/>
              </w:rPr>
              <w:t>a</w:t>
            </w:r>
            <w:r>
              <w:rPr>
                <w:color w:val="172938"/>
              </w:rPr>
              <w:t xml:space="preserve"> sua </w:t>
            </w:r>
            <w:r w:rsidRPr="004719FB">
              <w:rPr>
                <w:color w:val="172938"/>
              </w:rPr>
              <w:t>segurança em curto prazo</w:t>
            </w:r>
            <w:r>
              <w:rPr>
                <w:color w:val="172938"/>
              </w:rPr>
              <w:t xml:space="preserve"> do tratamento. Também são estabelecidas </w:t>
            </w:r>
            <w:r w:rsidRPr="001A1F1B">
              <w:rPr>
                <w:color w:val="172938"/>
              </w:rPr>
              <w:t>as relações</w:t>
            </w:r>
            <w:r>
              <w:rPr>
                <w:color w:val="172938"/>
              </w:rPr>
              <w:t xml:space="preserve"> </w:t>
            </w:r>
            <w:r w:rsidRPr="001A1F1B">
              <w:rPr>
                <w:color w:val="172938"/>
              </w:rPr>
              <w:t>doses-resposta</w:t>
            </w:r>
            <w:r>
              <w:rPr>
                <w:color w:val="172938"/>
              </w:rPr>
              <w:t>.</w:t>
            </w:r>
            <w:r w:rsidRPr="004719FB">
              <w:rPr>
                <w:color w:val="172938"/>
              </w:rPr>
              <w:t xml:space="preserve"> </w:t>
            </w:r>
            <w:r>
              <w:rPr>
                <w:color w:val="172938"/>
              </w:rPr>
              <w:t xml:space="preserve">Em geral, são estudos que avaliam efeitos substitutos e podem não envolver grupo controle. A randomização também pode ou não estar presente. </w:t>
            </w:r>
          </w:p>
        </w:tc>
      </w:tr>
      <w:tr w:rsidR="007E0F49" w14:paraId="039BCE39" w14:textId="77777777" w:rsidTr="00787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E4D7D5A" w14:textId="77777777" w:rsidR="007E0F49" w:rsidRDefault="007E0F49" w:rsidP="00A72C7A">
            <w:pPr>
              <w:spacing w:line="360" w:lineRule="auto"/>
              <w:jc w:val="both"/>
              <w:rPr>
                <w:color w:val="172938"/>
              </w:rPr>
            </w:pPr>
            <w:r>
              <w:rPr>
                <w:color w:val="172938"/>
              </w:rPr>
              <w:t>Fase III</w:t>
            </w:r>
          </w:p>
        </w:tc>
        <w:tc>
          <w:tcPr>
            <w:tcW w:w="7364" w:type="dxa"/>
          </w:tcPr>
          <w:p w14:paraId="7DCEDA5B" w14:textId="77777777" w:rsidR="007E0F49" w:rsidRDefault="007E0F49" w:rsidP="00A72C7A">
            <w:pPr>
              <w:spacing w:line="360" w:lineRule="auto"/>
              <w:ind w:firstLine="708"/>
              <w:jc w:val="both"/>
              <w:cnfStyle w:val="000000100000" w:firstRow="0" w:lastRow="0" w:firstColumn="0" w:lastColumn="0" w:oddVBand="0" w:evenVBand="0" w:oddHBand="1" w:evenHBand="0" w:firstRowFirstColumn="0" w:firstRowLastColumn="0" w:lastRowFirstColumn="0" w:lastRowLastColumn="0"/>
              <w:rPr>
                <w:color w:val="172938"/>
              </w:rPr>
            </w:pPr>
            <w:r>
              <w:rPr>
                <w:color w:val="172938"/>
              </w:rPr>
              <w:t xml:space="preserve">Constitui a terceira e última fase pré-aprovação do novo medicamento. É conduzido em </w:t>
            </w:r>
            <w:r w:rsidRPr="001A1F1B">
              <w:rPr>
                <w:color w:val="172938"/>
              </w:rPr>
              <w:t>grandes e variados grupos de</w:t>
            </w:r>
            <w:r>
              <w:rPr>
                <w:color w:val="172938"/>
              </w:rPr>
              <w:t xml:space="preserve"> sujeitos voluntários, todos portadores da doença ou condição para qual a droga foi desenvolvida, com o objetivo de determinar dados de segurança e eficácia a curto e longo prazo</w:t>
            </w:r>
            <w:r w:rsidRPr="001A1F1B">
              <w:rPr>
                <w:color w:val="172938"/>
              </w:rPr>
              <w:t xml:space="preserve">. </w:t>
            </w:r>
            <w:r>
              <w:rPr>
                <w:color w:val="172938"/>
              </w:rPr>
              <w:t xml:space="preserve">Nesta fase, são avaliadas </w:t>
            </w:r>
            <w:r w:rsidRPr="001A1F1B">
              <w:rPr>
                <w:color w:val="172938"/>
              </w:rPr>
              <w:t>as reações adversas mais frequentes</w:t>
            </w:r>
            <w:r>
              <w:rPr>
                <w:color w:val="172938"/>
              </w:rPr>
              <w:t xml:space="preserve"> e sua interação com determinados fatores, a exemplo da idade, sexo, álcool, dentre outros. Preferencialmente, devem usar desfechos clínicos, grupo controle, além de serem randomizados e duplo-cegos.</w:t>
            </w:r>
          </w:p>
        </w:tc>
      </w:tr>
      <w:tr w:rsidR="007E0F49" w14:paraId="494EB4BD" w14:textId="77777777" w:rsidTr="00787381">
        <w:tc>
          <w:tcPr>
            <w:cnfStyle w:val="001000000000" w:firstRow="0" w:lastRow="0" w:firstColumn="1" w:lastColumn="0" w:oddVBand="0" w:evenVBand="0" w:oddHBand="0" w:evenHBand="0" w:firstRowFirstColumn="0" w:firstRowLastColumn="0" w:lastRowFirstColumn="0" w:lastRowLastColumn="0"/>
            <w:tcW w:w="1413" w:type="dxa"/>
          </w:tcPr>
          <w:p w14:paraId="0B43093F" w14:textId="77777777" w:rsidR="007E0F49" w:rsidRDefault="007E0F49" w:rsidP="00A72C7A">
            <w:pPr>
              <w:spacing w:line="360" w:lineRule="auto"/>
              <w:jc w:val="both"/>
              <w:rPr>
                <w:color w:val="172938"/>
              </w:rPr>
            </w:pPr>
            <w:r>
              <w:rPr>
                <w:color w:val="172938"/>
              </w:rPr>
              <w:t>Fase IV</w:t>
            </w:r>
          </w:p>
        </w:tc>
        <w:tc>
          <w:tcPr>
            <w:tcW w:w="7364" w:type="dxa"/>
          </w:tcPr>
          <w:p w14:paraId="25C673A1" w14:textId="77777777" w:rsidR="007E0F49" w:rsidRDefault="007E0F49" w:rsidP="00A72C7A">
            <w:pPr>
              <w:spacing w:line="360" w:lineRule="auto"/>
              <w:ind w:firstLine="708"/>
              <w:jc w:val="both"/>
              <w:cnfStyle w:val="000000000000" w:firstRow="0" w:lastRow="0" w:firstColumn="0" w:lastColumn="0" w:oddVBand="0" w:evenVBand="0" w:oddHBand="0" w:evenHBand="0" w:firstRowFirstColumn="0" w:firstRowLastColumn="0" w:lastRowFirstColumn="0" w:lastRowLastColumn="0"/>
              <w:rPr>
                <w:color w:val="172938"/>
              </w:rPr>
            </w:pPr>
            <w:r>
              <w:rPr>
                <w:color w:val="172938"/>
              </w:rPr>
              <w:t>R</w:t>
            </w:r>
            <w:r w:rsidRPr="009A5C8E">
              <w:rPr>
                <w:color w:val="172938"/>
              </w:rPr>
              <w:t>ealizada pós-comercialização</w:t>
            </w:r>
            <w:r>
              <w:rPr>
                <w:color w:val="172938"/>
              </w:rPr>
              <w:t xml:space="preserve"> do produto, visando e</w:t>
            </w:r>
            <w:r w:rsidRPr="009A5C8E">
              <w:rPr>
                <w:color w:val="172938"/>
              </w:rPr>
              <w:t>stabelece</w:t>
            </w:r>
            <w:r>
              <w:rPr>
                <w:color w:val="172938"/>
              </w:rPr>
              <w:t>r</w:t>
            </w:r>
            <w:r w:rsidRPr="009A5C8E">
              <w:rPr>
                <w:color w:val="172938"/>
              </w:rPr>
              <w:t xml:space="preserve"> o valor terapêutico, o surgimento de novas reações adversas e estratégia de tratamento</w:t>
            </w:r>
            <w:r>
              <w:rPr>
                <w:color w:val="172938"/>
              </w:rPr>
              <w:t>. O número de pessoas envolvidas nesta fase é muito maior do que a envolvida nos estudos anteriores.</w:t>
            </w:r>
          </w:p>
        </w:tc>
      </w:tr>
    </w:tbl>
    <w:p w14:paraId="6B789AE9" w14:textId="77777777" w:rsidR="007E0F49" w:rsidRDefault="007E0F49" w:rsidP="007E0F49">
      <w:pPr>
        <w:spacing w:line="360" w:lineRule="auto"/>
        <w:jc w:val="both"/>
        <w:rPr>
          <w:color w:val="172938"/>
        </w:rPr>
      </w:pPr>
    </w:p>
    <w:p w14:paraId="0CDBDE33" w14:textId="77777777" w:rsidR="007E0F49" w:rsidRDefault="007E0F49" w:rsidP="007E0F49">
      <w:pPr>
        <w:spacing w:line="360" w:lineRule="auto"/>
        <w:ind w:firstLine="708"/>
        <w:jc w:val="both"/>
        <w:rPr>
          <w:color w:val="172938"/>
        </w:rPr>
      </w:pPr>
      <w:r>
        <w:rPr>
          <w:color w:val="172938"/>
        </w:rPr>
        <w:t xml:space="preserve">Todas essas fases são </w:t>
      </w:r>
      <w:r w:rsidRPr="00C025D5">
        <w:rPr>
          <w:color w:val="172938"/>
        </w:rPr>
        <w:t>necessárias para a aprovação da nova medicação pel</w:t>
      </w:r>
      <w:r>
        <w:rPr>
          <w:color w:val="172938"/>
        </w:rPr>
        <w:t>o</w:t>
      </w:r>
      <w:r w:rsidRPr="00C025D5">
        <w:rPr>
          <w:color w:val="172938"/>
        </w:rPr>
        <w:t xml:space="preserve"> FDA, nos Estados Unidos, e pela</w:t>
      </w:r>
      <w:r>
        <w:rPr>
          <w:color w:val="172938"/>
        </w:rPr>
        <w:t xml:space="preserve"> </w:t>
      </w:r>
      <w:r w:rsidRPr="00C025D5">
        <w:rPr>
          <w:color w:val="172938"/>
        </w:rPr>
        <w:t>Agência Nacional de Vigilância Sanitária</w:t>
      </w:r>
      <w:r>
        <w:rPr>
          <w:color w:val="172938"/>
        </w:rPr>
        <w:t xml:space="preserve"> (ANVISA)</w:t>
      </w:r>
      <w:r w:rsidRPr="00C025D5">
        <w:rPr>
          <w:color w:val="172938"/>
        </w:rPr>
        <w:t>, no Brasil, para posterior liberação e disponibilização para uso geral.</w:t>
      </w:r>
    </w:p>
    <w:p w14:paraId="69E80040" w14:textId="6A351D80" w:rsidR="007D0992" w:rsidRDefault="007D0992">
      <w:pPr>
        <w:spacing w:after="200" w:line="276" w:lineRule="auto"/>
        <w:rPr>
          <w:color w:val="172938"/>
        </w:rPr>
      </w:pPr>
      <w:r>
        <w:rPr>
          <w:color w:val="172938"/>
        </w:rPr>
        <w:br w:type="page"/>
      </w:r>
    </w:p>
    <w:p w14:paraId="045E7A29" w14:textId="5F0ADA97" w:rsidR="007E0F49" w:rsidRPr="00671118" w:rsidRDefault="007E0F49" w:rsidP="00D44B98">
      <w:pPr>
        <w:spacing w:after="160" w:line="360" w:lineRule="auto"/>
        <w:jc w:val="both"/>
        <w:rPr>
          <w:b/>
          <w:bCs/>
          <w:color w:val="172938"/>
        </w:rPr>
      </w:pPr>
      <w:r w:rsidRPr="00671118">
        <w:rPr>
          <w:b/>
          <w:bCs/>
          <w:color w:val="172938"/>
        </w:rPr>
        <w:t>Regulamentação –</w:t>
      </w:r>
      <w:r w:rsidR="007D0992">
        <w:rPr>
          <w:b/>
          <w:bCs/>
          <w:color w:val="172938"/>
          <w:lang w:val="en-US"/>
        </w:rPr>
        <w:t xml:space="preserve"> </w:t>
      </w:r>
      <w:r w:rsidRPr="00671118">
        <w:rPr>
          <w:b/>
          <w:bCs/>
          <w:color w:val="172938"/>
        </w:rPr>
        <w:t xml:space="preserve">RDC 09/2015 </w:t>
      </w:r>
    </w:p>
    <w:p w14:paraId="37812161" w14:textId="77777777" w:rsidR="007E0F49" w:rsidRDefault="007E0F49" w:rsidP="007E0F49">
      <w:pPr>
        <w:spacing w:line="360" w:lineRule="auto"/>
        <w:ind w:firstLine="708"/>
        <w:jc w:val="both"/>
        <w:rPr>
          <w:color w:val="172938"/>
        </w:rPr>
      </w:pPr>
      <w:r>
        <w:rPr>
          <w:color w:val="172938"/>
        </w:rPr>
        <w:t>A</w:t>
      </w:r>
      <w:r w:rsidRPr="0095157D">
        <w:rPr>
          <w:color w:val="172938"/>
        </w:rPr>
        <w:t>tualmente a resolução vigente que regula os ensaios clínicos no Brasil é a RDC nº 09/2015, que dispõe sobre o Regulamento para a realização de ensaios clínicos com medicamentos no Brasil</w:t>
      </w:r>
      <w:r>
        <w:rPr>
          <w:color w:val="172938"/>
        </w:rPr>
        <w:t xml:space="preserve">, através de </w:t>
      </w:r>
      <w:r w:rsidRPr="001216B9">
        <w:rPr>
          <w:color w:val="172938"/>
        </w:rPr>
        <w:t>um modelo de regulação harmonizado com as principais agências internacionais, considerando os aspectos de submissão de documentação técnica e boas práticas clínicas, assim como oferece maior qualidade e eficiência administrativa para a avaliação de ensaios clínicos no âmbito da Anvisa</w:t>
      </w:r>
      <w:r>
        <w:rPr>
          <w:color w:val="172938"/>
        </w:rPr>
        <w:t xml:space="preserve"> (BRASIL, 2015)</w:t>
      </w:r>
      <w:r w:rsidRPr="001216B9">
        <w:rPr>
          <w:color w:val="172938"/>
        </w:rPr>
        <w:t>.</w:t>
      </w:r>
    </w:p>
    <w:p w14:paraId="6FEA5FB3" w14:textId="77777777" w:rsidR="007E0F49" w:rsidRDefault="007E0F49" w:rsidP="007E0F49">
      <w:pPr>
        <w:spacing w:line="360" w:lineRule="auto"/>
        <w:ind w:firstLine="708"/>
        <w:jc w:val="both"/>
        <w:rPr>
          <w:color w:val="172938"/>
        </w:rPr>
      </w:pPr>
      <w:r w:rsidRPr="0095157D">
        <w:rPr>
          <w:color w:val="172938"/>
        </w:rPr>
        <w:t>Em seu art. 2º, é informado: “Esta Resolução é aplicável a todos os ensaios clínicos com medicamentos que terão todo ou parte de seu desenvolvimento clínico no Brasil para fins de registro”. Ademais, em seu parágrafo único, é acrescentado que “Ensaios clínicos com medicamentos registrados no Brasil devem seguir todas as disposições desta Resolução quando fornecerem subsídios para: I – nova indicação terapêutica; II – nova via de administração; III – nova concentração; IV – nova forma farmacêutica; V – ampliação de uso; VI – nova posologia; VII – novas associações; ou VIII – qualquer alteração pós-registro que requeira dados clínicos, incluindo renovação de registro”</w:t>
      </w:r>
      <w:r>
        <w:rPr>
          <w:color w:val="172938"/>
        </w:rPr>
        <w:t xml:space="preserve"> (BRASIL, 2015)</w:t>
      </w:r>
      <w:r w:rsidRPr="0095157D">
        <w:rPr>
          <w:color w:val="172938"/>
        </w:rPr>
        <w:t>.</w:t>
      </w:r>
    </w:p>
    <w:bookmarkEnd w:id="1"/>
    <w:p w14:paraId="0D665196" w14:textId="77777777" w:rsidR="007E0F49" w:rsidRDefault="007E0F49" w:rsidP="007E0F49">
      <w:pPr>
        <w:spacing w:line="360" w:lineRule="auto"/>
        <w:jc w:val="both"/>
        <w:rPr>
          <w:color w:val="000000"/>
          <w:shd w:val="clear" w:color="auto" w:fill="FFFFFF"/>
        </w:rPr>
      </w:pPr>
    </w:p>
    <w:p w14:paraId="7A233272" w14:textId="77777777" w:rsidR="007E0F49" w:rsidRDefault="007E0F49" w:rsidP="007E0F49">
      <w:pPr>
        <w:spacing w:line="360" w:lineRule="auto"/>
        <w:jc w:val="both"/>
        <w:rPr>
          <w:color w:val="000000"/>
          <w:shd w:val="clear" w:color="auto" w:fill="FFFFFF"/>
        </w:rPr>
      </w:pPr>
    </w:p>
    <w:p w14:paraId="2954AF33" w14:textId="77777777" w:rsidR="007E0F49" w:rsidRPr="000C7AAD" w:rsidRDefault="007E0F49" w:rsidP="007E0F49">
      <w:pPr>
        <w:spacing w:line="360" w:lineRule="auto"/>
        <w:jc w:val="both"/>
        <w:rPr>
          <w:b/>
          <w:bCs/>
          <w:color w:val="000000"/>
          <w:shd w:val="clear" w:color="auto" w:fill="FFFFFF"/>
        </w:rPr>
      </w:pPr>
      <w:r w:rsidRPr="000C7AAD">
        <w:rPr>
          <w:b/>
          <w:bCs/>
          <w:color w:val="000000"/>
          <w:shd w:val="clear" w:color="auto" w:fill="FFFFFF"/>
        </w:rPr>
        <w:t>Referências</w:t>
      </w:r>
    </w:p>
    <w:p w14:paraId="30D20AD9" w14:textId="1A50D00F" w:rsidR="007E0F49" w:rsidRDefault="007E0F49" w:rsidP="007D0992">
      <w:pPr>
        <w:spacing w:before="100" w:beforeAutospacing="1" w:after="100" w:afterAutospacing="1" w:line="360" w:lineRule="auto"/>
        <w:jc w:val="both"/>
      </w:pPr>
      <w:r>
        <w:t xml:space="preserve">ANVISA. </w:t>
      </w:r>
      <w:r w:rsidRPr="00F95AE0">
        <w:t>Adendo Integrado ao E6(R1): Guia de Boas Práticas Clínicas</w:t>
      </w:r>
      <w:r>
        <w:t xml:space="preserve"> – E6(R2). </w:t>
      </w:r>
      <w:r w:rsidRPr="00F95AE0">
        <w:t>Versão traduzida para o português –</w:t>
      </w:r>
      <w:r w:rsidR="007D0992">
        <w:rPr>
          <w:b/>
          <w:bCs/>
          <w:lang w:val="en-US"/>
        </w:rPr>
        <w:t xml:space="preserve"> </w:t>
      </w:r>
      <w:r w:rsidRPr="00F95AE0">
        <w:t>Novembro</w:t>
      </w:r>
      <w:r>
        <w:t xml:space="preserve">, </w:t>
      </w:r>
      <w:r w:rsidRPr="00F95AE0">
        <w:t>2019</w:t>
      </w:r>
      <w:r>
        <w:t>.</w:t>
      </w:r>
    </w:p>
    <w:p w14:paraId="04F70013" w14:textId="5F4B48FE" w:rsidR="007E0F49" w:rsidRPr="00B36D8C" w:rsidRDefault="007E0F49" w:rsidP="007D0992">
      <w:pPr>
        <w:spacing w:before="100" w:beforeAutospacing="1" w:after="100" w:afterAutospacing="1" w:line="360" w:lineRule="auto"/>
        <w:jc w:val="both"/>
        <w:rPr>
          <w:lang w:val="en-US"/>
        </w:rPr>
      </w:pPr>
      <w:r w:rsidRPr="000C7AAD">
        <w:t xml:space="preserve">BRASIL. Ministério da Saúde. </w:t>
      </w:r>
      <w:r>
        <w:t>Agência Nacional de Vigilância Sanitária</w:t>
      </w:r>
      <w:r w:rsidRPr="000C7AAD">
        <w:t xml:space="preserve">. </w:t>
      </w:r>
      <w:r w:rsidRPr="006B54EA">
        <w:rPr>
          <w:b/>
          <w:bCs/>
        </w:rPr>
        <w:t xml:space="preserve">Resolução da diretoria colegiada - </w:t>
      </w:r>
      <w:r w:rsidR="007D0992" w:rsidRPr="007D0992">
        <w:rPr>
          <w:b/>
          <w:bCs/>
          <w:lang w:val="pt-BR"/>
        </w:rPr>
        <w:t>RDC</w:t>
      </w:r>
      <w:r w:rsidRPr="006B54EA">
        <w:rPr>
          <w:b/>
          <w:bCs/>
        </w:rPr>
        <w:t xml:space="preserve"> nº 9, de 20 de fevereiro de 2015</w:t>
      </w:r>
      <w:r>
        <w:t xml:space="preserve">. </w:t>
      </w:r>
      <w:r w:rsidRPr="00B36D8C">
        <w:rPr>
          <w:lang w:val="en-US"/>
        </w:rPr>
        <w:t>Brasília, DF, 2015.</w:t>
      </w:r>
    </w:p>
    <w:p w14:paraId="12CA9932" w14:textId="77777777" w:rsidR="007E0F49" w:rsidRPr="00B36D8C" w:rsidRDefault="007E0F49" w:rsidP="007D0992">
      <w:pPr>
        <w:spacing w:before="100" w:beforeAutospacing="1" w:after="100" w:afterAutospacing="1" w:line="360" w:lineRule="auto"/>
        <w:jc w:val="both"/>
        <w:rPr>
          <w:lang w:val="en-US"/>
        </w:rPr>
      </w:pPr>
      <w:r w:rsidRPr="00B36D8C">
        <w:rPr>
          <w:lang w:val="en-US"/>
        </w:rPr>
        <w:t xml:space="preserve">BALLENTINE, C. Sulfanilimide Disaster. Office of Public Affairs, Food and Drug Administration. </w:t>
      </w:r>
      <w:r w:rsidRPr="00B36D8C">
        <w:rPr>
          <w:b/>
          <w:bCs/>
          <w:lang w:val="en-US"/>
        </w:rPr>
        <w:t>FDA Consumer Magazine</w:t>
      </w:r>
      <w:r w:rsidRPr="00B36D8C">
        <w:rPr>
          <w:lang w:val="en-US"/>
        </w:rPr>
        <w:t>, 1981.</w:t>
      </w:r>
    </w:p>
    <w:p w14:paraId="0163C0CD" w14:textId="77777777" w:rsidR="007E0F49" w:rsidRPr="00B36D8C" w:rsidRDefault="007E0F49" w:rsidP="007D0992">
      <w:pPr>
        <w:shd w:val="clear" w:color="auto" w:fill="FFFFFF"/>
        <w:spacing w:before="100" w:beforeAutospacing="1" w:after="100" w:afterAutospacing="1" w:line="360" w:lineRule="auto"/>
        <w:jc w:val="both"/>
        <w:rPr>
          <w:color w:val="000000"/>
          <w:lang w:val="en-US"/>
        </w:rPr>
      </w:pPr>
      <w:bookmarkStart w:id="14" w:name="_Hlk46307783"/>
      <w:r w:rsidRPr="00B36D8C">
        <w:rPr>
          <w:color w:val="000000"/>
          <w:lang w:val="en-US"/>
        </w:rPr>
        <w:t>BARTHOLOMEW</w:t>
      </w:r>
      <w:bookmarkEnd w:id="14"/>
      <w:r w:rsidRPr="00B36D8C">
        <w:rPr>
          <w:color w:val="000000"/>
          <w:lang w:val="en-US"/>
        </w:rPr>
        <w:t xml:space="preserve">, M. James Lind's Treatise of the Scurvy (1753). </w:t>
      </w:r>
      <w:r w:rsidRPr="00B36D8C">
        <w:rPr>
          <w:b/>
          <w:bCs/>
          <w:color w:val="000000"/>
          <w:lang w:val="en-US"/>
        </w:rPr>
        <w:t>Postgrad Med J</w:t>
      </w:r>
      <w:r w:rsidRPr="00B36D8C">
        <w:rPr>
          <w:color w:val="000000"/>
          <w:lang w:val="en-US"/>
        </w:rPr>
        <w:t>., Nov., v.78, n.925, p.695–696., 2002. doi: 10.1136/pmj.78.925.695</w:t>
      </w:r>
    </w:p>
    <w:p w14:paraId="6AE81D56" w14:textId="77777777" w:rsidR="007E0F49" w:rsidRPr="00B36D8C" w:rsidRDefault="007E0F49" w:rsidP="007D0992">
      <w:pPr>
        <w:shd w:val="clear" w:color="auto" w:fill="FFFFFF"/>
        <w:spacing w:before="100" w:beforeAutospacing="1" w:after="100" w:afterAutospacing="1" w:line="360" w:lineRule="auto"/>
        <w:jc w:val="both"/>
        <w:rPr>
          <w:color w:val="000000"/>
          <w:lang w:val="en-US"/>
        </w:rPr>
      </w:pPr>
    </w:p>
    <w:p w14:paraId="65BA542B" w14:textId="77777777" w:rsidR="007E0F49" w:rsidRPr="00B36D8C" w:rsidRDefault="007E0F49" w:rsidP="007D0992">
      <w:pPr>
        <w:spacing w:before="100" w:beforeAutospacing="1" w:after="100" w:afterAutospacing="1" w:line="360" w:lineRule="auto"/>
        <w:jc w:val="both"/>
        <w:rPr>
          <w:lang w:val="en-US"/>
        </w:rPr>
      </w:pPr>
      <w:r w:rsidRPr="00B36D8C">
        <w:rPr>
          <w:lang w:val="en-US"/>
        </w:rPr>
        <w:t xml:space="preserve">BEECHER, H.K. Ethics and clinical research. </w:t>
      </w:r>
      <w:r w:rsidRPr="00B36D8C">
        <w:rPr>
          <w:b/>
          <w:bCs/>
          <w:lang w:val="en-US"/>
        </w:rPr>
        <w:t>The New England Journal of Medicine</w:t>
      </w:r>
      <w:r w:rsidRPr="00B36D8C">
        <w:rPr>
          <w:lang w:val="en-US"/>
        </w:rPr>
        <w:t>. jun., v. 274, n. 24, p.1354-1360, 1966.</w:t>
      </w:r>
    </w:p>
    <w:p w14:paraId="383BD89A" w14:textId="77777777" w:rsidR="007E0F49" w:rsidRPr="00B36D8C" w:rsidRDefault="007E0F49" w:rsidP="007D0992">
      <w:pPr>
        <w:spacing w:before="100" w:beforeAutospacing="1" w:after="100" w:afterAutospacing="1" w:line="360" w:lineRule="auto"/>
        <w:jc w:val="both"/>
        <w:rPr>
          <w:lang w:val="en-US"/>
        </w:rPr>
      </w:pPr>
      <w:r w:rsidRPr="00B36D8C">
        <w:rPr>
          <w:lang w:val="en-US"/>
        </w:rPr>
        <w:t xml:space="preserve">BERNARD, C. An introduction to the study of experimental medicine. New York: </w:t>
      </w:r>
      <w:r w:rsidRPr="00B36D8C">
        <w:rPr>
          <w:b/>
          <w:bCs/>
          <w:lang w:val="en-US"/>
        </w:rPr>
        <w:t>Dover</w:t>
      </w:r>
      <w:r w:rsidRPr="00B36D8C">
        <w:rPr>
          <w:lang w:val="en-US"/>
        </w:rPr>
        <w:t>, 1957. p.101.(Original publicado em 1852).</w:t>
      </w:r>
    </w:p>
    <w:p w14:paraId="6AF163C2" w14:textId="77777777" w:rsidR="007E0F49" w:rsidRPr="00B36D8C" w:rsidRDefault="007E0F49" w:rsidP="007D0992">
      <w:pPr>
        <w:spacing w:before="100" w:beforeAutospacing="1" w:after="100" w:afterAutospacing="1" w:line="360" w:lineRule="auto"/>
        <w:jc w:val="both"/>
        <w:rPr>
          <w:lang w:val="en-US"/>
        </w:rPr>
      </w:pPr>
      <w:bookmarkStart w:id="15" w:name="_Hlk46988634"/>
      <w:r w:rsidRPr="00B36D8C">
        <w:rPr>
          <w:lang w:val="en-US"/>
        </w:rPr>
        <w:t>CIOLINO</w:t>
      </w:r>
      <w:bookmarkEnd w:id="15"/>
      <w:r w:rsidRPr="00B36D8C">
        <w:rPr>
          <w:lang w:val="en-US"/>
        </w:rPr>
        <w:t xml:space="preserve">, J.D., PALAC, H.L., YANG, A., VACA, M., BELLI, H.M.. Ideal vs. real: a systematic review on handling covariates in randomized controlled trials. </w:t>
      </w:r>
      <w:r w:rsidRPr="00B36D8C">
        <w:rPr>
          <w:b/>
          <w:bCs/>
          <w:lang w:val="en-US"/>
        </w:rPr>
        <w:t>BMC Med Res Methodol</w:t>
      </w:r>
      <w:r w:rsidRPr="00B36D8C">
        <w:rPr>
          <w:lang w:val="en-US"/>
        </w:rPr>
        <w:t>. v.19, n.1, p.136, 2019. doi:10.1186/s12874-019-0787-8</w:t>
      </w:r>
    </w:p>
    <w:p w14:paraId="498D052F" w14:textId="77777777" w:rsidR="007E0F49" w:rsidRPr="00B36D8C" w:rsidRDefault="007E0F49" w:rsidP="007D0992">
      <w:pPr>
        <w:spacing w:before="100" w:beforeAutospacing="1" w:after="100" w:afterAutospacing="1" w:line="360" w:lineRule="auto"/>
        <w:jc w:val="both"/>
        <w:rPr>
          <w:lang w:val="en-US"/>
        </w:rPr>
      </w:pPr>
      <w:bookmarkStart w:id="16" w:name="_Hlk46953775"/>
      <w:r w:rsidRPr="00B36D8C">
        <w:rPr>
          <w:lang w:val="en-US"/>
        </w:rPr>
        <w:t>DOMINGUEZ-URBAN</w:t>
      </w:r>
      <w:bookmarkEnd w:id="16"/>
      <w:r w:rsidRPr="00B36D8C">
        <w:rPr>
          <w:lang w:val="en-US"/>
        </w:rPr>
        <w:t xml:space="preserve">, I. Harmonization in the Regulation of Pharmaceutical Research and Human Rights: The Need to Think Globally. </w:t>
      </w:r>
      <w:r w:rsidRPr="00B36D8C">
        <w:rPr>
          <w:b/>
          <w:bCs/>
          <w:lang w:val="en-US"/>
        </w:rPr>
        <w:t>Cornell International Law Journal</w:t>
      </w:r>
      <w:r w:rsidRPr="00B36D8C">
        <w:rPr>
          <w:lang w:val="en-US"/>
        </w:rPr>
        <w:t>. v. 30, n.2 , Article 1, 1997.</w:t>
      </w:r>
    </w:p>
    <w:p w14:paraId="420CB1B8" w14:textId="77777777" w:rsidR="007E0F49" w:rsidRPr="00B36D8C" w:rsidRDefault="007E0F49" w:rsidP="007D0992">
      <w:pPr>
        <w:spacing w:before="100" w:beforeAutospacing="1" w:after="100" w:afterAutospacing="1" w:line="360" w:lineRule="auto"/>
        <w:jc w:val="both"/>
        <w:rPr>
          <w:lang w:val="en-US"/>
        </w:rPr>
      </w:pPr>
      <w:r w:rsidRPr="00B36D8C">
        <w:rPr>
          <w:lang w:val="en-US"/>
        </w:rPr>
        <w:t xml:space="preserve">GEILING, E.M.K.; CANNON, P.R. Pathologic effects of elixir of sulfanilamide (diethylene glycol) poisoning: a clinical and experimental correlation: final report. </w:t>
      </w:r>
      <w:r w:rsidRPr="00B36D8C">
        <w:rPr>
          <w:b/>
          <w:bCs/>
          <w:lang w:val="en-US"/>
        </w:rPr>
        <w:t>JAMA</w:t>
      </w:r>
      <w:r w:rsidRPr="00B36D8C">
        <w:rPr>
          <w:lang w:val="en-US"/>
        </w:rPr>
        <w:t>. v.111, n.10, p.919-26, 1938. doi:10.1001/jama.1938.72790360005007</w:t>
      </w:r>
    </w:p>
    <w:p w14:paraId="7C0AAAEB" w14:textId="77777777" w:rsidR="007E0F49" w:rsidRPr="00B36D8C" w:rsidRDefault="007E0F49" w:rsidP="007D0992">
      <w:pPr>
        <w:spacing w:before="100" w:beforeAutospacing="1" w:after="100" w:afterAutospacing="1" w:line="360" w:lineRule="auto"/>
        <w:jc w:val="both"/>
        <w:rPr>
          <w:color w:val="303030"/>
          <w:shd w:val="clear" w:color="auto" w:fill="FFFFFF"/>
          <w:lang w:val="en-US"/>
        </w:rPr>
      </w:pPr>
      <w:r w:rsidRPr="00B36D8C">
        <w:rPr>
          <w:color w:val="303030"/>
          <w:shd w:val="clear" w:color="auto" w:fill="FFFFFF"/>
          <w:lang w:val="en-US"/>
        </w:rPr>
        <w:t>GHOSE, A.C.</w:t>
      </w:r>
      <w:r w:rsidRPr="00B36D8C">
        <w:rPr>
          <w:lang w:val="en-US"/>
        </w:rPr>
        <w:t xml:space="preserve"> </w:t>
      </w:r>
      <w:r w:rsidRPr="00B36D8C">
        <w:rPr>
          <w:color w:val="303030"/>
          <w:shd w:val="clear" w:color="auto" w:fill="FFFFFF"/>
          <w:lang w:val="en-US"/>
        </w:rPr>
        <w:t xml:space="preserve">Lessons from cholera &amp; Vibrio cholerae. </w:t>
      </w:r>
      <w:r w:rsidRPr="00B36D8C">
        <w:rPr>
          <w:b/>
          <w:bCs/>
          <w:color w:val="303030"/>
          <w:shd w:val="clear" w:color="auto" w:fill="FFFFFF"/>
          <w:lang w:val="en-US"/>
        </w:rPr>
        <w:t>Indian J Med Res</w:t>
      </w:r>
      <w:r w:rsidRPr="00B36D8C">
        <w:rPr>
          <w:color w:val="303030"/>
          <w:shd w:val="clear" w:color="auto" w:fill="FFFFFF"/>
          <w:lang w:val="en-US"/>
        </w:rPr>
        <w:t>., v.133, n.2, p.164-170, 2011.</w:t>
      </w:r>
    </w:p>
    <w:p w14:paraId="404BF9B9" w14:textId="77777777" w:rsidR="007E0F49" w:rsidRPr="00B36D8C" w:rsidRDefault="007E0F49" w:rsidP="007D0992">
      <w:pPr>
        <w:spacing w:before="100" w:beforeAutospacing="1" w:after="100" w:afterAutospacing="1" w:line="360" w:lineRule="auto"/>
        <w:jc w:val="both"/>
        <w:rPr>
          <w:color w:val="303030"/>
          <w:shd w:val="clear" w:color="auto" w:fill="FFFFFF"/>
          <w:lang w:val="en-US"/>
        </w:rPr>
      </w:pPr>
      <w:r w:rsidRPr="00B36D8C">
        <w:rPr>
          <w:color w:val="303030"/>
          <w:shd w:val="clear" w:color="auto" w:fill="FFFFFF"/>
          <w:lang w:val="en-US"/>
        </w:rPr>
        <w:t xml:space="preserve">GREENLAND, S. Randomization, statistics, and causal inference. </w:t>
      </w:r>
      <w:r w:rsidRPr="00B36D8C">
        <w:rPr>
          <w:b/>
          <w:bCs/>
          <w:color w:val="303030"/>
          <w:shd w:val="clear" w:color="auto" w:fill="FFFFFF"/>
          <w:lang w:val="en-US"/>
        </w:rPr>
        <w:t>Epidemiology</w:t>
      </w:r>
      <w:r w:rsidRPr="00B36D8C">
        <w:rPr>
          <w:color w:val="303030"/>
          <w:shd w:val="clear" w:color="auto" w:fill="FFFFFF"/>
          <w:lang w:val="en-US"/>
        </w:rPr>
        <w:t>. v.1,n.6, p. 421-29, 1990. doi:10.1097/00001648-199011000-00003</w:t>
      </w:r>
    </w:p>
    <w:p w14:paraId="3DB80DE4" w14:textId="77777777" w:rsidR="007E0F49" w:rsidRPr="00B36D8C" w:rsidRDefault="007E0F49" w:rsidP="007D0992">
      <w:pPr>
        <w:spacing w:before="100" w:beforeAutospacing="1" w:after="100" w:afterAutospacing="1" w:line="360" w:lineRule="auto"/>
        <w:jc w:val="both"/>
        <w:rPr>
          <w:lang w:val="en-US"/>
        </w:rPr>
      </w:pPr>
      <w:r w:rsidRPr="00B36D8C">
        <w:rPr>
          <w:lang w:val="en-US"/>
        </w:rPr>
        <w:t xml:space="preserve">HILL, A.B. Principles of medical statistics: he aim of the statistical method. </w:t>
      </w:r>
      <w:r w:rsidRPr="00B36D8C">
        <w:rPr>
          <w:b/>
          <w:bCs/>
          <w:lang w:val="en-US"/>
        </w:rPr>
        <w:t>Lancet</w:t>
      </w:r>
      <w:r w:rsidRPr="00B36D8C">
        <w:rPr>
          <w:lang w:val="en-US"/>
        </w:rPr>
        <w:t>. v.1, p. 41 -3, 1937.</w:t>
      </w:r>
    </w:p>
    <w:p w14:paraId="58F9BBF1" w14:textId="77777777" w:rsidR="007E0F49" w:rsidRPr="00B36D8C" w:rsidRDefault="007E0F49" w:rsidP="007D0992">
      <w:pPr>
        <w:spacing w:before="100" w:beforeAutospacing="1" w:after="100" w:afterAutospacing="1" w:line="360" w:lineRule="auto"/>
        <w:jc w:val="both"/>
        <w:rPr>
          <w:lang w:val="en-US"/>
        </w:rPr>
      </w:pPr>
      <w:r w:rsidRPr="007D0992">
        <w:rPr>
          <w:b/>
          <w:bCs/>
          <w:lang w:val="en-US"/>
        </w:rPr>
        <w:t>International Standards for Clinical Trial Registries</w:t>
      </w:r>
      <w:r w:rsidRPr="00B36D8C">
        <w:rPr>
          <w:lang w:val="en-US"/>
        </w:rPr>
        <w:t xml:space="preserve"> – Version 3.0. Geneva: World Health Organization; 2018. Licence: CC BY-NC-SA 3.0 IGO.</w:t>
      </w:r>
    </w:p>
    <w:p w14:paraId="7FABFDC4" w14:textId="77777777" w:rsidR="007E0F49" w:rsidRPr="00B36D8C" w:rsidRDefault="007E0F49" w:rsidP="007D0992">
      <w:pPr>
        <w:spacing w:before="100" w:beforeAutospacing="1" w:after="100" w:afterAutospacing="1" w:line="360" w:lineRule="auto"/>
        <w:jc w:val="both"/>
        <w:rPr>
          <w:lang w:val="en-US"/>
        </w:rPr>
      </w:pPr>
      <w:r w:rsidRPr="00B36D8C">
        <w:rPr>
          <w:lang w:val="en-US"/>
        </w:rPr>
        <w:t xml:space="preserve">KAPER, J.B.; MORRIS, J.G.; LEVINE, M.M. Cholera. </w:t>
      </w:r>
      <w:r w:rsidRPr="00B36D8C">
        <w:rPr>
          <w:b/>
          <w:bCs/>
          <w:lang w:val="en-US"/>
        </w:rPr>
        <w:t>Clinical Microbiology</w:t>
      </w:r>
      <w:r w:rsidRPr="00B36D8C">
        <w:rPr>
          <w:lang w:val="en-US"/>
        </w:rPr>
        <w:t xml:space="preserve"> </w:t>
      </w:r>
      <w:r w:rsidRPr="00B36D8C">
        <w:rPr>
          <w:b/>
          <w:bCs/>
          <w:lang w:val="en-US"/>
        </w:rPr>
        <w:t>Reviews</w:t>
      </w:r>
      <w:r w:rsidRPr="00B36D8C">
        <w:rPr>
          <w:lang w:val="en-US"/>
        </w:rPr>
        <w:t>, Jan., v.8, n.1, p.48-86, 1995; DOI: 10.1128/CMR.8.1.48.</w:t>
      </w:r>
    </w:p>
    <w:p w14:paraId="043333A7" w14:textId="77777777" w:rsidR="007E0F49" w:rsidRPr="00B36D8C" w:rsidRDefault="007E0F49" w:rsidP="007D0992">
      <w:pPr>
        <w:spacing w:before="100" w:beforeAutospacing="1" w:after="100" w:afterAutospacing="1" w:line="360" w:lineRule="auto"/>
        <w:jc w:val="both"/>
        <w:rPr>
          <w:lang w:val="en-US"/>
        </w:rPr>
      </w:pPr>
      <w:bookmarkStart w:id="17" w:name="_Hlk46953039"/>
      <w:r w:rsidRPr="00B36D8C">
        <w:rPr>
          <w:lang w:val="en-US"/>
        </w:rPr>
        <w:t>KRUGMAN, S., GILES, J.P., HAMMOND</w:t>
      </w:r>
      <w:bookmarkEnd w:id="17"/>
      <w:r w:rsidRPr="00B36D8C">
        <w:rPr>
          <w:lang w:val="en-US"/>
        </w:rPr>
        <w:t xml:space="preserve">, J. Infectious Hepatitis: Evidence for Two Distinctive Clinical, Epidemiological, and Immunological Types of Infection. </w:t>
      </w:r>
      <w:r w:rsidRPr="00B36D8C">
        <w:rPr>
          <w:b/>
          <w:bCs/>
          <w:lang w:val="en-US"/>
        </w:rPr>
        <w:t>JAMA</w:t>
      </w:r>
      <w:r w:rsidRPr="00B36D8C">
        <w:rPr>
          <w:lang w:val="en-US"/>
        </w:rPr>
        <w:t>. v.200, n.5, p.365–373, 1967. doi:10.1001/jama.1967.03120180053006.</w:t>
      </w:r>
    </w:p>
    <w:p w14:paraId="3B51536D" w14:textId="77777777" w:rsidR="007E0F49" w:rsidRPr="00B36D8C" w:rsidRDefault="007E0F49" w:rsidP="007D0992">
      <w:pPr>
        <w:spacing w:before="100" w:beforeAutospacing="1" w:after="100" w:afterAutospacing="1" w:line="360" w:lineRule="auto"/>
        <w:jc w:val="both"/>
        <w:rPr>
          <w:lang w:val="en-US"/>
        </w:rPr>
      </w:pPr>
      <w:r w:rsidRPr="00B36D8C">
        <w:rPr>
          <w:lang w:val="en-US"/>
        </w:rPr>
        <w:t xml:space="preserve">LIM, C.Y., IN, J. Randomization in clinical studies [published correction appears in Korean J Anesthesiol. 2019 Aug;72(4):396]. </w:t>
      </w:r>
      <w:r w:rsidRPr="00B36D8C">
        <w:rPr>
          <w:b/>
          <w:bCs/>
          <w:lang w:val="en-US"/>
        </w:rPr>
        <w:t>Korean J Anesthesiol</w:t>
      </w:r>
      <w:r w:rsidRPr="00B36D8C">
        <w:rPr>
          <w:lang w:val="en-US"/>
        </w:rPr>
        <w:t>. v.72, n.3, p.221-232, 2019. doi:10.4097/kja.19049</w:t>
      </w:r>
    </w:p>
    <w:p w14:paraId="39FA5A8F" w14:textId="0AA85764" w:rsidR="007E0F49" w:rsidRPr="00B36D8C" w:rsidRDefault="007E0F49" w:rsidP="007D0992">
      <w:pPr>
        <w:spacing w:before="100" w:beforeAutospacing="1" w:after="100" w:afterAutospacing="1" w:line="360" w:lineRule="auto"/>
        <w:jc w:val="both"/>
        <w:rPr>
          <w:color w:val="000000"/>
          <w:shd w:val="clear" w:color="auto" w:fill="FFFFFF"/>
          <w:lang w:val="en-US"/>
        </w:rPr>
      </w:pPr>
      <w:r w:rsidRPr="00B36D8C">
        <w:rPr>
          <w:color w:val="000000"/>
          <w:shd w:val="clear" w:color="auto" w:fill="FFFFFF"/>
          <w:lang w:val="en-US"/>
        </w:rPr>
        <w:t xml:space="preserve">LIND, J.A. </w:t>
      </w:r>
      <w:r w:rsidRPr="007D0992">
        <w:rPr>
          <w:b/>
          <w:bCs/>
          <w:color w:val="000000"/>
          <w:shd w:val="clear" w:color="auto" w:fill="FFFFFF"/>
          <w:lang w:val="en-US"/>
        </w:rPr>
        <w:t>Treatise on the scurvy</w:t>
      </w:r>
      <w:r w:rsidR="007D0992">
        <w:rPr>
          <w:color w:val="000000"/>
          <w:shd w:val="clear" w:color="auto" w:fill="FFFFFF"/>
          <w:lang w:val="en-US"/>
        </w:rPr>
        <w:t>.</w:t>
      </w:r>
      <w:r w:rsidRPr="00B36D8C">
        <w:rPr>
          <w:color w:val="000000"/>
          <w:shd w:val="clear" w:color="auto" w:fill="FFFFFF"/>
          <w:lang w:val="en-US"/>
        </w:rPr>
        <w:t xml:space="preserve"> ed. C.P. Stewart</w:t>
      </w:r>
      <w:r w:rsidR="007D0992">
        <w:rPr>
          <w:color w:val="000000"/>
          <w:shd w:val="clear" w:color="auto" w:fill="FFFFFF"/>
          <w:lang w:val="en-US"/>
        </w:rPr>
        <w:t xml:space="preserve">; </w:t>
      </w:r>
      <w:r w:rsidRPr="00B36D8C">
        <w:rPr>
          <w:color w:val="000000"/>
          <w:shd w:val="clear" w:color="auto" w:fill="FFFFFF"/>
          <w:lang w:val="en-US"/>
        </w:rPr>
        <w:t>D. Guthrie. 1953</w:t>
      </w:r>
      <w:r w:rsidR="007D0992">
        <w:rPr>
          <w:color w:val="000000"/>
          <w:shd w:val="clear" w:color="auto" w:fill="FFFFFF"/>
          <w:lang w:val="en-US"/>
        </w:rPr>
        <w:t xml:space="preserve">. </w:t>
      </w:r>
      <w:r w:rsidRPr="00B36D8C">
        <w:rPr>
          <w:color w:val="000000"/>
          <w:shd w:val="clear" w:color="auto" w:fill="FFFFFF"/>
          <w:lang w:val="en-US"/>
        </w:rPr>
        <w:t>Edinburgh: Edinburgh University Press.</w:t>
      </w:r>
    </w:p>
    <w:p w14:paraId="5470F13F" w14:textId="77777777" w:rsidR="007E0F49" w:rsidRDefault="007E0F49" w:rsidP="007D0992">
      <w:pPr>
        <w:spacing w:before="100" w:beforeAutospacing="1" w:after="100" w:afterAutospacing="1" w:line="360" w:lineRule="auto"/>
        <w:jc w:val="both"/>
        <w:rPr>
          <w:color w:val="000000"/>
          <w:shd w:val="clear" w:color="auto" w:fill="FFFFFF"/>
        </w:rPr>
      </w:pPr>
      <w:bookmarkStart w:id="18" w:name="_Hlk46952113"/>
      <w:r w:rsidRPr="00B36D8C">
        <w:rPr>
          <w:color w:val="000000"/>
          <w:shd w:val="clear" w:color="auto" w:fill="FFFFFF"/>
          <w:lang w:val="en-US"/>
        </w:rPr>
        <w:t>LIPSKY, M. S.; SHARP</w:t>
      </w:r>
      <w:bookmarkEnd w:id="18"/>
      <w:r w:rsidRPr="00B36D8C">
        <w:rPr>
          <w:color w:val="000000"/>
          <w:shd w:val="clear" w:color="auto" w:fill="FFFFFF"/>
          <w:lang w:val="en-US"/>
        </w:rPr>
        <w:t xml:space="preserve">, L. K. From idea to market: The drug approval process. </w:t>
      </w:r>
      <w:r w:rsidRPr="00DE06D6">
        <w:rPr>
          <w:b/>
          <w:bCs/>
          <w:color w:val="000000"/>
          <w:shd w:val="clear" w:color="auto" w:fill="FFFFFF"/>
        </w:rPr>
        <w:t>J Am Board Fam Med</w:t>
      </w:r>
      <w:r>
        <w:rPr>
          <w:b/>
          <w:bCs/>
          <w:color w:val="000000"/>
          <w:shd w:val="clear" w:color="auto" w:fill="FFFFFF"/>
        </w:rPr>
        <w:t>.</w:t>
      </w:r>
      <w:r w:rsidRPr="00DE06D6">
        <w:rPr>
          <w:color w:val="000000"/>
          <w:shd w:val="clear" w:color="auto" w:fill="FFFFFF"/>
        </w:rPr>
        <w:t xml:space="preserve">, v. 14, n. 5, 2001. </w:t>
      </w:r>
    </w:p>
    <w:p w14:paraId="0BE3DACD" w14:textId="77777777" w:rsidR="007E0F49" w:rsidRPr="00DE06D6" w:rsidRDefault="007E0F49" w:rsidP="007D0992">
      <w:pPr>
        <w:spacing w:before="100" w:beforeAutospacing="1" w:after="100" w:afterAutospacing="1" w:line="360" w:lineRule="auto"/>
        <w:jc w:val="both"/>
        <w:rPr>
          <w:color w:val="000000"/>
          <w:shd w:val="clear" w:color="auto" w:fill="FFFFFF"/>
        </w:rPr>
      </w:pPr>
      <w:r w:rsidRPr="003F5354">
        <w:t xml:space="preserve">LOUSANA, G. </w:t>
      </w:r>
      <w:r w:rsidRPr="007D0992">
        <w:rPr>
          <w:b/>
          <w:bCs/>
        </w:rPr>
        <w:t>Boas Práticas Clínicas nos Centros de Pesquisa</w:t>
      </w:r>
      <w:r w:rsidRPr="003F5354">
        <w:t>. 2ª ed. Rio de Janeiro. Editora Revinter, 2008.</w:t>
      </w:r>
    </w:p>
    <w:p w14:paraId="3F4DA6F1" w14:textId="77777777" w:rsidR="007E0F49" w:rsidRDefault="007E0F49" w:rsidP="007D0992">
      <w:pPr>
        <w:spacing w:before="100" w:beforeAutospacing="1" w:after="100" w:afterAutospacing="1" w:line="360" w:lineRule="auto"/>
        <w:jc w:val="both"/>
        <w:rPr>
          <w:lang w:val="en-US"/>
        </w:rPr>
      </w:pPr>
      <w:r w:rsidRPr="007A3D50">
        <w:t xml:space="preserve">MACIEL, M. S. et al.  A história da tuberculose no Brasil: os muitos tons (de cinza) da miséria. </w:t>
      </w:r>
      <w:r w:rsidRPr="007A3D50">
        <w:rPr>
          <w:b/>
          <w:lang w:val="en-US"/>
        </w:rPr>
        <w:t>Rev Bras Clin Med</w:t>
      </w:r>
      <w:r w:rsidRPr="007A3D50">
        <w:rPr>
          <w:lang w:val="en-US"/>
        </w:rPr>
        <w:t>, v.10, n.3, p.226-30, 2012.</w:t>
      </w:r>
    </w:p>
    <w:p w14:paraId="210A356F" w14:textId="77777777" w:rsidR="007E0F49" w:rsidRDefault="007E0F49" w:rsidP="007D0992">
      <w:pPr>
        <w:spacing w:before="100" w:beforeAutospacing="1" w:after="100" w:afterAutospacing="1" w:line="360" w:lineRule="auto"/>
        <w:jc w:val="both"/>
      </w:pPr>
      <w:bookmarkStart w:id="19" w:name="_Hlk46989335"/>
      <w:r w:rsidRPr="00B36D8C">
        <w:rPr>
          <w:lang w:val="en-US"/>
        </w:rPr>
        <w:t>MOHER, D., HOPEWELL, S., SCHULZ</w:t>
      </w:r>
      <w:bookmarkEnd w:id="19"/>
      <w:r w:rsidRPr="00B36D8C">
        <w:rPr>
          <w:lang w:val="en-US"/>
        </w:rPr>
        <w:t xml:space="preserve">, K.F., et al. CONSORT 2010 Explanation and Elaboration: Updated guidelines for reporting parallel group randomised trials [published correction appears in J Clin Epidemiol. </w:t>
      </w:r>
      <w:r w:rsidRPr="00C117C2">
        <w:t xml:space="preserve">2012 Mar;65(3):351]. </w:t>
      </w:r>
      <w:r w:rsidRPr="00C117C2">
        <w:rPr>
          <w:b/>
          <w:bCs/>
        </w:rPr>
        <w:t>J Clin Epidemiol</w:t>
      </w:r>
      <w:r w:rsidRPr="00C117C2">
        <w:t xml:space="preserve">. </w:t>
      </w:r>
      <w:r>
        <w:t>v.</w:t>
      </w:r>
      <w:r w:rsidRPr="00C117C2">
        <w:t>63</w:t>
      </w:r>
      <w:r>
        <w:t>, n.</w:t>
      </w:r>
      <w:r w:rsidRPr="00C117C2">
        <w:t>8</w:t>
      </w:r>
      <w:r>
        <w:t>, p.</w:t>
      </w:r>
      <w:r w:rsidRPr="00C117C2">
        <w:t>e1-e37</w:t>
      </w:r>
      <w:r>
        <w:t>, 2010</w:t>
      </w:r>
      <w:r w:rsidRPr="00C117C2">
        <w:t>. doi:10.1016/j.jclinepi.2010.03.004</w:t>
      </w:r>
    </w:p>
    <w:p w14:paraId="1FB09A8C" w14:textId="30565FDD" w:rsidR="007E0F49" w:rsidRPr="00240CFB" w:rsidRDefault="007E0F49" w:rsidP="007D0992">
      <w:pPr>
        <w:spacing w:before="100" w:beforeAutospacing="1" w:after="100" w:afterAutospacing="1" w:line="360" w:lineRule="auto"/>
        <w:jc w:val="both"/>
      </w:pPr>
      <w:r w:rsidRPr="00B36D8C">
        <w:t xml:space="preserve">MONTEIRO, E. Nota sobre Tuberculinas. </w:t>
      </w:r>
      <w:r w:rsidRPr="007D0992">
        <w:rPr>
          <w:b/>
          <w:bCs/>
        </w:rPr>
        <w:t>Memórias do Instituto Oswaldo Cruz</w:t>
      </w:r>
      <w:r w:rsidRPr="00B36D8C">
        <w:t>, v.</w:t>
      </w:r>
      <w:r w:rsidR="007D0992" w:rsidRPr="007D0992">
        <w:rPr>
          <w:lang w:val="pt-BR"/>
        </w:rPr>
        <w:t xml:space="preserve"> </w:t>
      </w:r>
      <w:r w:rsidRPr="00B36D8C">
        <w:t>42, n.</w:t>
      </w:r>
      <w:r w:rsidR="007D0992" w:rsidRPr="007D0992">
        <w:rPr>
          <w:lang w:val="pt-BR"/>
        </w:rPr>
        <w:t xml:space="preserve"> </w:t>
      </w:r>
      <w:r w:rsidRPr="00B36D8C">
        <w:t>1, p.</w:t>
      </w:r>
      <w:r w:rsidR="007D0992" w:rsidRPr="007D0992">
        <w:rPr>
          <w:lang w:val="pt-BR"/>
        </w:rPr>
        <w:t xml:space="preserve"> </w:t>
      </w:r>
      <w:r w:rsidRPr="00B36D8C">
        <w:t>1-10, 1945.</w:t>
      </w:r>
    </w:p>
    <w:p w14:paraId="5525C1AD" w14:textId="77777777" w:rsidR="007E0F49" w:rsidRPr="00B36D8C" w:rsidRDefault="007E0F49" w:rsidP="007D0992">
      <w:pPr>
        <w:spacing w:before="100" w:beforeAutospacing="1" w:after="100" w:afterAutospacing="1" w:line="360" w:lineRule="auto"/>
        <w:jc w:val="both"/>
        <w:rPr>
          <w:lang w:val="en-US"/>
        </w:rPr>
      </w:pPr>
      <w:r w:rsidRPr="00B36D8C">
        <w:rPr>
          <w:lang w:val="en-US"/>
        </w:rPr>
        <w:t>NATIONAL RESEARCH COUNCIL. Dr</w:t>
      </w:r>
      <w:r w:rsidRPr="007D0992">
        <w:rPr>
          <w:b/>
          <w:bCs/>
          <w:lang w:val="en-US"/>
        </w:rPr>
        <w:t xml:space="preserve">ug Efficacy Study: Final Report to the Commissioner of Food and Drugs </w:t>
      </w:r>
      <w:r w:rsidRPr="00B36D8C">
        <w:rPr>
          <w:lang w:val="en-US"/>
        </w:rPr>
        <w:t xml:space="preserve">- Food and Drug Administration. Washington, DC: The National Academies Press, 1969. </w:t>
      </w:r>
      <w:hyperlink r:id="rId18" w:history="1">
        <w:r w:rsidRPr="00B36D8C">
          <w:rPr>
            <w:rStyle w:val="Hyperlink"/>
            <w:lang w:val="en-US"/>
          </w:rPr>
          <w:t>https://doi.org/10.17226/24615</w:t>
        </w:r>
      </w:hyperlink>
      <w:r w:rsidRPr="00B36D8C">
        <w:rPr>
          <w:lang w:val="en-US"/>
        </w:rPr>
        <w:t>.</w:t>
      </w:r>
    </w:p>
    <w:p w14:paraId="2483FB5E" w14:textId="77777777" w:rsidR="007E0F49" w:rsidRDefault="007E0F49" w:rsidP="007D0992">
      <w:pPr>
        <w:spacing w:before="100" w:beforeAutospacing="1" w:after="100" w:afterAutospacing="1" w:line="360" w:lineRule="auto"/>
        <w:jc w:val="both"/>
      </w:pPr>
      <w:r w:rsidRPr="007D0992">
        <w:rPr>
          <w:b/>
          <w:bCs/>
          <w:lang w:val="en-US"/>
        </w:rPr>
        <w:t>NATIONAL INSTITUTES OF HEALTH</w:t>
      </w:r>
      <w:r w:rsidRPr="00B36D8C">
        <w:rPr>
          <w:lang w:val="en-US"/>
        </w:rPr>
        <w:t xml:space="preserve"> (NIH). </w:t>
      </w:r>
      <w:r w:rsidRPr="006B3A68">
        <w:t>ClinicalTrials.gov. Disponível em</w:t>
      </w:r>
      <w:r>
        <w:t>:</w:t>
      </w:r>
      <w:r w:rsidRPr="006B3A68">
        <w:t xml:space="preserve"> </w:t>
      </w:r>
      <w:hyperlink r:id="rId19" w:history="1">
        <w:r w:rsidRPr="00FB1ED7">
          <w:rPr>
            <w:rStyle w:val="Hyperlink"/>
          </w:rPr>
          <w:t>www.clinicaltrials.gov</w:t>
        </w:r>
      </w:hyperlink>
      <w:r>
        <w:t xml:space="preserve"> . Acesso em: 16 Jul. 2020.</w:t>
      </w:r>
    </w:p>
    <w:p w14:paraId="764EFFBD" w14:textId="77777777" w:rsidR="007E0F49" w:rsidRDefault="007E0F49" w:rsidP="007D0992">
      <w:pPr>
        <w:spacing w:before="100" w:beforeAutospacing="1" w:after="100" w:afterAutospacing="1" w:line="360" w:lineRule="auto"/>
        <w:jc w:val="both"/>
      </w:pPr>
      <w:r w:rsidRPr="00665557">
        <w:t>OLIVEIRA</w:t>
      </w:r>
      <w:r>
        <w:t>,</w:t>
      </w:r>
      <w:r w:rsidRPr="00665557">
        <w:t xml:space="preserve"> R</w:t>
      </w:r>
      <w:r>
        <w:t>.</w:t>
      </w:r>
      <w:r w:rsidRPr="00665557">
        <w:t>R</w:t>
      </w:r>
      <w:r>
        <w:t>.;</w:t>
      </w:r>
      <w:r w:rsidRPr="00665557">
        <w:t xml:space="preserve"> VIANA</w:t>
      </w:r>
      <w:r>
        <w:t>,</w:t>
      </w:r>
      <w:r w:rsidRPr="00665557">
        <w:t xml:space="preserve"> ALd’A. Global expansion of clinical trials: innovation and interaction. </w:t>
      </w:r>
      <w:r w:rsidRPr="001E3439">
        <w:rPr>
          <w:b/>
          <w:bCs/>
        </w:rPr>
        <w:t>Cad. Saúde Pública</w:t>
      </w:r>
      <w:r>
        <w:t>. v.</w:t>
      </w:r>
      <w:r w:rsidRPr="00665557">
        <w:t>35</w:t>
      </w:r>
      <w:r>
        <w:t>, n.</w:t>
      </w:r>
      <w:r w:rsidRPr="00665557">
        <w:t>11</w:t>
      </w:r>
      <w:r>
        <w:t>, p.</w:t>
      </w:r>
      <w:r w:rsidRPr="00665557">
        <w:t>e00063518</w:t>
      </w:r>
      <w:r>
        <w:t>, 2019</w:t>
      </w:r>
      <w:r w:rsidRPr="00665557">
        <w:t>. doi: 10.1590/0102-311X00063518.</w:t>
      </w:r>
    </w:p>
    <w:p w14:paraId="4FB5F783" w14:textId="77777777" w:rsidR="007E0F49" w:rsidRPr="00B36D8C" w:rsidRDefault="007E0F49" w:rsidP="007D0992">
      <w:pPr>
        <w:spacing w:before="100" w:beforeAutospacing="1" w:after="100" w:afterAutospacing="1" w:line="360" w:lineRule="auto"/>
        <w:jc w:val="both"/>
        <w:rPr>
          <w:lang w:val="en-US"/>
        </w:rPr>
      </w:pPr>
      <w:r w:rsidRPr="001E3439">
        <w:t>OLMOS</w:t>
      </w:r>
      <w:r>
        <w:t>, R.D.</w:t>
      </w:r>
      <w:r w:rsidRPr="001E3439">
        <w:t>; MARTINS</w:t>
      </w:r>
      <w:r>
        <w:t>, H.S.</w:t>
      </w:r>
      <w:r w:rsidRPr="001E3439">
        <w:t>; LOTUFO</w:t>
      </w:r>
      <w:r>
        <w:t>, P.A.</w:t>
      </w:r>
      <w:r w:rsidRPr="001E3439">
        <w:t xml:space="preserve">; </w:t>
      </w:r>
      <w:bookmarkStart w:id="20" w:name="_Hlk46951472"/>
      <w:r w:rsidRPr="001E3439">
        <w:t>BENSEÑOR,</w:t>
      </w:r>
      <w:r>
        <w:t xml:space="preserve"> I.M</w:t>
      </w:r>
      <w:bookmarkEnd w:id="20"/>
      <w:r>
        <w:t xml:space="preserve">. Ensaios Clínicos – Princípios Teóricos. In.: </w:t>
      </w:r>
      <w:r w:rsidRPr="001E3439">
        <w:t>BENSEÑOR,</w:t>
      </w:r>
      <w:r>
        <w:t xml:space="preserve"> I.M; </w:t>
      </w:r>
      <w:r w:rsidRPr="001E3439">
        <w:t>LOTUFO</w:t>
      </w:r>
      <w:r>
        <w:t xml:space="preserve">, P.A. Epidemiologia: Abordagem prática. </w:t>
      </w:r>
      <w:r w:rsidRPr="00B36D8C">
        <w:rPr>
          <w:lang w:val="en-US"/>
        </w:rPr>
        <w:t xml:space="preserve">2ª ed., cap. 10, p. 182-215. São Paulo: </w:t>
      </w:r>
      <w:r w:rsidRPr="00B36D8C">
        <w:rPr>
          <w:b/>
          <w:bCs/>
          <w:lang w:val="en-US"/>
        </w:rPr>
        <w:t>Sarvier</w:t>
      </w:r>
      <w:r w:rsidRPr="00B36D8C">
        <w:rPr>
          <w:lang w:val="en-US"/>
        </w:rPr>
        <w:t>, 2011.</w:t>
      </w:r>
    </w:p>
    <w:p w14:paraId="12E52E31" w14:textId="77777777" w:rsidR="007E0F49" w:rsidRPr="00B36D8C" w:rsidRDefault="007E0F49" w:rsidP="007D0992">
      <w:pPr>
        <w:spacing w:before="100" w:beforeAutospacing="1" w:after="100" w:afterAutospacing="1" w:line="360" w:lineRule="auto"/>
        <w:jc w:val="both"/>
        <w:rPr>
          <w:lang w:val="en-US"/>
        </w:rPr>
      </w:pPr>
      <w:r w:rsidRPr="00B36D8C">
        <w:rPr>
          <w:lang w:val="en-US"/>
        </w:rPr>
        <w:t xml:space="preserve">ROUTLEDGE P. 150 years of pharmacovigilance. </w:t>
      </w:r>
      <w:r w:rsidRPr="00B36D8C">
        <w:rPr>
          <w:b/>
          <w:bCs/>
          <w:lang w:val="en-US"/>
        </w:rPr>
        <w:t>Lancet.</w:t>
      </w:r>
      <w:r w:rsidRPr="00B36D8C">
        <w:rPr>
          <w:lang w:val="en-US"/>
        </w:rPr>
        <w:t xml:space="preserve"> Apr., v. 351, n.9110, p.1200-1, 1998. doi: 10.1016/S0140-6736(98)03148-1.</w:t>
      </w:r>
    </w:p>
    <w:p w14:paraId="7D29B9DB" w14:textId="77777777" w:rsidR="007E0F49" w:rsidRPr="00B36D8C" w:rsidRDefault="007E0F49" w:rsidP="007D0992">
      <w:pPr>
        <w:spacing w:before="100" w:beforeAutospacing="1" w:after="100" w:afterAutospacing="1" w:line="360" w:lineRule="auto"/>
        <w:jc w:val="both"/>
        <w:rPr>
          <w:color w:val="000000"/>
          <w:shd w:val="clear" w:color="auto" w:fill="FFFFFF"/>
          <w:lang w:val="en-US"/>
        </w:rPr>
      </w:pPr>
      <w:bookmarkStart w:id="21" w:name="_Hlk46308374"/>
      <w:r w:rsidRPr="00B36D8C">
        <w:rPr>
          <w:color w:val="000000"/>
          <w:shd w:val="clear" w:color="auto" w:fill="FFFFFF"/>
          <w:lang w:val="en-US"/>
        </w:rPr>
        <w:t xml:space="preserve">SCHULTZ M. Theobald Smith. </w:t>
      </w:r>
      <w:r w:rsidRPr="00B36D8C">
        <w:rPr>
          <w:b/>
          <w:bCs/>
          <w:color w:val="000000"/>
          <w:shd w:val="clear" w:color="auto" w:fill="FFFFFF"/>
          <w:lang w:val="en-US"/>
        </w:rPr>
        <w:t>Emerg Infect Dis</w:t>
      </w:r>
      <w:r w:rsidRPr="00B36D8C">
        <w:rPr>
          <w:color w:val="000000"/>
          <w:shd w:val="clear" w:color="auto" w:fill="FFFFFF"/>
          <w:lang w:val="en-US"/>
        </w:rPr>
        <w:t>. v.14, n.12, p.1940-1942, 2008. doi: 10.3201 / eid1412.081188.</w:t>
      </w:r>
    </w:p>
    <w:p w14:paraId="44CBFF45" w14:textId="77777777" w:rsidR="007E0F49" w:rsidRPr="00B36D8C" w:rsidRDefault="007E0F49" w:rsidP="007D0992">
      <w:pPr>
        <w:spacing w:before="100" w:beforeAutospacing="1" w:after="100" w:afterAutospacing="1" w:line="360" w:lineRule="auto"/>
        <w:jc w:val="both"/>
        <w:rPr>
          <w:color w:val="000000"/>
          <w:shd w:val="clear" w:color="auto" w:fill="FFFFFF"/>
          <w:lang w:val="en-US"/>
        </w:rPr>
      </w:pPr>
      <w:r w:rsidRPr="00B36D8C">
        <w:rPr>
          <w:color w:val="000000"/>
          <w:shd w:val="clear" w:color="auto" w:fill="FFFFFF"/>
          <w:lang w:val="en-US"/>
        </w:rPr>
        <w:t>TRÖHLER</w:t>
      </w:r>
      <w:bookmarkEnd w:id="21"/>
      <w:r w:rsidRPr="00B36D8C">
        <w:rPr>
          <w:color w:val="000000"/>
          <w:shd w:val="clear" w:color="auto" w:fill="FFFFFF"/>
          <w:lang w:val="en-US"/>
        </w:rPr>
        <w:t xml:space="preserve"> U. Lind and scurvy: 1747 to 1795. </w:t>
      </w:r>
      <w:r w:rsidRPr="00B36D8C">
        <w:rPr>
          <w:b/>
          <w:bCs/>
          <w:color w:val="000000"/>
          <w:shd w:val="clear" w:color="auto" w:fill="FFFFFF"/>
          <w:lang w:val="en-US"/>
        </w:rPr>
        <w:t>J R Soc Med</w:t>
      </w:r>
      <w:r w:rsidRPr="00B36D8C">
        <w:rPr>
          <w:color w:val="000000"/>
          <w:shd w:val="clear" w:color="auto" w:fill="FFFFFF"/>
          <w:lang w:val="en-US"/>
        </w:rPr>
        <w:t>. v.98, n.11, p.519-522, 2005.[published correction appears in J R Soc Med. 2006 Jan;99(1):45]. doi:10.1258/jrsm.98.11.519.</w:t>
      </w:r>
    </w:p>
    <w:p w14:paraId="610CC584" w14:textId="77777777" w:rsidR="007E0F49" w:rsidRDefault="007E0F49" w:rsidP="007D0992">
      <w:pPr>
        <w:spacing w:before="100" w:beforeAutospacing="1" w:after="100" w:afterAutospacing="1" w:line="360" w:lineRule="auto"/>
        <w:jc w:val="both"/>
        <w:rPr>
          <w:color w:val="000000"/>
          <w:shd w:val="clear" w:color="auto" w:fill="FFFFFF"/>
        </w:rPr>
      </w:pPr>
      <w:r w:rsidRPr="00B36D8C">
        <w:rPr>
          <w:color w:val="000000"/>
          <w:shd w:val="clear" w:color="auto" w:fill="FFFFFF"/>
          <w:lang w:val="en-US"/>
        </w:rPr>
        <w:t xml:space="preserve">US Food and Drug Administration. </w:t>
      </w:r>
      <w:r w:rsidRPr="007D0992">
        <w:rPr>
          <w:b/>
          <w:bCs/>
          <w:color w:val="000000"/>
          <w:shd w:val="clear" w:color="auto" w:fill="FFFFFF"/>
          <w:lang w:val="en-US"/>
        </w:rPr>
        <w:t>Milestones in U.S. Food and Drug Law History</w:t>
      </w:r>
      <w:r w:rsidRPr="00B36D8C">
        <w:rPr>
          <w:color w:val="000000"/>
          <w:shd w:val="clear" w:color="auto" w:fill="FFFFFF"/>
          <w:lang w:val="en-US"/>
        </w:rPr>
        <w:t xml:space="preserve">. </w:t>
      </w:r>
      <w:r>
        <w:rPr>
          <w:color w:val="000000"/>
          <w:shd w:val="clear" w:color="auto" w:fill="FFFFFF"/>
        </w:rPr>
        <w:t xml:space="preserve">Disponível em: &lt; </w:t>
      </w:r>
      <w:hyperlink r:id="rId20" w:history="1">
        <w:r w:rsidRPr="00316E64">
          <w:rPr>
            <w:rStyle w:val="Hyperlink"/>
            <w:shd w:val="clear" w:color="auto" w:fill="FFFFFF"/>
          </w:rPr>
          <w:t>https://www.fda.gov/about-fda/fdas-evolving-regulatory-powers/milestones-us-food-and-drug-law-history</w:t>
        </w:r>
      </w:hyperlink>
      <w:r>
        <w:rPr>
          <w:color w:val="000000"/>
          <w:shd w:val="clear" w:color="auto" w:fill="FFFFFF"/>
        </w:rPr>
        <w:t>&gt; Acesso em: 16 Jul. 2020.</w:t>
      </w:r>
    </w:p>
    <w:p w14:paraId="420255C9" w14:textId="77777777" w:rsidR="007E0F49" w:rsidRPr="00B36D8C" w:rsidRDefault="007E0F49" w:rsidP="007D0992">
      <w:pPr>
        <w:spacing w:before="100" w:beforeAutospacing="1" w:after="100" w:afterAutospacing="1" w:line="360" w:lineRule="auto"/>
        <w:jc w:val="both"/>
        <w:rPr>
          <w:color w:val="000000"/>
          <w:shd w:val="clear" w:color="auto" w:fill="FFFFFF"/>
          <w:lang w:val="en-US"/>
        </w:rPr>
      </w:pPr>
      <w:r w:rsidRPr="00B36D8C">
        <w:rPr>
          <w:color w:val="000000"/>
          <w:shd w:val="clear" w:color="auto" w:fill="FFFFFF"/>
          <w:lang w:val="en-US"/>
        </w:rPr>
        <w:t xml:space="preserve">VEATCH RM. Medical ethics. 2 nd. Boston: </w:t>
      </w:r>
      <w:r w:rsidRPr="00B36D8C">
        <w:rPr>
          <w:b/>
          <w:bCs/>
          <w:color w:val="000000"/>
          <w:shd w:val="clear" w:color="auto" w:fill="FFFFFF"/>
          <w:lang w:val="en-US"/>
        </w:rPr>
        <w:t>Jones and Bartlett Publishers</w:t>
      </w:r>
      <w:r w:rsidRPr="00B36D8C">
        <w:rPr>
          <w:color w:val="000000"/>
          <w:shd w:val="clear" w:color="auto" w:fill="FFFFFF"/>
          <w:lang w:val="en-US"/>
        </w:rPr>
        <w:t>, p.37,1997.</w:t>
      </w:r>
    </w:p>
    <w:p w14:paraId="6EA1CB05" w14:textId="77777777" w:rsidR="007E0F49" w:rsidRPr="00B36D8C" w:rsidRDefault="007E0F49" w:rsidP="007D0992">
      <w:pPr>
        <w:spacing w:before="100" w:beforeAutospacing="1" w:after="100" w:afterAutospacing="1" w:line="360" w:lineRule="auto"/>
        <w:jc w:val="both"/>
        <w:rPr>
          <w:color w:val="000000"/>
          <w:shd w:val="clear" w:color="auto" w:fill="FFFFFF"/>
          <w:lang w:val="en-US"/>
        </w:rPr>
      </w:pPr>
      <w:bookmarkStart w:id="22" w:name="_Hlk46953459"/>
      <w:r w:rsidRPr="00B36D8C">
        <w:rPr>
          <w:color w:val="000000"/>
          <w:shd w:val="clear" w:color="auto" w:fill="FFFFFF"/>
          <w:lang w:val="en-US"/>
        </w:rPr>
        <w:t>WANDILE, P., GHOOI</w:t>
      </w:r>
      <w:bookmarkEnd w:id="22"/>
      <w:r w:rsidRPr="00B36D8C">
        <w:rPr>
          <w:color w:val="000000"/>
          <w:shd w:val="clear" w:color="auto" w:fill="FFFFFF"/>
          <w:lang w:val="en-US"/>
        </w:rPr>
        <w:t xml:space="preserve">, R. A Role of ICH- GCP in Clinical Trial Conduct. </w:t>
      </w:r>
      <w:r w:rsidRPr="007D0992">
        <w:rPr>
          <w:b/>
          <w:bCs/>
          <w:color w:val="000000"/>
          <w:shd w:val="clear" w:color="auto" w:fill="FFFFFF"/>
          <w:lang w:val="en-US"/>
        </w:rPr>
        <w:t>J Clin Res Bioeth</w:t>
      </w:r>
      <w:r w:rsidRPr="00B36D8C">
        <w:rPr>
          <w:color w:val="000000"/>
          <w:shd w:val="clear" w:color="auto" w:fill="FFFFFF"/>
          <w:lang w:val="en-US"/>
        </w:rPr>
        <w:t>, v.8, p.1000297, 2017. doi:10.4172/2155-9627.1000297.</w:t>
      </w:r>
    </w:p>
    <w:p w14:paraId="4FF67833" w14:textId="77777777" w:rsidR="007E0F49" w:rsidRDefault="007E0F49" w:rsidP="007D0992">
      <w:pPr>
        <w:spacing w:before="100" w:beforeAutospacing="1" w:after="100" w:afterAutospacing="1" w:line="360" w:lineRule="auto"/>
        <w:jc w:val="both"/>
        <w:rPr>
          <w:color w:val="000000"/>
          <w:shd w:val="clear" w:color="auto" w:fill="FFFFFF"/>
        </w:rPr>
      </w:pPr>
      <w:r w:rsidRPr="00B36D8C">
        <w:rPr>
          <w:color w:val="000000"/>
          <w:shd w:val="clear" w:color="auto" w:fill="FFFFFF"/>
          <w:lang w:val="en-US"/>
        </w:rPr>
        <w:t xml:space="preserve">WORLD HEALTH ORGANIZATION (WHO). </w:t>
      </w:r>
      <w:r w:rsidRPr="00940B82">
        <w:rPr>
          <w:color w:val="000000"/>
          <w:shd w:val="clear" w:color="auto" w:fill="FFFFFF"/>
          <w:lang w:val="en-US"/>
        </w:rPr>
        <w:t xml:space="preserve">Clinical Trials. </w:t>
      </w:r>
      <w:r>
        <w:rPr>
          <w:color w:val="000000"/>
          <w:shd w:val="clear" w:color="auto" w:fill="FFFFFF"/>
        </w:rPr>
        <w:t>Disponível em: &lt;</w:t>
      </w:r>
      <w:r w:rsidRPr="00F93643">
        <w:t xml:space="preserve"> </w:t>
      </w:r>
      <w:hyperlink r:id="rId21" w:history="1">
        <w:r w:rsidRPr="00FB1ED7">
          <w:rPr>
            <w:rStyle w:val="Hyperlink"/>
            <w:shd w:val="clear" w:color="auto" w:fill="FFFFFF"/>
          </w:rPr>
          <w:t>https://www.who.int/health-topics/clinical-trials</w:t>
        </w:r>
      </w:hyperlink>
      <w:r>
        <w:rPr>
          <w:color w:val="000000"/>
          <w:shd w:val="clear" w:color="auto" w:fill="FFFFFF"/>
        </w:rPr>
        <w:t>&gt; Acesso em: 22 Jun. 2020.</w:t>
      </w:r>
    </w:p>
    <w:p w14:paraId="3D6E2042" w14:textId="77777777" w:rsidR="007E0F49" w:rsidRPr="00B36D8C" w:rsidRDefault="007E0F49" w:rsidP="007D0992">
      <w:pPr>
        <w:spacing w:before="100" w:beforeAutospacing="1" w:after="100" w:afterAutospacing="1" w:line="360" w:lineRule="auto"/>
        <w:jc w:val="both"/>
        <w:rPr>
          <w:color w:val="000000"/>
          <w:shd w:val="clear" w:color="auto" w:fill="FFFFFF"/>
          <w:lang w:val="en-US"/>
        </w:rPr>
      </w:pPr>
      <w:r w:rsidRPr="00B36D8C">
        <w:rPr>
          <w:color w:val="000000"/>
          <w:shd w:val="clear" w:color="auto" w:fill="FFFFFF"/>
          <w:lang w:val="en-US"/>
        </w:rPr>
        <w:t xml:space="preserve">YOSHIOKA A. Use of randomisation in the Medical Research Council's clinical trial of streptomycin in pulmonary tuberculosis in the 1940s. </w:t>
      </w:r>
      <w:r w:rsidRPr="00B36D8C">
        <w:rPr>
          <w:b/>
          <w:bCs/>
          <w:color w:val="000000"/>
          <w:shd w:val="clear" w:color="auto" w:fill="FFFFFF"/>
          <w:lang w:val="en-US"/>
        </w:rPr>
        <w:t>BMJ</w:t>
      </w:r>
      <w:r w:rsidRPr="00B36D8C">
        <w:rPr>
          <w:color w:val="000000"/>
          <w:shd w:val="clear" w:color="auto" w:fill="FFFFFF"/>
          <w:lang w:val="en-US"/>
        </w:rPr>
        <w:t>. v.317, n.7167, p.1220-1223, 1998. doi:10.1136/bmj.317.7167.1220.</w:t>
      </w:r>
    </w:p>
    <w:p w14:paraId="44D854C0" w14:textId="68FAC026" w:rsidR="007E0F49" w:rsidRDefault="007E0F49" w:rsidP="007D0992">
      <w:pPr>
        <w:spacing w:before="100" w:beforeAutospacing="1" w:after="100" w:afterAutospacing="1" w:line="360" w:lineRule="auto"/>
        <w:jc w:val="both"/>
        <w:rPr>
          <w:color w:val="000000"/>
          <w:shd w:val="clear" w:color="auto" w:fill="FFFFFF"/>
        </w:rPr>
      </w:pPr>
      <w:r w:rsidRPr="00B36D8C">
        <w:rPr>
          <w:color w:val="000000"/>
          <w:shd w:val="clear" w:color="auto" w:fill="FFFFFF"/>
          <w:lang w:val="en-US"/>
        </w:rPr>
        <w:t xml:space="preserve">ZWERLING, A. et al. The BCG World Atlas: A Database of Global BCG Vaccination Policies and Practices. </w:t>
      </w:r>
      <w:r w:rsidRPr="003A4942">
        <w:rPr>
          <w:b/>
          <w:bCs/>
          <w:color w:val="000000"/>
          <w:shd w:val="clear" w:color="auto" w:fill="FFFFFF"/>
        </w:rPr>
        <w:t>PLoS Med</w:t>
      </w:r>
      <w:r w:rsidRPr="00240CFB">
        <w:rPr>
          <w:color w:val="000000"/>
          <w:shd w:val="clear" w:color="auto" w:fill="FFFFFF"/>
        </w:rPr>
        <w:t>., v.</w:t>
      </w:r>
      <w:r w:rsidR="003A4942">
        <w:rPr>
          <w:color w:val="000000"/>
          <w:shd w:val="clear" w:color="auto" w:fill="FFFFFF"/>
          <w:lang w:val="en-US"/>
        </w:rPr>
        <w:t xml:space="preserve"> </w:t>
      </w:r>
      <w:r w:rsidRPr="00240CFB">
        <w:rPr>
          <w:color w:val="000000"/>
          <w:shd w:val="clear" w:color="auto" w:fill="FFFFFF"/>
        </w:rPr>
        <w:t>8, n.</w:t>
      </w:r>
      <w:r w:rsidR="003A4942">
        <w:rPr>
          <w:color w:val="000000"/>
          <w:shd w:val="clear" w:color="auto" w:fill="FFFFFF"/>
          <w:lang w:val="en-US"/>
        </w:rPr>
        <w:t xml:space="preserve"> </w:t>
      </w:r>
      <w:r w:rsidRPr="00240CFB">
        <w:rPr>
          <w:color w:val="000000"/>
          <w:shd w:val="clear" w:color="auto" w:fill="FFFFFF"/>
        </w:rPr>
        <w:t>3, p.</w:t>
      </w:r>
      <w:r w:rsidR="003A4942">
        <w:rPr>
          <w:color w:val="000000"/>
          <w:shd w:val="clear" w:color="auto" w:fill="FFFFFF"/>
          <w:lang w:val="en-US"/>
        </w:rPr>
        <w:t xml:space="preserve"> </w:t>
      </w:r>
      <w:r w:rsidRPr="00240CFB">
        <w:rPr>
          <w:color w:val="000000"/>
          <w:shd w:val="clear" w:color="auto" w:fill="FFFFFF"/>
        </w:rPr>
        <w:t>e1001012, 2011.</w:t>
      </w:r>
    </w:p>
    <w:p w14:paraId="53092F66" w14:textId="77777777" w:rsidR="0096461D" w:rsidRDefault="0096461D" w:rsidP="007D0992">
      <w:pPr>
        <w:spacing w:before="100" w:beforeAutospacing="1" w:after="100" w:afterAutospacing="1" w:line="360" w:lineRule="auto"/>
        <w:jc w:val="both"/>
        <w:rPr>
          <w:color w:val="000000"/>
          <w:shd w:val="clear" w:color="auto" w:fill="FFFFFF"/>
        </w:rPr>
      </w:pPr>
    </w:p>
    <w:p w14:paraId="6C3AF9F9" w14:textId="40CC5C24" w:rsidR="00D44B98" w:rsidRDefault="003A4942" w:rsidP="003A4942">
      <w:pPr>
        <w:spacing w:after="200" w:line="276" w:lineRule="auto"/>
        <w:rPr>
          <w:color w:val="000000"/>
          <w:shd w:val="clear" w:color="auto" w:fill="FFFFFF"/>
        </w:rPr>
      </w:pPr>
      <w:r>
        <w:rPr>
          <w:color w:val="000000"/>
          <w:shd w:val="clear" w:color="auto" w:fill="FFFFFF"/>
        </w:rPr>
        <w:br w:type="page"/>
      </w:r>
    </w:p>
    <w:p w14:paraId="728D146C" w14:textId="65CE7C05" w:rsidR="0096461D" w:rsidRPr="009403FF" w:rsidRDefault="0096461D" w:rsidP="0096461D">
      <w:pPr>
        <w:rPr>
          <w:b/>
          <w:bCs/>
          <w:sz w:val="32"/>
        </w:rPr>
      </w:pPr>
      <w:r w:rsidRPr="009403FF">
        <w:rPr>
          <w:b/>
          <w:bCs/>
          <w:sz w:val="32"/>
        </w:rPr>
        <w:t>Capítulo 6</w:t>
      </w:r>
    </w:p>
    <w:p w14:paraId="29C21BE0" w14:textId="1A9C69C0" w:rsidR="00671118" w:rsidRPr="003A4942" w:rsidRDefault="00671118" w:rsidP="00671118">
      <w:pPr>
        <w:spacing w:after="160" w:line="360" w:lineRule="auto"/>
        <w:jc w:val="both"/>
        <w:rPr>
          <w:rFonts w:eastAsia="Calibri"/>
          <w:b/>
          <w:bCs/>
          <w:sz w:val="28"/>
          <w:szCs w:val="28"/>
        </w:rPr>
      </w:pPr>
      <w:r w:rsidRPr="003A4942">
        <w:rPr>
          <w:rFonts w:eastAsia="Calibri"/>
          <w:b/>
          <w:bCs/>
          <w:sz w:val="28"/>
          <w:szCs w:val="28"/>
        </w:rPr>
        <w:t>Princípios da Economia da Saúde e Estudos de Vida Real (</w:t>
      </w:r>
      <w:r w:rsidRPr="003A4942">
        <w:rPr>
          <w:rFonts w:eastAsia="Calibri"/>
          <w:b/>
          <w:bCs/>
          <w:i/>
          <w:iCs/>
          <w:sz w:val="28"/>
          <w:szCs w:val="28"/>
        </w:rPr>
        <w:t>Real World Evidence</w:t>
      </w:r>
      <w:r w:rsidRPr="003A4942">
        <w:rPr>
          <w:rFonts w:eastAsia="Calibri"/>
          <w:b/>
          <w:bCs/>
          <w:sz w:val="28"/>
          <w:szCs w:val="28"/>
        </w:rPr>
        <w:t>) complementar</w:t>
      </w:r>
      <w:r w:rsidR="00F959D9" w:rsidRPr="003A4942">
        <w:rPr>
          <w:rFonts w:eastAsia="Calibri"/>
          <w:b/>
          <w:bCs/>
          <w:sz w:val="28"/>
          <w:szCs w:val="28"/>
        </w:rPr>
        <w:t>es</w:t>
      </w:r>
      <w:r w:rsidRPr="003A4942">
        <w:rPr>
          <w:rFonts w:eastAsia="Calibri"/>
          <w:b/>
          <w:bCs/>
          <w:sz w:val="28"/>
          <w:szCs w:val="28"/>
        </w:rPr>
        <w:t xml:space="preserve"> aos </w:t>
      </w:r>
      <w:r w:rsidR="00F959D9" w:rsidRPr="003A4942">
        <w:rPr>
          <w:rFonts w:eastAsia="Calibri"/>
          <w:b/>
          <w:bCs/>
          <w:sz w:val="28"/>
          <w:szCs w:val="28"/>
        </w:rPr>
        <w:t>E</w:t>
      </w:r>
      <w:r w:rsidRPr="003A4942">
        <w:rPr>
          <w:rFonts w:eastAsia="Calibri"/>
          <w:b/>
          <w:bCs/>
          <w:sz w:val="28"/>
          <w:szCs w:val="28"/>
        </w:rPr>
        <w:t xml:space="preserve">nsaios </w:t>
      </w:r>
      <w:r w:rsidR="00F959D9" w:rsidRPr="003A4942">
        <w:rPr>
          <w:rFonts w:eastAsia="Calibri"/>
          <w:b/>
          <w:bCs/>
          <w:sz w:val="28"/>
          <w:szCs w:val="28"/>
        </w:rPr>
        <w:t>C</w:t>
      </w:r>
      <w:r w:rsidRPr="003A4942">
        <w:rPr>
          <w:rFonts w:eastAsia="Calibri"/>
          <w:b/>
          <w:bCs/>
          <w:sz w:val="28"/>
          <w:szCs w:val="28"/>
        </w:rPr>
        <w:t>línicos</w:t>
      </w:r>
    </w:p>
    <w:p w14:paraId="16B439B1" w14:textId="77777777" w:rsidR="00671118" w:rsidRPr="00FB6DC9" w:rsidRDefault="00671118" w:rsidP="00671118">
      <w:pPr>
        <w:spacing w:after="160" w:line="360" w:lineRule="auto"/>
        <w:jc w:val="right"/>
        <w:rPr>
          <w:rFonts w:eastAsia="Calibri"/>
        </w:rPr>
      </w:pPr>
      <w:r w:rsidRPr="00FB6DC9">
        <w:rPr>
          <w:rFonts w:eastAsia="Calibri"/>
        </w:rPr>
        <w:t>Fabiana Gatti</w:t>
      </w:r>
    </w:p>
    <w:p w14:paraId="1B16028F" w14:textId="77777777" w:rsidR="00671118" w:rsidRPr="00FB6DC9" w:rsidRDefault="00671118" w:rsidP="00671118">
      <w:pPr>
        <w:spacing w:after="160" w:line="360" w:lineRule="auto"/>
        <w:jc w:val="both"/>
        <w:rPr>
          <w:rFonts w:eastAsia="Calibri"/>
        </w:rPr>
      </w:pPr>
    </w:p>
    <w:p w14:paraId="366CF7D3" w14:textId="77777777" w:rsidR="00671118" w:rsidRPr="00FB6DC9" w:rsidRDefault="00671118" w:rsidP="00671118">
      <w:pPr>
        <w:tabs>
          <w:tab w:val="center" w:pos="4252"/>
        </w:tabs>
        <w:spacing w:line="360" w:lineRule="auto"/>
        <w:contextualSpacing/>
        <w:jc w:val="both"/>
        <w:rPr>
          <w:rFonts w:eastAsia="Calibri"/>
          <w:b/>
          <w:bCs/>
        </w:rPr>
      </w:pPr>
      <w:r w:rsidRPr="00FB6DC9">
        <w:rPr>
          <w:rFonts w:eastAsia="Calibri"/>
          <w:b/>
          <w:bCs/>
        </w:rPr>
        <w:t>Pesquisa clínica, Economia da saúde e Estudos de vida real: no processo de decisão em saúde</w:t>
      </w:r>
    </w:p>
    <w:p w14:paraId="0D6C2542" w14:textId="77777777" w:rsidR="00671118" w:rsidRPr="00FB6DC9" w:rsidRDefault="00671118" w:rsidP="00671118">
      <w:pPr>
        <w:tabs>
          <w:tab w:val="center" w:pos="4252"/>
        </w:tabs>
        <w:spacing w:line="360" w:lineRule="auto"/>
        <w:jc w:val="both"/>
        <w:rPr>
          <w:rFonts w:eastAsia="Calibri"/>
        </w:rPr>
      </w:pPr>
      <w:r w:rsidRPr="00FB6DC9">
        <w:rPr>
          <w:rFonts w:eastAsia="Calibri"/>
        </w:rPr>
        <w:tab/>
        <w:t>Neste capítulo, vamos primeiro entender o papel da economia da saúde para a medicina, é a partir dos dados clínicos que a economia da saúde desenvolve suas análises, as quais são fundamentais para que as tecnologias em saúde cheguem aos pacientes, como novos medicamentos, posto que as análises econômicas são etapas fundamentais para a decisão do reembolso de tecnologias no sistema de saúde. A geração de evidências vem da pesquisa clínica e é fundamental que as duas áreas atuem em conjunto para o desenvolvimento do valor da tecnologia para o paciente, ou seja, incluindo custos e desfechos clínicos (MANNS, 2009).</w:t>
      </w:r>
    </w:p>
    <w:p w14:paraId="08DE1305" w14:textId="77777777" w:rsidR="00671118" w:rsidRPr="00FB6DC9" w:rsidRDefault="00671118" w:rsidP="00671118">
      <w:pPr>
        <w:tabs>
          <w:tab w:val="center" w:pos="4252"/>
        </w:tabs>
        <w:spacing w:line="360" w:lineRule="auto"/>
        <w:jc w:val="both"/>
        <w:rPr>
          <w:rFonts w:eastAsia="Calibri"/>
        </w:rPr>
      </w:pPr>
      <w:r w:rsidRPr="00FB6DC9">
        <w:rPr>
          <w:rFonts w:eastAsia="Calibri"/>
        </w:rPr>
        <w:t xml:space="preserve">Quando falamos dessas tecnologias seu objetivo é a melhoria da saúde. Entre os tipos de tecnologias podemos citar as medidas preventivas, tratamentos não farmacológicos e farmacológicos e procedimentos médicos. A decisão da assistência médica frente aos fabricantes sobre quais tecnologias adotar está baseada em uma série de necessidades como as dos pacientes, segurança, eficácia, efetividade, eficiência, impacto no orçamento, relação custo-benefício da tecnologia em comparação com opções de tratamento existentes. Sendo assim, a tomada de decisão em saúde é um processo complexo que ocorre ao longo de um continuum e que começa com a geração de evidências seguida de deliberação sobre cada intervenção específica e depois a comunicação da decisão resultante para os </w:t>
      </w:r>
      <w:r w:rsidRPr="00FB6DC9">
        <w:rPr>
          <w:rFonts w:eastAsia="Calibri"/>
          <w:i/>
          <w:iCs/>
        </w:rPr>
        <w:t>stakeholders</w:t>
      </w:r>
      <w:r w:rsidRPr="00FB6DC9">
        <w:rPr>
          <w:rFonts w:eastAsia="Calibri"/>
        </w:rPr>
        <w:t xml:space="preserve"> (KERNIK, 2003).</w:t>
      </w:r>
    </w:p>
    <w:p w14:paraId="4A8C6994" w14:textId="77777777" w:rsidR="00671118" w:rsidRPr="00FB6DC9" w:rsidRDefault="00671118" w:rsidP="00671118">
      <w:pPr>
        <w:tabs>
          <w:tab w:val="center" w:pos="4252"/>
        </w:tabs>
        <w:spacing w:line="360" w:lineRule="auto"/>
        <w:jc w:val="both"/>
        <w:rPr>
          <w:rFonts w:eastAsia="Calibri"/>
        </w:rPr>
      </w:pPr>
      <w:r w:rsidRPr="00FB6DC9">
        <w:rPr>
          <w:rFonts w:eastAsia="Calibri"/>
        </w:rPr>
        <w:t>Antes do lançamento de um produto, os tomadores de decisão da assistência médica dependem de fabricantes para gerar evidências para novas intervenções. Falta de evidência apropriada para quantificar a eficácia e segurança de novos compostos e limitações de acessibilidade (ou seja, ausência de dados publicados ou acessíveis) e usabilidade (ou seja, aplicabilidade das evidências fornecidas pela indústria ou academia que podem contribuir para a formulação de políticas, para registro de um produto, por exemplo) foram identificados como barreiras para a tomada de decisões informadas em saúde. Essas barreiras lembram que tanto os provedores dos serviços de saúde, quanto os fabricantes das tecnologias e os pacientes, abordam o processo da tomada de decisão com diferentes perspectivas e metas. Mesmo com uma qualidade ou quantidade adequada de evidências, os dados também precisam ser avaliados pelos atores que desenvolvem as políticas públicas de saúde</w:t>
      </w:r>
      <w:r w:rsidRPr="00FB6DC9">
        <w:rPr>
          <w:rFonts w:eastAsia="Calibri"/>
          <w:vertAlign w:val="superscript"/>
        </w:rPr>
        <w:t xml:space="preserve"> </w:t>
      </w:r>
      <w:r w:rsidRPr="00FB6DC9">
        <w:rPr>
          <w:rFonts w:eastAsia="Calibri"/>
        </w:rPr>
        <w:t>(KERNIK, 2003).</w:t>
      </w:r>
    </w:p>
    <w:p w14:paraId="07BB268A" w14:textId="77777777" w:rsidR="00671118" w:rsidRPr="00FB6DC9" w:rsidRDefault="00671118" w:rsidP="00671118">
      <w:pPr>
        <w:tabs>
          <w:tab w:val="center" w:pos="4252"/>
        </w:tabs>
        <w:spacing w:line="360" w:lineRule="auto"/>
        <w:jc w:val="both"/>
        <w:rPr>
          <w:rFonts w:eastAsia="Calibri"/>
        </w:rPr>
      </w:pPr>
      <w:r w:rsidRPr="00FB6DC9">
        <w:rPr>
          <w:rFonts w:eastAsia="Calibri"/>
        </w:rPr>
        <w:t>A geração de evidências está no processo de pesquisa clínica, a economia da saúde faz a interface entre a medicina e a economia, nesse ponto encontra-se a relação entre as áreas.  Os desfechos clínicos gerados pela pesquisa clínica são utilizados pela área de economia da saúde. E por que é importante olhar para a economia em saúde? Existem várias razões. Os recursos de saúde são finitos. É necessário fazer uma escolha sobre quais recursos usar para quais atividades. Ao optar por usar recursos para uma atividade, a oportunidade de usá-los para atividades alternativas é perdida e os benefícios associados ao melhor uso alternativo de recursos são perdidos – conceito conhecido como custo de oportunidade. Sendo assim, o objetivo da economia da saúde é garantir que as escolhas feitas tenham benefícios que superem os seus custos de oportunidade, e assim as atividades mais benéficas serão escolhidas dentro dos recursos disponíveis</w:t>
      </w:r>
      <w:r w:rsidRPr="00FB6DC9">
        <w:rPr>
          <w:rFonts w:eastAsia="Calibri"/>
          <w:vertAlign w:val="superscript"/>
        </w:rPr>
        <w:t xml:space="preserve"> </w:t>
      </w:r>
      <w:r w:rsidRPr="00FB6DC9">
        <w:rPr>
          <w:rFonts w:eastAsia="Calibri"/>
        </w:rPr>
        <w:t xml:space="preserve">(KERNIK, 2003). </w:t>
      </w:r>
    </w:p>
    <w:p w14:paraId="31C23275" w14:textId="77777777" w:rsidR="00671118" w:rsidRPr="00FB6DC9" w:rsidRDefault="00671118" w:rsidP="00671118">
      <w:pPr>
        <w:spacing w:after="160" w:line="360" w:lineRule="auto"/>
        <w:jc w:val="both"/>
        <w:rPr>
          <w:rFonts w:eastAsia="Calibri"/>
        </w:rPr>
      </w:pPr>
      <w:r w:rsidRPr="00FB6DC9">
        <w:rPr>
          <w:rFonts w:eastAsia="Calibri"/>
        </w:rPr>
        <w:t xml:space="preserve">Para podermos entender a tendência de coletar dados econômicos durante os estudos clínicos, precisamos entender como funciona a Economia da Saúde. O propósito de qualquer avaliação econômica é informar os decisores de saúde sobre quais alternativas terapêuticas podem ser recomendadas, aprovadas para uso da população, ou reembolsadas para um grupo específico de pacientes. A mesma análise pode informar sobre preço, acesso e cobertura. </w:t>
      </w:r>
    </w:p>
    <w:p w14:paraId="0216806F" w14:textId="77777777" w:rsidR="00671118" w:rsidRPr="00FB6DC9" w:rsidRDefault="00671118" w:rsidP="00671118">
      <w:pPr>
        <w:spacing w:after="160" w:line="360" w:lineRule="auto"/>
        <w:jc w:val="both"/>
        <w:rPr>
          <w:rFonts w:eastAsia="Calibri"/>
        </w:rPr>
      </w:pPr>
      <w:r w:rsidRPr="00FB6DC9">
        <w:rPr>
          <w:rFonts w:eastAsia="Calibri"/>
        </w:rPr>
        <w:t xml:space="preserve">Informar aos decisores é o primeiro papel da avaliação econômica, e para a análise ser significativa é preciso considerar 4 pontos chave: </w:t>
      </w:r>
    </w:p>
    <w:p w14:paraId="3449D234" w14:textId="77777777" w:rsidR="00671118" w:rsidRPr="00FB6DC9" w:rsidRDefault="00671118" w:rsidP="00671118">
      <w:pPr>
        <w:numPr>
          <w:ilvl w:val="0"/>
          <w:numId w:val="19"/>
        </w:numPr>
        <w:spacing w:after="160" w:line="360" w:lineRule="auto"/>
        <w:ind w:left="0"/>
        <w:contextualSpacing/>
        <w:jc w:val="both"/>
        <w:rPr>
          <w:rFonts w:eastAsia="Calibri"/>
        </w:rPr>
      </w:pPr>
      <w:r w:rsidRPr="00FB6DC9">
        <w:rPr>
          <w:rFonts w:eastAsia="Calibri"/>
        </w:rPr>
        <w:t xml:space="preserve">quem são as alternativas terapêuticas; </w:t>
      </w:r>
    </w:p>
    <w:p w14:paraId="0F11F15C" w14:textId="77777777" w:rsidR="00671118" w:rsidRPr="00FB6DC9" w:rsidRDefault="00671118" w:rsidP="00671118">
      <w:pPr>
        <w:numPr>
          <w:ilvl w:val="0"/>
          <w:numId w:val="19"/>
        </w:numPr>
        <w:spacing w:after="160" w:line="360" w:lineRule="auto"/>
        <w:ind w:left="0"/>
        <w:contextualSpacing/>
        <w:jc w:val="both"/>
        <w:rPr>
          <w:rFonts w:eastAsia="Calibri"/>
        </w:rPr>
      </w:pPr>
      <w:r w:rsidRPr="00FB6DC9">
        <w:rPr>
          <w:rFonts w:eastAsia="Calibri"/>
        </w:rPr>
        <w:t>quais as medidas dos benefícios, ou seja, os desfechos (</w:t>
      </w:r>
      <w:r w:rsidRPr="00FB6DC9">
        <w:rPr>
          <w:rFonts w:eastAsia="Calibri"/>
          <w:i/>
          <w:iCs/>
        </w:rPr>
        <w:t>outcomes</w:t>
      </w:r>
      <w:r w:rsidRPr="00FB6DC9">
        <w:rPr>
          <w:rFonts w:eastAsia="Calibri"/>
        </w:rPr>
        <w:t xml:space="preserve">) de qualidade de vida, por exemplo, obtidos através de questionários gerais como </w:t>
      </w:r>
      <w:r w:rsidRPr="00FB6DC9">
        <w:rPr>
          <w:rFonts w:eastAsia="Calibri"/>
          <w:i/>
          <w:iCs/>
        </w:rPr>
        <w:t>Health-related quality of life</w:t>
      </w:r>
      <w:r w:rsidRPr="00FB6DC9">
        <w:rPr>
          <w:rFonts w:eastAsia="Calibri"/>
        </w:rPr>
        <w:t xml:space="preserve"> (HRQoL, qualidade de vida relacionada a saúde); </w:t>
      </w:r>
    </w:p>
    <w:p w14:paraId="3E650015" w14:textId="77777777" w:rsidR="00671118" w:rsidRPr="00FB6DC9" w:rsidRDefault="00671118" w:rsidP="00671118">
      <w:pPr>
        <w:numPr>
          <w:ilvl w:val="0"/>
          <w:numId w:val="19"/>
        </w:numPr>
        <w:spacing w:after="160" w:line="360" w:lineRule="auto"/>
        <w:ind w:left="0"/>
        <w:contextualSpacing/>
        <w:jc w:val="both"/>
        <w:rPr>
          <w:rFonts w:eastAsia="Calibri"/>
        </w:rPr>
      </w:pPr>
      <w:r w:rsidRPr="00FB6DC9">
        <w:rPr>
          <w:rFonts w:eastAsia="Calibri"/>
        </w:rPr>
        <w:t xml:space="preserve">como os custos e benefícios de cada alternativa podem ser estimados: através da revisão sistemática das evidências, modelos analíticos de decisão são usados; </w:t>
      </w:r>
    </w:p>
    <w:p w14:paraId="43C0FF2B" w14:textId="77777777" w:rsidR="00671118" w:rsidRPr="00FB6DC9" w:rsidRDefault="00671118" w:rsidP="00671118">
      <w:pPr>
        <w:numPr>
          <w:ilvl w:val="0"/>
          <w:numId w:val="19"/>
        </w:numPr>
        <w:spacing w:after="160" w:line="360" w:lineRule="auto"/>
        <w:ind w:left="0"/>
        <w:contextualSpacing/>
        <w:jc w:val="both"/>
        <w:rPr>
          <w:rFonts w:eastAsia="Calibri"/>
        </w:rPr>
      </w:pPr>
      <w:r w:rsidRPr="00FB6DC9">
        <w:rPr>
          <w:rFonts w:eastAsia="Calibri"/>
        </w:rPr>
        <w:t>quais as consequências em termos de custos adicionais: para benefícios adicionais quais os custos adicionais justificáveis</w:t>
      </w:r>
      <w:r w:rsidRPr="00FB6DC9">
        <w:rPr>
          <w:rFonts w:eastAsia="Calibri"/>
          <w:vertAlign w:val="superscript"/>
        </w:rPr>
        <w:t xml:space="preserve"> </w:t>
      </w:r>
      <w:r w:rsidRPr="00FB6DC9">
        <w:rPr>
          <w:rFonts w:eastAsia="Calibri"/>
        </w:rPr>
        <w:t>(DRUMMOND et al., 2015).</w:t>
      </w:r>
    </w:p>
    <w:p w14:paraId="5E09F0C8" w14:textId="77777777" w:rsidR="00671118" w:rsidRPr="00FB6DC9" w:rsidRDefault="00671118" w:rsidP="00671118">
      <w:pPr>
        <w:shd w:val="clear" w:color="auto" w:fill="FFFFFF"/>
        <w:spacing w:after="100" w:afterAutospacing="1" w:line="360" w:lineRule="auto"/>
        <w:jc w:val="both"/>
        <w:rPr>
          <w:color w:val="000000"/>
        </w:rPr>
      </w:pPr>
      <w:r w:rsidRPr="00FB6DC9">
        <w:rPr>
          <w:color w:val="000000"/>
          <w:shd w:val="clear" w:color="auto" w:fill="FFFFFF"/>
        </w:rPr>
        <w:t>Nesse contexto, a farmacoeconomia é uma disciplina recente que está pautada na economia da saúde,</w:t>
      </w:r>
      <w:r w:rsidRPr="00FB6DC9">
        <w:rPr>
          <w:color w:val="000000"/>
        </w:rPr>
        <w:t xml:space="preserve"> entendida como a avaliação econômica de medicamentos, cujas análises consideram custo e resultados para a escolha entre alternativas terapêuticas</w:t>
      </w:r>
      <w:r w:rsidRPr="00FB6DC9">
        <w:rPr>
          <w:color w:val="000000"/>
          <w:shd w:val="clear" w:color="auto" w:fill="FFFFFF"/>
        </w:rPr>
        <w:t>. O aumento de custos em saúde está ligado a uma série de modificações nos padrões de morbimortalidade das populações, com redução das doenças infectocontagiosas e aumento das doenças crônicas que estão relacionadas a uma gama de fatores de risco (tabagismo, alimentação, estresse, sedentarismo, entre outros) e ao processo de modernização. Estas mudanças epidemiológicas afetaram sensivelmente o panorama dos gastos com o setor da saúde, pois enquanto as doenças infectocontagiosas demandam medidas preventivas, as doenças crônicas requerem assistência secundária ou terciária, com tecnologias em saúde de alto custo. A aplicação da economia da saúde na prática clínica objetiva apontar o uso mais eficiente de recursos (SECOLI et al., 2005)</w:t>
      </w:r>
      <w:r w:rsidRPr="00FB6DC9">
        <w:rPr>
          <w:color w:val="000000"/>
        </w:rPr>
        <w:t xml:space="preserve"> </w:t>
      </w:r>
    </w:p>
    <w:p w14:paraId="3E671288" w14:textId="77777777" w:rsidR="00671118" w:rsidRPr="00FB6DC9" w:rsidRDefault="00671118" w:rsidP="00671118">
      <w:pPr>
        <w:shd w:val="clear" w:color="auto" w:fill="FFFFFF"/>
        <w:spacing w:after="100" w:afterAutospacing="1" w:line="360" w:lineRule="auto"/>
        <w:jc w:val="both"/>
        <w:rPr>
          <w:color w:val="000000"/>
          <w:shd w:val="clear" w:color="auto" w:fill="FFFFFF"/>
        </w:rPr>
      </w:pPr>
      <w:r w:rsidRPr="00FB6DC9">
        <w:rPr>
          <w:color w:val="000000"/>
          <w:shd w:val="clear" w:color="auto" w:fill="FFFFFF"/>
        </w:rPr>
        <w:t>Nesse contexto há várias possibilidades de análises econômicas, as quais podem ser divididas em:</w:t>
      </w:r>
    </w:p>
    <w:p w14:paraId="133EB823" w14:textId="77777777" w:rsidR="00671118" w:rsidRPr="00FB6DC9" w:rsidRDefault="00671118" w:rsidP="00671118">
      <w:pPr>
        <w:numPr>
          <w:ilvl w:val="0"/>
          <w:numId w:val="21"/>
        </w:numPr>
        <w:shd w:val="clear" w:color="auto" w:fill="FFFFFF"/>
        <w:spacing w:after="100" w:afterAutospacing="1" w:line="360" w:lineRule="auto"/>
        <w:ind w:left="0"/>
        <w:jc w:val="both"/>
        <w:rPr>
          <w:color w:val="000000"/>
          <w:shd w:val="clear" w:color="auto" w:fill="FFFFFF"/>
        </w:rPr>
      </w:pPr>
      <w:r w:rsidRPr="00FB6DC9">
        <w:rPr>
          <w:color w:val="000000"/>
          <w:shd w:val="clear" w:color="auto" w:fill="FFFFFF"/>
        </w:rPr>
        <w:t xml:space="preserve">Análises de custo-minimização (ACM): as tecnologias são consideradas equivalentes, é feita a comparação entre custos de cada uma. </w:t>
      </w:r>
    </w:p>
    <w:p w14:paraId="682ACA30" w14:textId="77777777" w:rsidR="00671118" w:rsidRPr="00FB6DC9" w:rsidRDefault="00671118" w:rsidP="00671118">
      <w:pPr>
        <w:numPr>
          <w:ilvl w:val="0"/>
          <w:numId w:val="21"/>
        </w:numPr>
        <w:shd w:val="clear" w:color="auto" w:fill="FFFFFF"/>
        <w:spacing w:after="100" w:afterAutospacing="1" w:line="360" w:lineRule="auto"/>
        <w:ind w:left="0"/>
        <w:jc w:val="both"/>
        <w:rPr>
          <w:color w:val="000000"/>
          <w:shd w:val="clear" w:color="auto" w:fill="FFFFFF"/>
        </w:rPr>
      </w:pPr>
      <w:r w:rsidRPr="00FB6DC9">
        <w:rPr>
          <w:color w:val="000000"/>
          <w:shd w:val="clear" w:color="auto" w:fill="FFFFFF"/>
        </w:rPr>
        <w:t>Análises de custo-efetividade (ACE): o resultado é descrito pelo cus</w:t>
      </w:r>
      <w:r w:rsidRPr="00FB6DC9">
        <w:rPr>
          <w:color w:val="000000"/>
          <w:shd w:val="clear" w:color="auto" w:fill="FFFFFF"/>
        </w:rPr>
        <w:softHyphen/>
        <w:t>to por uma medida de desfecho clínico.</w:t>
      </w:r>
    </w:p>
    <w:p w14:paraId="4C9B8B79" w14:textId="77777777" w:rsidR="00671118" w:rsidRPr="00FB6DC9" w:rsidRDefault="00671118" w:rsidP="00671118">
      <w:pPr>
        <w:numPr>
          <w:ilvl w:val="0"/>
          <w:numId w:val="21"/>
        </w:numPr>
        <w:shd w:val="clear" w:color="auto" w:fill="FFFFFF"/>
        <w:spacing w:after="100" w:afterAutospacing="1" w:line="360" w:lineRule="auto"/>
        <w:ind w:left="0"/>
        <w:jc w:val="both"/>
        <w:rPr>
          <w:color w:val="000000"/>
          <w:shd w:val="clear" w:color="auto" w:fill="FFFFFF"/>
        </w:rPr>
      </w:pPr>
      <w:r w:rsidRPr="00FB6DC9">
        <w:rPr>
          <w:color w:val="000000"/>
          <w:shd w:val="clear" w:color="auto" w:fill="FFFFFF"/>
        </w:rPr>
        <w:t xml:space="preserve">Análises de custo-utilidade (ACU): utilizam como desfecho os “anos de vida ajustados pela qualidade” (AVAQ ou QALY, </w:t>
      </w:r>
      <w:r w:rsidRPr="00FB6DC9">
        <w:rPr>
          <w:i/>
          <w:iCs/>
          <w:color w:val="000000"/>
          <w:shd w:val="clear" w:color="auto" w:fill="FFFFFF"/>
        </w:rPr>
        <w:t>quality adjusted life years</w:t>
      </w:r>
      <w:r w:rsidRPr="00FB6DC9">
        <w:rPr>
          <w:color w:val="000000"/>
          <w:shd w:val="clear" w:color="auto" w:fill="FFFFFF"/>
        </w:rPr>
        <w:t>), obtidos por meio de índices de utilidade de estados de saúde (</w:t>
      </w:r>
      <w:r w:rsidRPr="00FB6DC9">
        <w:rPr>
          <w:i/>
          <w:iCs/>
          <w:color w:val="000000"/>
          <w:shd w:val="clear" w:color="auto" w:fill="FFFFFF"/>
        </w:rPr>
        <w:t>utilities</w:t>
      </w:r>
      <w:r w:rsidRPr="00FB6DC9">
        <w:rPr>
          <w:color w:val="000000"/>
          <w:shd w:val="clear" w:color="auto" w:fill="FFFFFF"/>
        </w:rPr>
        <w:t xml:space="preserve">), o que possibilita a comparação de tecnologias de diferentes áreas, sendo recomendada como a análise de primeira escolha. </w:t>
      </w:r>
    </w:p>
    <w:p w14:paraId="06427A5A" w14:textId="77777777" w:rsidR="00671118" w:rsidRPr="00FB6DC9" w:rsidRDefault="00671118" w:rsidP="00671118">
      <w:pPr>
        <w:numPr>
          <w:ilvl w:val="0"/>
          <w:numId w:val="21"/>
        </w:numPr>
        <w:shd w:val="clear" w:color="auto" w:fill="FFFFFF"/>
        <w:spacing w:after="100" w:afterAutospacing="1" w:line="360" w:lineRule="auto"/>
        <w:ind w:left="0"/>
        <w:jc w:val="both"/>
        <w:rPr>
          <w:color w:val="000000"/>
          <w:shd w:val="clear" w:color="auto" w:fill="FFFFFF"/>
        </w:rPr>
      </w:pPr>
      <w:r w:rsidRPr="00FB6DC9">
        <w:rPr>
          <w:color w:val="000000"/>
          <w:shd w:val="clear" w:color="auto" w:fill="FFFFFF"/>
        </w:rPr>
        <w:t xml:space="preserve">Análises de custo-benefício (ACB): convertem as consequências em valor monetário, sua limitação consiste na dificuldade de valorar os eventos de saúde em termos monetários (RIBEIRO et al., 2016). </w:t>
      </w:r>
    </w:p>
    <w:p w14:paraId="3F5C768F" w14:textId="77777777" w:rsidR="00671118" w:rsidRPr="00FB6DC9" w:rsidRDefault="00671118" w:rsidP="00671118">
      <w:pPr>
        <w:spacing w:after="160" w:line="360" w:lineRule="auto"/>
        <w:jc w:val="both"/>
        <w:rPr>
          <w:rFonts w:eastAsia="Calibri"/>
          <w:color w:val="000000"/>
        </w:rPr>
      </w:pPr>
      <w:r w:rsidRPr="00FB6DC9">
        <w:rPr>
          <w:rFonts w:eastAsia="Calibri"/>
          <w:color w:val="000000"/>
        </w:rPr>
        <w:t>Além da distribuição eficiente de recursos, outro papel importante da economia da saúde é a possibilidade de recomendar ou não uma tecnologia para ser reembolsada pelo sistema de saúde. Por exemplo, no Reino Unido, o Instituto Nacional de Saúde e Excelência Clínica (</w:t>
      </w:r>
      <w:r w:rsidRPr="00FB6DC9">
        <w:rPr>
          <w:rFonts w:eastAsia="Calibri"/>
          <w:i/>
          <w:iCs/>
          <w:color w:val="000000"/>
        </w:rPr>
        <w:t>National Institute for Health and Care Excellence</w:t>
      </w:r>
      <w:r w:rsidRPr="00FB6DC9">
        <w:rPr>
          <w:rFonts w:eastAsia="Calibri"/>
          <w:color w:val="000000"/>
        </w:rPr>
        <w:t>, NICE) realizou 207 avaliações de tecnologias entre os anos de 2002 e 2012, com 409 recomendações. 46 tecnologias não foram recomendadas para reembolso por falta de dados disponíveis. Frequentemente, as não recomendações estão relacionadas as incertezas, muitas vezes as agências de avaliação de tecnologias em saúde acabam ampliando os intervalos da razão de custo-efetividade  incremental (</w:t>
      </w:r>
      <w:r w:rsidRPr="00FB6DC9">
        <w:rPr>
          <w:rFonts w:eastAsia="Calibri"/>
          <w:i/>
          <w:iCs/>
          <w:color w:val="000000"/>
        </w:rPr>
        <w:t>incremental cost-effectiveness ratio</w:t>
      </w:r>
      <w:r w:rsidRPr="00FB6DC9">
        <w:rPr>
          <w:rFonts w:eastAsia="Calibri"/>
          <w:color w:val="000000"/>
        </w:rPr>
        <w:t>, ICER, ou seja, o custo incremental para atingir determinada eficácia, relacionado a uma intervenção em comparação ao tratamento usual ou intervenção de referência). A importância de evidências robustas para economia da saúde se tornará ainda mais importante em avaliações futuras, principalmente no cenário de sistemas de saúde cada vez mais restritivos em termos econômicos</w:t>
      </w:r>
      <w:r w:rsidRPr="00FB6DC9">
        <w:rPr>
          <w:rFonts w:eastAsia="Calibri"/>
        </w:rPr>
        <w:t xml:space="preserve"> (VAN NOOTEN et al., 2012).</w:t>
      </w:r>
    </w:p>
    <w:p w14:paraId="593D17B3" w14:textId="77777777" w:rsidR="00671118" w:rsidRPr="00FB6DC9" w:rsidRDefault="00671118" w:rsidP="00671118">
      <w:pPr>
        <w:spacing w:after="160" w:line="360" w:lineRule="auto"/>
        <w:jc w:val="both"/>
        <w:rPr>
          <w:rFonts w:eastAsia="Calibri"/>
          <w:color w:val="000000"/>
        </w:rPr>
      </w:pPr>
      <w:r w:rsidRPr="00FB6DC9">
        <w:rPr>
          <w:rFonts w:eastAsia="Calibri"/>
        </w:rPr>
        <w:t>À medida que os gastos com as tecnologias em saúde aumentam, os gestores de saúde e demais atores da cadeia do cuidado têm procurado evidências sobre o valor econômico de novos medicamentos para auxiliar na tomada de decisão sobre reembolso. Para atender a essa demanda por evidências precoces de valor, os fabricantes geralmente geram modelos econômicos a partir de estudos clínicos, opinião de especialistas ou revisão sistemática da literatura</w:t>
      </w:r>
      <w:r w:rsidRPr="00FB6DC9">
        <w:rPr>
          <w:rFonts w:eastAsia="Calibri"/>
          <w:vertAlign w:val="superscript"/>
        </w:rPr>
        <w:t xml:space="preserve"> </w:t>
      </w:r>
      <w:r w:rsidRPr="00FB6DC9">
        <w:rPr>
          <w:rFonts w:eastAsia="Calibri"/>
        </w:rPr>
        <w:t xml:space="preserve">(VAN NOOTEN et al., 2012). </w:t>
      </w:r>
    </w:p>
    <w:p w14:paraId="17C3205F" w14:textId="77777777" w:rsidR="00671118" w:rsidRPr="00FB6DC9" w:rsidRDefault="00671118" w:rsidP="00671118">
      <w:pPr>
        <w:spacing w:after="160" w:line="360" w:lineRule="auto"/>
        <w:jc w:val="both"/>
        <w:rPr>
          <w:rFonts w:eastAsia="Calibri"/>
        </w:rPr>
      </w:pPr>
      <w:r w:rsidRPr="00FB6DC9">
        <w:rPr>
          <w:rFonts w:eastAsia="Calibri"/>
        </w:rPr>
        <w:t>Essa prática de aliar dados econômicos aos estudos clínicos foi apresentada pela ISPOR (</w:t>
      </w:r>
      <w:r w:rsidRPr="00FB6DC9">
        <w:rPr>
          <w:rFonts w:eastAsia="Calibri"/>
          <w:i/>
          <w:iCs/>
        </w:rPr>
        <w:t>The Professional Society for Health Economics and Outcomes Research</w:t>
      </w:r>
      <w:r w:rsidRPr="00FB6DC9">
        <w:rPr>
          <w:rFonts w:eastAsia="Calibri"/>
        </w:rPr>
        <w:t>), também conhecida como Sociedade Profissional de Economia da Saúde e Pesquisa de desfechos, em 2005, em sua primeira publicação de Boas Práticas de Análise de Custo-Efetividade (ACE) com Ensaios Clínicos, após observar que um número crescente de ensaios clínicos incluíam objetivos econômicos. O mesmo relatório foi atualizado em 2015, recomendando que a coleta de dados econômicos seja totalmente integrada aos ensaios clínicos, com uso de recursos da assistência obtido diretamente dos sujeitos do estudo. As vantagens da coleta de dados econômicos integrados, conforme observado pela Força-tarefa, podem ser a melhoria da qualidade metodológica dos estudos de custo-efetividade e a maior credibilidade e utilidade para os gestores de saúde, mantendo-se o equilíbrio do tamanho da amostra, a coleta de dados e os desafios de dados de custo. Pouca evidência empírica está disponível em torno das tendências na inclusão de parâmetros econômicos em ensaios clínicos, assim como as características dos ensaios e as mudanças na inclusão de resultados econômicos ao longo do tempo (RAMSEY et al., 2015).</w:t>
      </w:r>
    </w:p>
    <w:p w14:paraId="33BD9708" w14:textId="77777777" w:rsidR="00671118" w:rsidRPr="00FB6DC9" w:rsidRDefault="00671118" w:rsidP="00671118">
      <w:pPr>
        <w:spacing w:after="160" w:line="360" w:lineRule="auto"/>
        <w:jc w:val="both"/>
        <w:rPr>
          <w:rFonts w:eastAsia="Calibri"/>
        </w:rPr>
      </w:pPr>
      <w:r w:rsidRPr="00FB6DC9">
        <w:rPr>
          <w:rFonts w:eastAsia="Calibri"/>
        </w:rPr>
        <w:t>Dados econômicos de ensaios clínicos podem fortalecer modelos econômicos iniciais, fornecendo os principais parâmetros do modelo, e que geralmente podem vir de evidências de menor força, como é o caso de opinião de especialistas. Além disso, o uso de dados coletados e validados de acordo com um protocolo previamente especificado traz transparência aos processos. Pesquisas futuras são necessárias para entender melhor as barreiras e os facilitadores para a inclusão dos parâmetros econômicos em ensaios clínicos, bem como o grau em que a incorporação desses dados será feita nos modelos econômicos de maneira a reduzir as preocupações dos gestores de saúde sobre transparência e questões de conflitos de interesse por parte do fabricante. Essas pesquisas informariam sobre as vantagens das estratégias iniciais de demonstração de valor focadas em coleta dos dados de recursos durante ensaios clínicos, modelagem econômica ou uma combinação dos dois</w:t>
      </w:r>
      <w:r w:rsidRPr="00FB6DC9">
        <w:rPr>
          <w:rFonts w:eastAsia="Calibri"/>
          <w:vertAlign w:val="superscript"/>
        </w:rPr>
        <w:t xml:space="preserve"> </w:t>
      </w:r>
      <w:r w:rsidRPr="00FB6DC9">
        <w:rPr>
          <w:rFonts w:eastAsia="Calibri"/>
        </w:rPr>
        <w:t>(VAN NOOTEN et al., 2012).</w:t>
      </w:r>
    </w:p>
    <w:p w14:paraId="0B57E26E" w14:textId="77777777" w:rsidR="00671118" w:rsidRPr="00FB6DC9" w:rsidRDefault="00671118" w:rsidP="00671118">
      <w:pPr>
        <w:spacing w:after="160" w:line="360" w:lineRule="auto"/>
        <w:jc w:val="both"/>
        <w:rPr>
          <w:rFonts w:eastAsia="Calibri"/>
        </w:rPr>
      </w:pPr>
      <w:r w:rsidRPr="00FB6DC9">
        <w:rPr>
          <w:rFonts w:eastAsia="Calibri"/>
        </w:rPr>
        <w:t>Não se trata somente de uma melhoria na qualidade e transparência de dados dos estudos econômicos, mas também está relacionada ao processo de avaliação de tecnologias em saúde (ATS), impactando dois pontos: a determinação da viabilidade de financiamento de uma nova tecnologia da saúde ou ainda de financiamento de uma pesquisa clínica. Para a primeira dessas perguntas, a análise de custo-efetividade compara os custos e benefícios (geralmente mensurados através do desfecho clínico conhecido como anos de vida ajustados pela qualidade, QALYs) das tecnologias de saúde concorrentes para identificar quais delas representam uma relação favorável entre os custos e benefícios. Já para a segunda avaliação, a análise do valor da informação (</w:t>
      </w:r>
      <w:r w:rsidRPr="00FB6DC9">
        <w:rPr>
          <w:rFonts w:eastAsia="Calibri"/>
          <w:i/>
          <w:iCs/>
        </w:rPr>
        <w:t>value of information analysis</w:t>
      </w:r>
      <w:r w:rsidRPr="00FB6DC9">
        <w:rPr>
          <w:rFonts w:eastAsia="Calibri"/>
        </w:rPr>
        <w:t xml:space="preserve"> - VOIA) verifica a validade da coleta de mais informações, como a realização de mais ensaios clínicos, para reduzir a incerteza da decisão</w:t>
      </w:r>
      <w:r w:rsidRPr="00FB6DC9">
        <w:rPr>
          <w:rFonts w:eastAsia="Calibri"/>
          <w:vertAlign w:val="superscript"/>
        </w:rPr>
        <w:t xml:space="preserve"> </w:t>
      </w:r>
      <w:r w:rsidRPr="00FB6DC9">
        <w:rPr>
          <w:rFonts w:eastAsia="Calibri"/>
        </w:rPr>
        <w:t>(VAN NOOTEN et al., 2012).</w:t>
      </w:r>
    </w:p>
    <w:p w14:paraId="4596453E" w14:textId="77777777" w:rsidR="00671118" w:rsidRDefault="00671118" w:rsidP="00671118">
      <w:pPr>
        <w:spacing w:after="160" w:line="360" w:lineRule="auto"/>
        <w:contextualSpacing/>
        <w:jc w:val="both"/>
        <w:rPr>
          <w:rFonts w:eastAsia="Calibri"/>
          <w:b/>
          <w:bCs/>
        </w:rPr>
      </w:pPr>
    </w:p>
    <w:p w14:paraId="30EB269A" w14:textId="77777777" w:rsidR="00671118" w:rsidRPr="00FB6DC9" w:rsidRDefault="00671118" w:rsidP="00671118">
      <w:pPr>
        <w:spacing w:after="160" w:line="360" w:lineRule="auto"/>
        <w:contextualSpacing/>
        <w:jc w:val="both"/>
        <w:rPr>
          <w:rFonts w:eastAsia="Calibri"/>
          <w:b/>
          <w:bCs/>
        </w:rPr>
      </w:pPr>
      <w:r w:rsidRPr="00FB6DC9">
        <w:rPr>
          <w:rFonts w:eastAsia="Calibri"/>
          <w:b/>
          <w:bCs/>
        </w:rPr>
        <w:t>Estudos clínicos com desenho adaptativo e análise de custo-efetividade</w:t>
      </w:r>
    </w:p>
    <w:p w14:paraId="4834BBEF" w14:textId="77777777" w:rsidR="00671118" w:rsidRPr="00FB6DC9" w:rsidRDefault="00671118" w:rsidP="00671118">
      <w:pPr>
        <w:spacing w:after="160" w:line="360" w:lineRule="auto"/>
        <w:jc w:val="both"/>
        <w:rPr>
          <w:rFonts w:eastAsia="Calibri"/>
        </w:rPr>
      </w:pPr>
      <w:r w:rsidRPr="00FB6DC9">
        <w:rPr>
          <w:rFonts w:eastAsia="Calibri"/>
        </w:rPr>
        <w:t>Nos estudos clínicos com desenho adaptativo é possível responder a dados interinos de segurança e eficácia de várias formas, restringindo o foco do estudo ou aumentando o número de participantes, equilibrando a alocação ao tratamento ou com diferentes formas de randomização de acordo com a resposta de participantes anteriores ao tratamento (PARK et al., 2018).</w:t>
      </w:r>
    </w:p>
    <w:p w14:paraId="2A1A9F6F" w14:textId="77777777" w:rsidR="00671118" w:rsidRPr="00FB6DC9" w:rsidRDefault="00671118" w:rsidP="00671118">
      <w:pPr>
        <w:spacing w:after="160" w:line="360" w:lineRule="auto"/>
        <w:jc w:val="both"/>
        <w:rPr>
          <w:rFonts w:eastAsia="Calibri"/>
        </w:rPr>
      </w:pPr>
      <w:r w:rsidRPr="00FB6DC9">
        <w:rPr>
          <w:rFonts w:eastAsia="Calibri"/>
        </w:rPr>
        <w:t>O desenho adaptativo é uma abordagem inovadora para a realização de um ensaio clínico, em que ao contrário de um tamanho fixo de amostra tradicional, os dados são examinados à medida que o estudo avança para informar modificações na análise. Isso pode potencialmente salvar tempo e recursos, além de impedir que os pacientes sejam randomizados desnecessariamente. O número de projetos com métodos adaptativos aumentou de 11 por 10.000 ensaios registrados entre 2001 e 2005 para 38 por 10.000 ensaios registrados entre 2012 e 2013</w:t>
      </w:r>
      <w:r w:rsidRPr="00FB6DC9">
        <w:rPr>
          <w:rFonts w:eastAsia="Calibri"/>
          <w:vertAlign w:val="superscript"/>
        </w:rPr>
        <w:t xml:space="preserve"> </w:t>
      </w:r>
      <w:r w:rsidRPr="00FB6DC9">
        <w:rPr>
          <w:rFonts w:eastAsia="Calibri"/>
        </w:rPr>
        <w:t>(</w:t>
      </w:r>
      <w:r w:rsidRPr="00FB6DC9">
        <w:rPr>
          <w:rFonts w:eastAsia="Calibri"/>
          <w:color w:val="212121"/>
          <w:shd w:val="clear" w:color="auto" w:fill="FFFFFF"/>
        </w:rPr>
        <w:t>FLIGHT et al., 2020</w:t>
      </w:r>
      <w:r w:rsidRPr="00FB6DC9">
        <w:rPr>
          <w:rFonts w:eastAsia="Calibri"/>
        </w:rPr>
        <w:t>).</w:t>
      </w:r>
    </w:p>
    <w:p w14:paraId="5A633678" w14:textId="77777777" w:rsidR="00671118" w:rsidRPr="00FB6DC9" w:rsidRDefault="00671118" w:rsidP="00671118">
      <w:pPr>
        <w:spacing w:after="160" w:line="360" w:lineRule="auto"/>
        <w:jc w:val="both"/>
        <w:rPr>
          <w:rFonts w:eastAsia="Calibri"/>
        </w:rPr>
      </w:pPr>
      <w:r w:rsidRPr="00FB6DC9">
        <w:rPr>
          <w:rFonts w:eastAsia="Calibri"/>
        </w:rPr>
        <w:t>Projetos adaptativos e sua implementação são geralmente baseados na demonstração de eficácia clínica. Apesar de sua importância, o custo-efetividade é frequentemente uma consideração secundária. Atualmente, não está claro o quanto o uso do de ensaios de desenho adaptativo pode impactar na análise econômica da saúde</w:t>
      </w:r>
      <w:r w:rsidRPr="00FB6DC9">
        <w:rPr>
          <w:rFonts w:eastAsia="Calibri"/>
          <w:vertAlign w:val="superscript"/>
        </w:rPr>
        <w:t xml:space="preserve"> </w:t>
      </w:r>
      <w:r w:rsidRPr="00FB6DC9">
        <w:rPr>
          <w:rFonts w:eastAsia="Calibri"/>
        </w:rPr>
        <w:t>(</w:t>
      </w:r>
      <w:r w:rsidRPr="00FB6DC9">
        <w:rPr>
          <w:rFonts w:eastAsia="Calibri"/>
          <w:color w:val="212121"/>
          <w:shd w:val="clear" w:color="auto" w:fill="FFFFFF"/>
        </w:rPr>
        <w:t>FLIGHT et al., 2020</w:t>
      </w:r>
      <w:r w:rsidRPr="00FB6DC9">
        <w:rPr>
          <w:rFonts w:eastAsia="Calibri"/>
        </w:rPr>
        <w:t>).</w:t>
      </w:r>
    </w:p>
    <w:p w14:paraId="2B2D8EEF" w14:textId="77777777" w:rsidR="00671118" w:rsidRPr="00FB6DC9" w:rsidRDefault="00671118" w:rsidP="00671118">
      <w:pPr>
        <w:spacing w:after="160" w:line="360" w:lineRule="auto"/>
        <w:jc w:val="both"/>
        <w:rPr>
          <w:rFonts w:eastAsia="Calibri"/>
        </w:rPr>
      </w:pPr>
    </w:p>
    <w:p w14:paraId="0DD12B89" w14:textId="77777777" w:rsidR="00671118" w:rsidRPr="00FB6DC9" w:rsidRDefault="00671118" w:rsidP="00671118">
      <w:pPr>
        <w:spacing w:after="160" w:line="360" w:lineRule="auto"/>
        <w:jc w:val="both"/>
        <w:rPr>
          <w:rFonts w:eastAsia="Calibri"/>
        </w:rPr>
      </w:pPr>
      <w:r w:rsidRPr="00FB6DC9">
        <w:rPr>
          <w:rFonts w:eastAsia="Calibri"/>
        </w:rPr>
        <w:t>Existem algumas iniciativas no campo de projetos adaptativos para promover seu uso e entendimento entre a comunidade de pesquisa em saúde a seguir:</w:t>
      </w:r>
    </w:p>
    <w:p w14:paraId="2C7FEFE7" w14:textId="77777777" w:rsidR="00671118" w:rsidRPr="00FB6DC9" w:rsidRDefault="00671118" w:rsidP="00671118">
      <w:pPr>
        <w:numPr>
          <w:ilvl w:val="0"/>
          <w:numId w:val="26"/>
        </w:numPr>
        <w:spacing w:after="160" w:line="360" w:lineRule="auto"/>
        <w:contextualSpacing/>
        <w:jc w:val="both"/>
        <w:rPr>
          <w:rFonts w:eastAsia="Calibri"/>
        </w:rPr>
      </w:pPr>
      <w:r w:rsidRPr="00FB6DC9">
        <w:rPr>
          <w:rFonts w:eastAsia="Calibri"/>
        </w:rPr>
        <w:t>O Grupo de Trabalho de Projetos Adaptativos, do Conselho de Pesquisa Médica, que visa aumentar implementação de projetos adaptativos através de tutorial publicado em revistas médicas, desenvolvimento de software e palestras.</w:t>
      </w:r>
    </w:p>
    <w:p w14:paraId="43232F2F" w14:textId="77777777" w:rsidR="00671118" w:rsidRPr="00FB6DC9" w:rsidRDefault="00671118" w:rsidP="00671118">
      <w:pPr>
        <w:numPr>
          <w:ilvl w:val="0"/>
          <w:numId w:val="26"/>
        </w:numPr>
        <w:spacing w:after="160" w:line="360" w:lineRule="auto"/>
        <w:contextualSpacing/>
        <w:jc w:val="both"/>
        <w:rPr>
          <w:rFonts w:eastAsia="Calibri"/>
        </w:rPr>
      </w:pPr>
      <w:r w:rsidRPr="00FB6DC9">
        <w:rPr>
          <w:rFonts w:eastAsia="Calibri"/>
        </w:rPr>
        <w:t>O projeto “</w:t>
      </w:r>
      <w:r w:rsidRPr="00FB6DC9">
        <w:rPr>
          <w:rFonts w:eastAsia="Calibri"/>
          <w:i/>
          <w:iCs/>
        </w:rPr>
        <w:t>Adaptive CONSORT Extension</w:t>
      </w:r>
      <w:r w:rsidRPr="00FB6DC9">
        <w:rPr>
          <w:rFonts w:eastAsia="Calibri"/>
        </w:rPr>
        <w:t xml:space="preserve"> (ACE)”, visa aumentar a transparência, credibilidade e reprodutibilidade de ensaios adaptativos por desenvolvimento de um consenso estendido do CONSORT (</w:t>
      </w:r>
      <w:r w:rsidRPr="00FB6DC9">
        <w:rPr>
          <w:rFonts w:eastAsia="Calibri"/>
          <w:i/>
          <w:iCs/>
        </w:rPr>
        <w:t>Consolidated Standards of Reporting Trials</w:t>
      </w:r>
      <w:r w:rsidRPr="00FB6DC9">
        <w:rPr>
          <w:rFonts w:eastAsia="Calibri"/>
        </w:rPr>
        <w:t>, Padrões consolidados de relatório de Ensaios) específicos para projetos adaptativos</w:t>
      </w:r>
      <w:r w:rsidRPr="00FB6DC9">
        <w:rPr>
          <w:rFonts w:eastAsia="Calibri"/>
          <w:vertAlign w:val="superscript"/>
        </w:rPr>
        <w:t xml:space="preserve"> </w:t>
      </w:r>
      <w:r w:rsidRPr="00FB6DC9">
        <w:rPr>
          <w:rFonts w:eastAsia="Calibri"/>
        </w:rPr>
        <w:t>(FLIGHT et al., 2020).</w:t>
      </w:r>
    </w:p>
    <w:p w14:paraId="37D5F5BE" w14:textId="77777777" w:rsidR="00671118" w:rsidRPr="00FB6DC9" w:rsidRDefault="00671118" w:rsidP="00671118">
      <w:pPr>
        <w:spacing w:after="160" w:line="360" w:lineRule="auto"/>
        <w:contextualSpacing/>
        <w:jc w:val="both"/>
        <w:rPr>
          <w:rFonts w:eastAsia="Calibri"/>
        </w:rPr>
      </w:pPr>
    </w:p>
    <w:p w14:paraId="2641416F" w14:textId="77777777" w:rsidR="00671118" w:rsidRPr="00FB6DC9" w:rsidRDefault="00671118" w:rsidP="00671118">
      <w:pPr>
        <w:spacing w:after="160" w:line="360" w:lineRule="auto"/>
        <w:jc w:val="both"/>
        <w:rPr>
          <w:rFonts w:eastAsia="Calibri"/>
        </w:rPr>
      </w:pPr>
      <w:r w:rsidRPr="00FB6DC9">
        <w:rPr>
          <w:rFonts w:eastAsia="Calibri"/>
        </w:rPr>
        <w:t>Iniciativas para aumentar o uso do valor da informação análises incluem:</w:t>
      </w:r>
    </w:p>
    <w:p w14:paraId="3077F6C6" w14:textId="77777777" w:rsidR="00671118" w:rsidRPr="00FB6DC9" w:rsidRDefault="00671118" w:rsidP="00671118">
      <w:pPr>
        <w:numPr>
          <w:ilvl w:val="0"/>
          <w:numId w:val="20"/>
        </w:numPr>
        <w:spacing w:after="160" w:line="360" w:lineRule="auto"/>
        <w:ind w:left="0"/>
        <w:contextualSpacing/>
        <w:jc w:val="both"/>
        <w:rPr>
          <w:rFonts w:eastAsia="Calibri"/>
        </w:rPr>
      </w:pPr>
      <w:r w:rsidRPr="00FB6DC9">
        <w:rPr>
          <w:rFonts w:eastAsia="Calibri"/>
        </w:rPr>
        <w:t>A Sociedade de Profissionais de Economia da Saúde e pesquisa de desfechos (ISPOR) criou uma Força Tarefa de Análise para Decisões de Pesquisa, que visa desenvolver orientações de boas práticas para o uso métodos de análise do valor da informação para informar decisões de reembolso de tecnologias e a priorização de pesquisa.</w:t>
      </w:r>
    </w:p>
    <w:p w14:paraId="0542CD4B" w14:textId="77777777" w:rsidR="00671118" w:rsidRPr="00FB6DC9" w:rsidRDefault="00671118" w:rsidP="00671118">
      <w:pPr>
        <w:numPr>
          <w:ilvl w:val="0"/>
          <w:numId w:val="20"/>
        </w:numPr>
        <w:spacing w:after="160" w:line="360" w:lineRule="auto"/>
        <w:ind w:left="0"/>
        <w:contextualSpacing/>
        <w:jc w:val="both"/>
        <w:rPr>
          <w:rFonts w:eastAsia="Calibri"/>
        </w:rPr>
      </w:pPr>
      <w:r w:rsidRPr="00FB6DC9">
        <w:rPr>
          <w:rFonts w:eastAsia="Calibri"/>
        </w:rPr>
        <w:t>Rede Colaborativa para Valor da Informação (ConVOI), uma rede internacional que trabalha para a adoção e aplicação dos métodos de análise de valor de informação em pesquisa clínica</w:t>
      </w:r>
      <w:r w:rsidRPr="00FB6DC9">
        <w:rPr>
          <w:rFonts w:eastAsia="Calibri"/>
          <w:vertAlign w:val="superscript"/>
        </w:rPr>
        <w:t xml:space="preserve"> </w:t>
      </w:r>
      <w:r w:rsidRPr="00FB6DC9">
        <w:rPr>
          <w:rFonts w:eastAsia="Calibri"/>
        </w:rPr>
        <w:t>(FLIGHT et al., 2020).</w:t>
      </w:r>
    </w:p>
    <w:p w14:paraId="6ECA7509" w14:textId="77777777" w:rsidR="00671118" w:rsidRPr="00FB6DC9" w:rsidRDefault="00671118" w:rsidP="00671118">
      <w:pPr>
        <w:spacing w:after="160" w:line="360" w:lineRule="auto"/>
        <w:jc w:val="both"/>
        <w:rPr>
          <w:rFonts w:eastAsia="Calibri"/>
          <w:b/>
          <w:bCs/>
          <w:color w:val="000000"/>
        </w:rPr>
      </w:pPr>
    </w:p>
    <w:p w14:paraId="67F8BC59" w14:textId="77777777" w:rsidR="00671118" w:rsidRPr="00FB6DC9" w:rsidRDefault="00671118" w:rsidP="00671118">
      <w:pPr>
        <w:spacing w:after="160" w:line="360" w:lineRule="auto"/>
        <w:contextualSpacing/>
        <w:jc w:val="both"/>
        <w:rPr>
          <w:rFonts w:eastAsia="Calibri"/>
          <w:b/>
          <w:bCs/>
          <w:color w:val="000000"/>
        </w:rPr>
      </w:pPr>
      <w:r w:rsidRPr="00FB6DC9">
        <w:rPr>
          <w:rFonts w:eastAsia="Calibri"/>
          <w:b/>
          <w:bCs/>
          <w:color w:val="000000"/>
        </w:rPr>
        <w:t>Tendências na geração de evidências ou os estudos de vida real (</w:t>
      </w:r>
      <w:r w:rsidRPr="00FB6DC9">
        <w:rPr>
          <w:rFonts w:eastAsia="Calibri"/>
          <w:b/>
          <w:bCs/>
          <w:i/>
          <w:iCs/>
          <w:color w:val="000000"/>
        </w:rPr>
        <w:t>Real World Evidence</w:t>
      </w:r>
      <w:r w:rsidRPr="00FB6DC9">
        <w:rPr>
          <w:rFonts w:eastAsia="Calibri"/>
          <w:b/>
          <w:bCs/>
          <w:color w:val="000000"/>
        </w:rPr>
        <w:t>)</w:t>
      </w:r>
    </w:p>
    <w:p w14:paraId="4C5E99B1" w14:textId="77777777" w:rsidR="00671118" w:rsidRPr="00FB6DC9" w:rsidRDefault="00671118" w:rsidP="003A4942">
      <w:pPr>
        <w:spacing w:after="160" w:line="360" w:lineRule="auto"/>
        <w:ind w:firstLine="708"/>
        <w:jc w:val="both"/>
        <w:rPr>
          <w:rFonts w:eastAsia="Calibri"/>
          <w:color w:val="000000"/>
        </w:rPr>
      </w:pPr>
      <w:r w:rsidRPr="00FB6DC9">
        <w:rPr>
          <w:rFonts w:eastAsia="Calibri"/>
          <w:color w:val="000000"/>
        </w:rPr>
        <w:t>O estudo de vida real, ou Real World Evidence (RWE) é derivado da análise dos dados coletados de um sistema de saúde fora do contexto dos ensaios clínicos randomizados (ECR). Um dos principais objetivos do RWE é entender desfechos clínicos e outros eventos em pacientes na prática clínica. O RWE complementa os ECR, que são ensaios cuidadosamente controlados para testar hipóteses específicas sobre eficácia e segurança de medicamentos novos, os ECRs não refletem as condições clínicas do dia a dia dos pacientes. Devido ao mecanismo de coleta de dados e desenho experimental, os estudos RWE geralmente não podem produzir inferência causal definitiva por causa dos muitos fatores de variabilidade e confusão (BERGER et al., 2020).</w:t>
      </w:r>
    </w:p>
    <w:p w14:paraId="643B02B3" w14:textId="77777777" w:rsidR="00671118" w:rsidRPr="00FB6DC9" w:rsidRDefault="00671118" w:rsidP="003A4942">
      <w:pPr>
        <w:spacing w:after="160" w:line="360" w:lineRule="auto"/>
        <w:ind w:firstLine="708"/>
        <w:jc w:val="both"/>
        <w:rPr>
          <w:rFonts w:eastAsia="Calibri"/>
        </w:rPr>
      </w:pPr>
      <w:r w:rsidRPr="00FB6DC9">
        <w:rPr>
          <w:rFonts w:eastAsia="Calibri"/>
        </w:rPr>
        <w:t xml:space="preserve">Mas, já uma tendência de aceitação dos resultados advindos desses tipos de estudos. Os órgãos regulatórios, como o </w:t>
      </w:r>
      <w:r w:rsidRPr="00FB6DC9">
        <w:rPr>
          <w:rFonts w:eastAsia="Calibri"/>
          <w:i/>
          <w:iCs/>
        </w:rPr>
        <w:t>Food and Drug Administration</w:t>
      </w:r>
      <w:r w:rsidRPr="00FB6DC9">
        <w:rPr>
          <w:rFonts w:eastAsia="Calibri"/>
        </w:rPr>
        <w:t xml:space="preserve"> (FDA, Estados Unidos), o Instituto de Excelência em Saúde e Cuidados (NICE, Inglaterra), e a Agência Europeia de Medicamentos (</w:t>
      </w:r>
      <w:r w:rsidRPr="00FB6DC9">
        <w:rPr>
          <w:rFonts w:eastAsia="Calibri"/>
          <w:i/>
          <w:iCs/>
        </w:rPr>
        <w:t>European Agency for the Evaluation of Medical Products</w:t>
      </w:r>
      <w:r w:rsidRPr="00FB6DC9">
        <w:rPr>
          <w:rFonts w:eastAsia="Calibri"/>
        </w:rPr>
        <w:t xml:space="preserve">, EMEA) estão trabalhando sobre o tema de estudos de vida real como um suporte no processo de análise da decisão regulatória, também conhecidos como </w:t>
      </w:r>
      <w:r w:rsidRPr="00FB6DC9">
        <w:rPr>
          <w:rFonts w:eastAsia="Calibri"/>
          <w:i/>
          <w:iCs/>
        </w:rPr>
        <w:t>Real World Data</w:t>
      </w:r>
      <w:r w:rsidRPr="00FB6DC9">
        <w:rPr>
          <w:rFonts w:eastAsia="Calibri"/>
        </w:rPr>
        <w:t xml:space="preserve"> (RWD) e </w:t>
      </w:r>
      <w:r w:rsidRPr="00FB6DC9">
        <w:rPr>
          <w:rFonts w:eastAsia="Calibri"/>
          <w:i/>
          <w:iCs/>
        </w:rPr>
        <w:t xml:space="preserve">Real World Evidence </w:t>
      </w:r>
      <w:r w:rsidRPr="00FB6DC9">
        <w:rPr>
          <w:rFonts w:eastAsia="Calibri"/>
        </w:rPr>
        <w:t>(RWE). Além disso, outros atores do sistema de saúde têm interesse nesses estudos para estabelecer uma comparação de custo-efetividade, é o caso de prestadores de cuidados de saúde (hospitais, clínicas, entre outros) e gestores de saúde (governo e sistema de saúde suplementar). Esse interesse de diversos atores aumentou a importância e o papel dos estudos de vida real tanto na informação quanto no processo de decisões da assistência em saúde em todo o mundo</w:t>
      </w:r>
      <w:r w:rsidRPr="00FB6DC9">
        <w:rPr>
          <w:rFonts w:eastAsia="Calibri"/>
          <w:vertAlign w:val="superscript"/>
        </w:rPr>
        <w:t xml:space="preserve"> </w:t>
      </w:r>
      <w:r w:rsidRPr="00FB6DC9">
        <w:rPr>
          <w:rFonts w:eastAsia="Calibri"/>
        </w:rPr>
        <w:t>(NAS, 2019).</w:t>
      </w:r>
    </w:p>
    <w:p w14:paraId="46E38058" w14:textId="77777777" w:rsidR="00671118" w:rsidRPr="00FB6DC9" w:rsidRDefault="00671118" w:rsidP="003A4942">
      <w:pPr>
        <w:spacing w:after="160" w:line="360" w:lineRule="auto"/>
        <w:ind w:firstLine="708"/>
        <w:jc w:val="both"/>
        <w:rPr>
          <w:rFonts w:eastAsia="Calibri"/>
        </w:rPr>
      </w:pPr>
      <w:r w:rsidRPr="00FB6DC9">
        <w:rPr>
          <w:rFonts w:eastAsia="Calibri"/>
        </w:rPr>
        <w:t xml:space="preserve">As definições de RWD e RWE não tem um consenso, utilizaremos algumas fontes para distinguir os dois tipos de estudos. RWD segundo o FDA, são os dados relacionados ao estado de saúde do paciente e / ou prestação de cuidados de saúde coletados rotineiramente de uma variedade de fontes; já o RWE é a evidência clínica relativa ao uso, referente benefícios ou riscos potenciais de uma tecnologia que foi analisada por RWD, o RWE pode ser gerado por diferentes desenhos ou análises de estudos, incluindo, mas não se limitando a, ensaios clínicos randomizados, como grandes ensaios simples, ensaios pragmáticos e estudos observacionais (prospectivo e / ou retrospectivo).  Segundo o Consórcio GetReal da </w:t>
      </w:r>
      <w:r w:rsidRPr="00FB6DC9">
        <w:rPr>
          <w:rFonts w:eastAsia="Calibri"/>
          <w:i/>
          <w:iCs/>
        </w:rPr>
        <w:t>Innovative Medicine Initiative</w:t>
      </w:r>
      <w:r w:rsidRPr="00FB6DC9">
        <w:rPr>
          <w:rFonts w:eastAsia="Calibri"/>
        </w:rPr>
        <w:t>: "RWD" é um termo genérico para dados sobre os efeitos de intervenções em saúde (por exemplo, benefício, risco e uso de recursos) que não são coletados no contexto de ensaios clínicos randomizados (ECR) convencionais. Em vez disso, o RWD é coletado prospectivamente e retrospectivamente a partir de observações da prática clínica de rotina. Os dados coletados incluem, entre outros, resultados clínicos e econômicos, resultados relatados pelo paciente e qualidade de vida relacionada à saúde. RWD pode ser obtido de várias fontes, incluindo registros de pacientes, registros médicos e bancos de dados de operadoras de saúde. Pela Sociedade Profissional de Farmacoeconomia e Desfechos Clínicos (ISPOR –</w:t>
      </w:r>
      <w:r w:rsidRPr="00FB6DC9">
        <w:rPr>
          <w:rFonts w:eastAsia="Calibri"/>
          <w:i/>
          <w:iCs/>
        </w:rPr>
        <w:t xml:space="preserve"> International Society for Pharmacoeconomics and Outcomes Research</w:t>
      </w:r>
      <w:r w:rsidRPr="00FB6DC9">
        <w:rPr>
          <w:rFonts w:eastAsia="Calibri"/>
        </w:rPr>
        <w:t>), RWD são dados usados para clínica, cobertura e pagamento tomada de decisão que não são coletadas nos ECR convencionais (NAS, 2019).</w:t>
      </w:r>
    </w:p>
    <w:p w14:paraId="20BF785A" w14:textId="77777777" w:rsidR="00671118" w:rsidRPr="00FB6DC9" w:rsidRDefault="00671118" w:rsidP="003A4942">
      <w:pPr>
        <w:spacing w:after="160" w:line="360" w:lineRule="auto"/>
        <w:ind w:firstLine="708"/>
        <w:jc w:val="both"/>
        <w:rPr>
          <w:rFonts w:eastAsia="Calibri"/>
        </w:rPr>
      </w:pPr>
      <w:r w:rsidRPr="00FB6DC9">
        <w:rPr>
          <w:rFonts w:eastAsia="Calibri"/>
        </w:rPr>
        <w:t>O FDA publicou um compêndio de orientação em maio de 2019, intitulado “Submissão de documentos utilizando dados do mundo real e evidências do mundo real ao FDA para medicamentos e biológicos da indústria.” De acordo com a orientação, as submissões que utilizam RWE e RWD “podem estar em diferentes formas, como novo (s) protocolo (s) para um novo medicamento, um relatório final do estudo submetido para um novo pedido medicamento ou biológico, ou ainda uma reunião que discuta o uso de RWE”. Em junho de 2019, o NICE propôs estender o uso de dados para decisões regulatórias. O NICE agora propõe estender seu uso de dados como fontes, incluindo auditorias de procedimentos, registros, pesquisas de utilização de serviços e dados de tendências nacionais (CDER, 2020; NICE, 2019).</w:t>
      </w:r>
    </w:p>
    <w:p w14:paraId="6C78DA00" w14:textId="77777777" w:rsidR="00671118" w:rsidRPr="00FB6DC9" w:rsidRDefault="00671118" w:rsidP="003A4942">
      <w:pPr>
        <w:spacing w:after="160" w:line="360" w:lineRule="auto"/>
        <w:ind w:firstLine="708"/>
        <w:jc w:val="both"/>
        <w:rPr>
          <w:rFonts w:eastAsia="Calibri"/>
        </w:rPr>
      </w:pPr>
      <w:r w:rsidRPr="00FB6DC9">
        <w:rPr>
          <w:rFonts w:eastAsia="Calibri"/>
        </w:rPr>
        <w:t xml:space="preserve">De acordo com uma análise publicada em abril de 2019 pela Sociedade Americana de Farmacologia Clínica e a Revista </w:t>
      </w:r>
      <w:r w:rsidRPr="00FB6DC9">
        <w:rPr>
          <w:rFonts w:eastAsia="Calibri"/>
          <w:i/>
          <w:iCs/>
        </w:rPr>
        <w:t>Therapeutics</w:t>
      </w:r>
      <w:r w:rsidRPr="00FB6DC9">
        <w:rPr>
          <w:rFonts w:eastAsia="Calibri"/>
        </w:rPr>
        <w:t>, "pela perspectiva europeia, a utilização de RWD se depara com problemas operacionais, técnicos e desafios metodológicos ". Possíveis soluções incluem consideração precoce e repetida da necessidade de RWD durante o desenvolvimento de novos fármacos; financiamento de longo prazo para infraestrutura de dados; uso de componentes de dados comuns, formatos e terminologias, ou mapeamento para um sistema internacional; e descrição detalhada do desenho do estudo e dados coletados pelas fontes de dados</w:t>
      </w:r>
      <w:r w:rsidRPr="00FB6DC9">
        <w:rPr>
          <w:rFonts w:eastAsia="Calibri"/>
          <w:vertAlign w:val="superscript"/>
        </w:rPr>
        <w:t xml:space="preserve"> </w:t>
      </w:r>
      <w:r w:rsidRPr="00FB6DC9">
        <w:rPr>
          <w:rFonts w:eastAsia="Calibri"/>
        </w:rPr>
        <w:t xml:space="preserve">(CAVE; KURZ; ARLETT, 2019). </w:t>
      </w:r>
      <w:r w:rsidRPr="00FB6DC9">
        <w:rPr>
          <w:rFonts w:eastAsia="Calibri"/>
          <w:color w:val="000000"/>
        </w:rPr>
        <w:t>Segue um quadro com diferentes perspectivas sobre o uso de RWE.</w:t>
      </w:r>
    </w:p>
    <w:p w14:paraId="735032E0" w14:textId="77777777" w:rsidR="00671118" w:rsidRPr="00FB6DC9" w:rsidRDefault="00671118" w:rsidP="00671118">
      <w:pPr>
        <w:spacing w:after="160" w:line="360" w:lineRule="auto"/>
        <w:jc w:val="both"/>
        <w:rPr>
          <w:rFonts w:eastAsia="Calibri"/>
          <w:color w:val="000000"/>
        </w:rPr>
      </w:pPr>
    </w:p>
    <w:p w14:paraId="66BCA566" w14:textId="3CDEA5BA" w:rsidR="00671118" w:rsidRPr="00FB6DC9" w:rsidRDefault="00671118" w:rsidP="00671118">
      <w:pPr>
        <w:autoSpaceDE w:val="0"/>
        <w:autoSpaceDN w:val="0"/>
        <w:adjustRightInd w:val="0"/>
        <w:spacing w:line="360" w:lineRule="auto"/>
        <w:jc w:val="both"/>
        <w:rPr>
          <w:rFonts w:eastAsia="Calibri"/>
          <w:b/>
          <w:bCs/>
          <w:color w:val="000000"/>
        </w:rPr>
      </w:pPr>
      <w:r w:rsidRPr="00FB6DC9">
        <w:rPr>
          <w:rFonts w:eastAsia="Calibri"/>
          <w:b/>
          <w:bCs/>
          <w:color w:val="000000"/>
        </w:rPr>
        <w:t xml:space="preserve">Quadro </w:t>
      </w:r>
      <w:r w:rsidR="00787381">
        <w:rPr>
          <w:rFonts w:eastAsia="Calibri"/>
          <w:b/>
          <w:bCs/>
          <w:color w:val="000000"/>
        </w:rPr>
        <w:t>4</w:t>
      </w:r>
      <w:r w:rsidRPr="00FB6DC9">
        <w:rPr>
          <w:rFonts w:eastAsia="Calibri"/>
          <w:b/>
          <w:bCs/>
          <w:color w:val="000000"/>
        </w:rPr>
        <w:t xml:space="preserve"> – Perspectivas de uso de RWE.</w:t>
      </w:r>
    </w:p>
    <w:tbl>
      <w:tblPr>
        <w:tblStyle w:val="GridTable4-Accent11"/>
        <w:tblW w:w="9067" w:type="dxa"/>
        <w:tblLook w:val="04A0" w:firstRow="1" w:lastRow="0" w:firstColumn="1" w:lastColumn="0" w:noHBand="0" w:noVBand="1"/>
      </w:tblPr>
      <w:tblGrid>
        <w:gridCol w:w="2265"/>
        <w:gridCol w:w="707"/>
        <w:gridCol w:w="6095"/>
      </w:tblGrid>
      <w:tr w:rsidR="00671118" w:rsidRPr="00FB6DC9" w14:paraId="65BB093F" w14:textId="77777777" w:rsidTr="00671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8EAADB"/>
          </w:tcPr>
          <w:p w14:paraId="6E2214CA" w14:textId="77777777" w:rsidR="00671118" w:rsidRPr="00FB6DC9" w:rsidRDefault="00671118" w:rsidP="00671118">
            <w:pPr>
              <w:autoSpaceDE w:val="0"/>
              <w:autoSpaceDN w:val="0"/>
              <w:adjustRightInd w:val="0"/>
              <w:spacing w:line="360" w:lineRule="auto"/>
              <w:jc w:val="both"/>
              <w:rPr>
                <w:color w:val="000000"/>
              </w:rPr>
            </w:pPr>
            <w:r w:rsidRPr="00FB6DC9">
              <w:rPr>
                <w:color w:val="000000"/>
              </w:rPr>
              <w:t>Referência</w:t>
            </w:r>
          </w:p>
        </w:tc>
        <w:tc>
          <w:tcPr>
            <w:tcW w:w="707" w:type="dxa"/>
            <w:shd w:val="clear" w:color="auto" w:fill="8EAADB"/>
          </w:tcPr>
          <w:p w14:paraId="2C848850" w14:textId="77777777" w:rsidR="00671118" w:rsidRPr="00FB6DC9" w:rsidRDefault="00671118" w:rsidP="0067111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color w:val="000000"/>
              </w:rPr>
            </w:pPr>
            <w:r w:rsidRPr="00FB6DC9">
              <w:rPr>
                <w:color w:val="000000"/>
              </w:rPr>
              <w:t>Ano</w:t>
            </w:r>
          </w:p>
        </w:tc>
        <w:tc>
          <w:tcPr>
            <w:tcW w:w="6095" w:type="dxa"/>
            <w:shd w:val="clear" w:color="auto" w:fill="8EAADB"/>
          </w:tcPr>
          <w:p w14:paraId="736E3382" w14:textId="77777777" w:rsidR="00671118" w:rsidRPr="00FB6DC9" w:rsidRDefault="00671118" w:rsidP="0067111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FB6DC9">
              <w:rPr>
                <w:color w:val="000000"/>
              </w:rPr>
              <w:t>Resumo</w:t>
            </w:r>
          </w:p>
        </w:tc>
      </w:tr>
      <w:tr w:rsidR="00671118" w:rsidRPr="00FB6DC9" w14:paraId="2280BB90" w14:textId="77777777" w:rsidTr="0067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35E9C03" w14:textId="77777777" w:rsidR="00671118" w:rsidRPr="00FB6DC9" w:rsidRDefault="00671118" w:rsidP="00671118">
            <w:pPr>
              <w:autoSpaceDE w:val="0"/>
              <w:autoSpaceDN w:val="0"/>
              <w:adjustRightInd w:val="0"/>
              <w:spacing w:line="360" w:lineRule="auto"/>
              <w:jc w:val="both"/>
              <w:rPr>
                <w:color w:val="000000"/>
              </w:rPr>
            </w:pPr>
            <w:r w:rsidRPr="00FB6DC9">
              <w:rPr>
                <w:color w:val="000000"/>
              </w:rPr>
              <w:t>Epstein et al.</w:t>
            </w:r>
          </w:p>
        </w:tc>
        <w:tc>
          <w:tcPr>
            <w:tcW w:w="707" w:type="dxa"/>
          </w:tcPr>
          <w:p w14:paraId="6F940F08" w14:textId="77777777" w:rsidR="00671118" w:rsidRPr="00FB6DC9" w:rsidRDefault="00671118" w:rsidP="0067111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2012</w:t>
            </w:r>
          </w:p>
        </w:tc>
        <w:tc>
          <w:tcPr>
            <w:tcW w:w="6095" w:type="dxa"/>
          </w:tcPr>
          <w:p w14:paraId="1E118DFC" w14:textId="77777777" w:rsidR="00671118" w:rsidRPr="00FB6DC9" w:rsidRDefault="00671118" w:rsidP="0067111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Uma abordagem multifuncional para geração de evidências na indústria farmacêutica, com uma perspectiva do mundo real, para agilizar a aprovação regulatória</w:t>
            </w:r>
          </w:p>
        </w:tc>
      </w:tr>
      <w:tr w:rsidR="00671118" w:rsidRPr="00FB6DC9" w14:paraId="053E7E0F" w14:textId="77777777" w:rsidTr="00671118">
        <w:tc>
          <w:tcPr>
            <w:cnfStyle w:val="001000000000" w:firstRow="0" w:lastRow="0" w:firstColumn="1" w:lastColumn="0" w:oddVBand="0" w:evenVBand="0" w:oddHBand="0" w:evenHBand="0" w:firstRowFirstColumn="0" w:firstRowLastColumn="0" w:lastRowFirstColumn="0" w:lastRowLastColumn="0"/>
            <w:tcW w:w="2265" w:type="dxa"/>
          </w:tcPr>
          <w:p w14:paraId="3FA853F0" w14:textId="77777777" w:rsidR="00671118" w:rsidRPr="00FB6DC9" w:rsidRDefault="00671118" w:rsidP="00671118">
            <w:pPr>
              <w:autoSpaceDE w:val="0"/>
              <w:autoSpaceDN w:val="0"/>
              <w:adjustRightInd w:val="0"/>
              <w:spacing w:line="360" w:lineRule="auto"/>
              <w:jc w:val="both"/>
              <w:rPr>
                <w:color w:val="000000"/>
              </w:rPr>
            </w:pPr>
            <w:r w:rsidRPr="00FB6DC9">
              <w:rPr>
                <w:color w:val="000000"/>
              </w:rPr>
              <w:t>Hughes; Kessler</w:t>
            </w:r>
          </w:p>
        </w:tc>
        <w:tc>
          <w:tcPr>
            <w:tcW w:w="707" w:type="dxa"/>
          </w:tcPr>
          <w:p w14:paraId="37A8E2BF" w14:textId="77777777" w:rsidR="00671118" w:rsidRPr="00FB6DC9" w:rsidRDefault="00671118" w:rsidP="0067111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2014</w:t>
            </w:r>
          </w:p>
        </w:tc>
        <w:tc>
          <w:tcPr>
            <w:tcW w:w="6095" w:type="dxa"/>
          </w:tcPr>
          <w:p w14:paraId="650F9AF1" w14:textId="77777777" w:rsidR="00671118" w:rsidRPr="00FB6DC9" w:rsidRDefault="00671118" w:rsidP="0067111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1.Os recursos de RWE devem convergir em uma plataforma</w:t>
            </w:r>
          </w:p>
          <w:p w14:paraId="22B7FC6C" w14:textId="77777777" w:rsidR="00671118" w:rsidRPr="00FB6DC9" w:rsidRDefault="00671118" w:rsidP="0067111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2. Foco restrito em áreas e mercados terapêuticos específicos mostra o valor diferencial da RWE</w:t>
            </w:r>
          </w:p>
          <w:p w14:paraId="075B9228" w14:textId="77777777" w:rsidR="00671118" w:rsidRPr="00FB6DC9" w:rsidRDefault="00671118" w:rsidP="0067111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3. As empresas devem promover, ampliar e aplicar o valor da RWE</w:t>
            </w:r>
          </w:p>
          <w:p w14:paraId="5F02B09E" w14:textId="77777777" w:rsidR="00671118" w:rsidRPr="00FB6DC9" w:rsidRDefault="00671118" w:rsidP="0067111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4. Acelerar é um objetivo</w:t>
            </w:r>
          </w:p>
        </w:tc>
      </w:tr>
      <w:tr w:rsidR="00671118" w:rsidRPr="00FB6DC9" w14:paraId="2399C127" w14:textId="77777777" w:rsidTr="0067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976C510" w14:textId="77777777" w:rsidR="00671118" w:rsidRPr="00FB6DC9" w:rsidRDefault="00671118" w:rsidP="00671118">
            <w:pPr>
              <w:autoSpaceDE w:val="0"/>
              <w:autoSpaceDN w:val="0"/>
              <w:adjustRightInd w:val="0"/>
              <w:spacing w:line="360" w:lineRule="auto"/>
              <w:jc w:val="both"/>
              <w:rPr>
                <w:color w:val="000000"/>
              </w:rPr>
            </w:pPr>
            <w:r w:rsidRPr="00FB6DC9">
              <w:rPr>
                <w:color w:val="000000"/>
              </w:rPr>
              <w:t>Berger et al.</w:t>
            </w:r>
          </w:p>
        </w:tc>
        <w:tc>
          <w:tcPr>
            <w:tcW w:w="707" w:type="dxa"/>
          </w:tcPr>
          <w:p w14:paraId="6C72D8D1" w14:textId="77777777" w:rsidR="00671118" w:rsidRPr="00FB6DC9" w:rsidRDefault="00671118" w:rsidP="0067111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2015</w:t>
            </w:r>
          </w:p>
        </w:tc>
        <w:tc>
          <w:tcPr>
            <w:tcW w:w="6095" w:type="dxa"/>
          </w:tcPr>
          <w:p w14:paraId="0CF4BA3F" w14:textId="77777777" w:rsidR="00671118" w:rsidRPr="00FB6DC9" w:rsidRDefault="00671118" w:rsidP="0067111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 xml:space="preserve">O potencial de sucesso do </w:t>
            </w:r>
            <w:r w:rsidRPr="00FB6DC9">
              <w:rPr>
                <w:i/>
                <w:iCs/>
                <w:color w:val="000000"/>
              </w:rPr>
              <w:t>big data</w:t>
            </w:r>
            <w:r w:rsidRPr="00FB6DC9">
              <w:rPr>
                <w:color w:val="000000"/>
              </w:rPr>
              <w:t xml:space="preserve"> para melhorar a assistência médica depende do desenvolvimento de políticas adequadas, especialmente relativo a abertura dos dados, bem como sua qualidade</w:t>
            </w:r>
          </w:p>
        </w:tc>
      </w:tr>
      <w:tr w:rsidR="00671118" w:rsidRPr="00FB6DC9" w14:paraId="75CAC0C2" w14:textId="77777777" w:rsidTr="00671118">
        <w:tc>
          <w:tcPr>
            <w:cnfStyle w:val="001000000000" w:firstRow="0" w:lastRow="0" w:firstColumn="1" w:lastColumn="0" w:oddVBand="0" w:evenVBand="0" w:oddHBand="0" w:evenHBand="0" w:firstRowFirstColumn="0" w:firstRowLastColumn="0" w:lastRowFirstColumn="0" w:lastRowLastColumn="0"/>
            <w:tcW w:w="2265" w:type="dxa"/>
          </w:tcPr>
          <w:p w14:paraId="5C93CCD5" w14:textId="77777777" w:rsidR="00671118" w:rsidRPr="00FB6DC9" w:rsidRDefault="00671118" w:rsidP="00671118">
            <w:pPr>
              <w:autoSpaceDE w:val="0"/>
              <w:autoSpaceDN w:val="0"/>
              <w:adjustRightInd w:val="0"/>
              <w:spacing w:line="360" w:lineRule="auto"/>
              <w:jc w:val="both"/>
              <w:rPr>
                <w:color w:val="000000"/>
              </w:rPr>
            </w:pPr>
            <w:r w:rsidRPr="00FB6DC9">
              <w:rPr>
                <w:color w:val="000000"/>
              </w:rPr>
              <w:t>Ronicke; Ruhl; Solbach</w:t>
            </w:r>
          </w:p>
        </w:tc>
        <w:tc>
          <w:tcPr>
            <w:tcW w:w="707" w:type="dxa"/>
          </w:tcPr>
          <w:p w14:paraId="2D25F526" w14:textId="77777777" w:rsidR="00671118" w:rsidRPr="00FB6DC9" w:rsidRDefault="00671118" w:rsidP="0067111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2015</w:t>
            </w:r>
          </w:p>
        </w:tc>
        <w:tc>
          <w:tcPr>
            <w:tcW w:w="6095" w:type="dxa"/>
          </w:tcPr>
          <w:p w14:paraId="243A909E" w14:textId="77777777" w:rsidR="00671118" w:rsidRPr="00FB6DC9" w:rsidRDefault="00671118" w:rsidP="0067111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As empresas precisam desenvolver estratégias específicas para a RWE, seja na condução ou no incentivo para crescimento</w:t>
            </w:r>
          </w:p>
        </w:tc>
      </w:tr>
      <w:tr w:rsidR="00671118" w:rsidRPr="00FB6DC9" w14:paraId="45B4A6D8" w14:textId="77777777" w:rsidTr="0067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E51B7A0" w14:textId="77777777" w:rsidR="00671118" w:rsidRPr="00FB6DC9" w:rsidRDefault="00671118" w:rsidP="00671118">
            <w:pPr>
              <w:autoSpaceDE w:val="0"/>
              <w:autoSpaceDN w:val="0"/>
              <w:adjustRightInd w:val="0"/>
              <w:spacing w:line="360" w:lineRule="auto"/>
              <w:jc w:val="both"/>
              <w:rPr>
                <w:color w:val="000000"/>
                <w:lang w:val="en-US"/>
              </w:rPr>
            </w:pPr>
            <w:r w:rsidRPr="00FB6DC9">
              <w:rPr>
                <w:color w:val="000000"/>
                <w:lang w:val="en-US"/>
              </w:rPr>
              <w:t>GSK U.S.</w:t>
            </w:r>
          </w:p>
          <w:p w14:paraId="1FFE7DB9" w14:textId="77777777" w:rsidR="00671118" w:rsidRPr="00FB6DC9" w:rsidRDefault="00671118" w:rsidP="00671118">
            <w:pPr>
              <w:autoSpaceDE w:val="0"/>
              <w:autoSpaceDN w:val="0"/>
              <w:adjustRightInd w:val="0"/>
              <w:spacing w:line="360" w:lineRule="auto"/>
              <w:jc w:val="both"/>
              <w:rPr>
                <w:color w:val="000000"/>
                <w:lang w:val="en-US"/>
              </w:rPr>
            </w:pPr>
            <w:r w:rsidRPr="00FB6DC9">
              <w:rPr>
                <w:color w:val="000000"/>
                <w:lang w:val="en-US"/>
              </w:rPr>
              <w:t>Public Policy (KHOSLA et al.)</w:t>
            </w:r>
          </w:p>
        </w:tc>
        <w:tc>
          <w:tcPr>
            <w:tcW w:w="707" w:type="dxa"/>
          </w:tcPr>
          <w:p w14:paraId="0129DAC8" w14:textId="77777777" w:rsidR="00671118" w:rsidRPr="00FB6DC9" w:rsidRDefault="00671118" w:rsidP="0067111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2018</w:t>
            </w:r>
          </w:p>
        </w:tc>
        <w:tc>
          <w:tcPr>
            <w:tcW w:w="6095" w:type="dxa"/>
          </w:tcPr>
          <w:p w14:paraId="3DBAE374" w14:textId="77777777" w:rsidR="00671118" w:rsidRPr="00FB6DC9" w:rsidRDefault="00671118" w:rsidP="0067111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 xml:space="preserve">A comunicação proativa do RWE poderá melhorar a assistência médica, mas a definição dos padrões robustos de pesquisa é necessária orientação regulatória </w:t>
            </w:r>
          </w:p>
        </w:tc>
      </w:tr>
      <w:tr w:rsidR="00671118" w:rsidRPr="00FB6DC9" w14:paraId="68910FDC" w14:textId="77777777" w:rsidTr="00671118">
        <w:trPr>
          <w:trHeight w:val="1158"/>
        </w:trPr>
        <w:tc>
          <w:tcPr>
            <w:cnfStyle w:val="001000000000" w:firstRow="0" w:lastRow="0" w:firstColumn="1" w:lastColumn="0" w:oddVBand="0" w:evenVBand="0" w:oddHBand="0" w:evenHBand="0" w:firstRowFirstColumn="0" w:firstRowLastColumn="0" w:lastRowFirstColumn="0" w:lastRowLastColumn="0"/>
            <w:tcW w:w="2265" w:type="dxa"/>
          </w:tcPr>
          <w:p w14:paraId="3E717945" w14:textId="77777777" w:rsidR="00671118" w:rsidRPr="00FB6DC9" w:rsidRDefault="00671118" w:rsidP="00671118">
            <w:pPr>
              <w:autoSpaceDE w:val="0"/>
              <w:autoSpaceDN w:val="0"/>
              <w:adjustRightInd w:val="0"/>
              <w:spacing w:line="360" w:lineRule="auto"/>
              <w:jc w:val="both"/>
              <w:rPr>
                <w:color w:val="000000"/>
              </w:rPr>
            </w:pPr>
            <w:r w:rsidRPr="00FB6DC9">
              <w:rPr>
                <w:color w:val="000000"/>
              </w:rPr>
              <w:t>Galson; Simon</w:t>
            </w:r>
          </w:p>
        </w:tc>
        <w:tc>
          <w:tcPr>
            <w:tcW w:w="707" w:type="dxa"/>
          </w:tcPr>
          <w:p w14:paraId="22462CE0" w14:textId="77777777" w:rsidR="00671118" w:rsidRPr="00FB6DC9" w:rsidRDefault="00671118" w:rsidP="0067111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2015</w:t>
            </w:r>
          </w:p>
        </w:tc>
        <w:tc>
          <w:tcPr>
            <w:tcW w:w="6095" w:type="dxa"/>
          </w:tcPr>
          <w:p w14:paraId="79345AEC" w14:textId="77777777" w:rsidR="00671118" w:rsidRPr="00FB6DC9" w:rsidRDefault="00671118" w:rsidP="0067111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A geração de RWE deve ser impulsionada pelas necessidades de assistência médica pelos tomadores de decisão. A integração da pesquisa clínica com a prática clínica deve ser facilitada para melhorar os cuidados de saúde</w:t>
            </w:r>
          </w:p>
        </w:tc>
      </w:tr>
      <w:tr w:rsidR="00671118" w:rsidRPr="00FB6DC9" w14:paraId="3D576206" w14:textId="77777777" w:rsidTr="0067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1A5C24" w14:textId="77777777" w:rsidR="00671118" w:rsidRPr="00FB6DC9" w:rsidRDefault="00671118" w:rsidP="00671118">
            <w:pPr>
              <w:autoSpaceDE w:val="0"/>
              <w:autoSpaceDN w:val="0"/>
              <w:adjustRightInd w:val="0"/>
              <w:spacing w:line="360" w:lineRule="auto"/>
              <w:jc w:val="both"/>
              <w:rPr>
                <w:color w:val="000000"/>
              </w:rPr>
            </w:pPr>
            <w:r w:rsidRPr="00FB6DC9">
              <w:rPr>
                <w:color w:val="000000"/>
              </w:rPr>
              <w:t>Quintiles IMS</w:t>
            </w:r>
          </w:p>
        </w:tc>
        <w:tc>
          <w:tcPr>
            <w:tcW w:w="707" w:type="dxa"/>
          </w:tcPr>
          <w:p w14:paraId="2E4D962A" w14:textId="77777777" w:rsidR="00671118" w:rsidRPr="00FB6DC9" w:rsidRDefault="00671118" w:rsidP="0067111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2017</w:t>
            </w:r>
          </w:p>
        </w:tc>
        <w:tc>
          <w:tcPr>
            <w:tcW w:w="6095" w:type="dxa"/>
          </w:tcPr>
          <w:p w14:paraId="71868EDD" w14:textId="77777777" w:rsidR="00671118" w:rsidRPr="00FB6DC9" w:rsidRDefault="00671118" w:rsidP="0067111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i/>
                <w:iCs/>
                <w:color w:val="000000"/>
              </w:rPr>
              <w:t>Big data</w:t>
            </w:r>
            <w:r w:rsidRPr="00FB6DC9">
              <w:rPr>
                <w:color w:val="000000"/>
              </w:rPr>
              <w:t xml:space="preserve"> com uma abordagem analítica e estratégica nas colaborações gerarão as melhores ideias com maior</w:t>
            </w:r>
          </w:p>
          <w:p w14:paraId="5223AAAC" w14:textId="77777777" w:rsidR="00671118" w:rsidRPr="00FB6DC9" w:rsidRDefault="00671118" w:rsidP="0067111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Transparência.</w:t>
            </w:r>
          </w:p>
        </w:tc>
      </w:tr>
    </w:tbl>
    <w:p w14:paraId="5C585C57" w14:textId="77777777" w:rsidR="00671118" w:rsidRPr="00FB6DC9" w:rsidRDefault="00671118" w:rsidP="00671118">
      <w:pPr>
        <w:autoSpaceDE w:val="0"/>
        <w:autoSpaceDN w:val="0"/>
        <w:adjustRightInd w:val="0"/>
        <w:spacing w:line="360" w:lineRule="auto"/>
        <w:jc w:val="both"/>
        <w:rPr>
          <w:rFonts w:eastAsia="Calibri"/>
          <w:color w:val="000000"/>
        </w:rPr>
      </w:pPr>
    </w:p>
    <w:p w14:paraId="44DB5F7B" w14:textId="77777777" w:rsidR="00671118" w:rsidRPr="00FB6DC9" w:rsidRDefault="00671118" w:rsidP="003A4942">
      <w:pPr>
        <w:spacing w:after="160" w:line="360" w:lineRule="auto"/>
        <w:ind w:firstLine="708"/>
        <w:jc w:val="both"/>
        <w:rPr>
          <w:rFonts w:eastAsia="Calibri"/>
          <w:color w:val="000000"/>
        </w:rPr>
      </w:pPr>
      <w:r w:rsidRPr="00FB6DC9">
        <w:rPr>
          <w:rFonts w:eastAsia="Calibri"/>
          <w:color w:val="000000"/>
        </w:rPr>
        <w:t>A observação contínua da epidemiologia da doença, padrões de tratamento e resultados no mundo real podem ajudar a priorizar e agilizar o desenvolvimento de novos medicamentos, com o potencial para acelerar a geração de evidências e apoiar a expansão da indicação de bula para produtos específicos. Todas as fases do desenvolvimento de medicamentos podem se beneficiar através da observação do mundo real (KHOSLA et al.).</w:t>
      </w:r>
    </w:p>
    <w:p w14:paraId="2EEABE69" w14:textId="34367043" w:rsidR="00671118" w:rsidRPr="00FB6DC9" w:rsidRDefault="00671118" w:rsidP="003A4942">
      <w:pPr>
        <w:spacing w:after="160" w:line="360" w:lineRule="auto"/>
        <w:ind w:firstLine="708"/>
        <w:jc w:val="both"/>
        <w:rPr>
          <w:rFonts w:eastAsia="Calibri"/>
          <w:color w:val="000000"/>
        </w:rPr>
      </w:pPr>
      <w:r w:rsidRPr="00FB6DC9">
        <w:rPr>
          <w:rFonts w:eastAsia="Calibri"/>
          <w:color w:val="000000"/>
        </w:rPr>
        <w:t xml:space="preserve">O quadro </w:t>
      </w:r>
      <w:r w:rsidR="00787381">
        <w:rPr>
          <w:rFonts w:eastAsia="Calibri"/>
          <w:color w:val="000000"/>
        </w:rPr>
        <w:t>5</w:t>
      </w:r>
      <w:r w:rsidRPr="00FB6DC9">
        <w:rPr>
          <w:rFonts w:eastAsia="Calibri"/>
          <w:color w:val="000000"/>
        </w:rPr>
        <w:t xml:space="preserve"> a seguir demonstra a necessidade de evidências durante todo o ciclo de vida de um produto.</w:t>
      </w:r>
    </w:p>
    <w:p w14:paraId="7E979BFB" w14:textId="686C7B66" w:rsidR="00671118" w:rsidRDefault="00671118" w:rsidP="00671118">
      <w:pPr>
        <w:spacing w:after="160" w:line="360" w:lineRule="auto"/>
        <w:jc w:val="both"/>
        <w:rPr>
          <w:rFonts w:eastAsia="Calibri"/>
          <w:color w:val="000000"/>
        </w:rPr>
      </w:pPr>
    </w:p>
    <w:p w14:paraId="24C6E42E" w14:textId="7D2C704E" w:rsidR="00787381" w:rsidRDefault="00787381" w:rsidP="00671118">
      <w:pPr>
        <w:spacing w:after="160" w:line="360" w:lineRule="auto"/>
        <w:jc w:val="both"/>
        <w:rPr>
          <w:rFonts w:eastAsia="Calibri"/>
          <w:color w:val="000000"/>
        </w:rPr>
      </w:pPr>
    </w:p>
    <w:p w14:paraId="2CDD57FF" w14:textId="77777777" w:rsidR="00787381" w:rsidRPr="00FB6DC9" w:rsidRDefault="00787381" w:rsidP="00671118">
      <w:pPr>
        <w:spacing w:after="160" w:line="360" w:lineRule="auto"/>
        <w:jc w:val="both"/>
        <w:rPr>
          <w:rFonts w:eastAsia="Calibri"/>
          <w:color w:val="000000"/>
        </w:rPr>
      </w:pPr>
    </w:p>
    <w:p w14:paraId="1947E439" w14:textId="1401648C" w:rsidR="00671118" w:rsidRPr="00FB6DC9" w:rsidRDefault="00671118" w:rsidP="00671118">
      <w:pPr>
        <w:spacing w:after="160" w:line="360" w:lineRule="auto"/>
        <w:jc w:val="both"/>
        <w:rPr>
          <w:rFonts w:eastAsia="Calibri"/>
          <w:b/>
          <w:bCs/>
          <w:color w:val="000000"/>
        </w:rPr>
      </w:pPr>
      <w:r w:rsidRPr="00FB6DC9">
        <w:rPr>
          <w:rFonts w:eastAsia="Calibri"/>
          <w:b/>
          <w:bCs/>
          <w:color w:val="000000"/>
        </w:rPr>
        <w:t xml:space="preserve">Quadro </w:t>
      </w:r>
      <w:r w:rsidR="00787381">
        <w:rPr>
          <w:rFonts w:eastAsia="Calibri"/>
          <w:b/>
          <w:bCs/>
          <w:color w:val="000000"/>
        </w:rPr>
        <w:t>5</w:t>
      </w:r>
      <w:r w:rsidRPr="00FB6DC9">
        <w:rPr>
          <w:rFonts w:eastAsia="Calibri"/>
          <w:b/>
          <w:bCs/>
          <w:color w:val="000000"/>
        </w:rPr>
        <w:t xml:space="preserve"> – Necessidade de evidências durante o ciclo de vida de uma tecnologia.</w:t>
      </w:r>
    </w:p>
    <w:tbl>
      <w:tblPr>
        <w:tblStyle w:val="GridTable4-Accent11"/>
        <w:tblW w:w="0" w:type="auto"/>
        <w:tblLook w:val="04A0" w:firstRow="1" w:lastRow="0" w:firstColumn="1" w:lastColumn="0" w:noHBand="0" w:noVBand="1"/>
      </w:tblPr>
      <w:tblGrid>
        <w:gridCol w:w="2937"/>
        <w:gridCol w:w="5557"/>
      </w:tblGrid>
      <w:tr w:rsidR="00671118" w:rsidRPr="00FB6DC9" w14:paraId="73E9DF5C" w14:textId="77777777" w:rsidTr="00671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8EAADB"/>
          </w:tcPr>
          <w:p w14:paraId="760B11E1" w14:textId="77777777" w:rsidR="00671118" w:rsidRPr="00FB6DC9" w:rsidRDefault="00671118" w:rsidP="00671118">
            <w:pPr>
              <w:spacing w:line="360" w:lineRule="auto"/>
              <w:jc w:val="both"/>
              <w:rPr>
                <w:color w:val="000000"/>
              </w:rPr>
            </w:pPr>
            <w:r w:rsidRPr="00FB6DC9">
              <w:rPr>
                <w:color w:val="000000"/>
              </w:rPr>
              <w:t xml:space="preserve">Proposta </w:t>
            </w:r>
          </w:p>
        </w:tc>
        <w:tc>
          <w:tcPr>
            <w:tcW w:w="5947" w:type="dxa"/>
            <w:shd w:val="clear" w:color="auto" w:fill="8EAADB"/>
          </w:tcPr>
          <w:p w14:paraId="21B9E744" w14:textId="77777777" w:rsidR="00671118" w:rsidRPr="00FB6DC9" w:rsidRDefault="00671118" w:rsidP="00671118">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FB6DC9">
              <w:rPr>
                <w:color w:val="000000"/>
              </w:rPr>
              <w:t>Evidência</w:t>
            </w:r>
          </w:p>
        </w:tc>
      </w:tr>
      <w:tr w:rsidR="00671118" w:rsidRPr="00FB6DC9" w14:paraId="159760AF" w14:textId="77777777" w:rsidTr="0067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E2ACD72" w14:textId="77777777" w:rsidR="00671118" w:rsidRPr="00FB6DC9" w:rsidRDefault="00671118" w:rsidP="00671118">
            <w:pPr>
              <w:spacing w:line="360" w:lineRule="auto"/>
              <w:jc w:val="both"/>
              <w:rPr>
                <w:color w:val="000000"/>
              </w:rPr>
            </w:pPr>
            <w:r w:rsidRPr="00FB6DC9">
              <w:rPr>
                <w:color w:val="000000"/>
              </w:rPr>
              <w:t>Perfil de produto de destino da forma</w:t>
            </w:r>
          </w:p>
        </w:tc>
        <w:tc>
          <w:tcPr>
            <w:tcW w:w="5947" w:type="dxa"/>
          </w:tcPr>
          <w:p w14:paraId="7B188685"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Entendendo necessidades e resultados não atendidos que são importantes para os pacientes.</w:t>
            </w:r>
          </w:p>
          <w:p w14:paraId="76EDA31C" w14:textId="77777777" w:rsidR="00671118" w:rsidRPr="00FB6DC9" w:rsidRDefault="00671118" w:rsidP="00671118">
            <w:pPr>
              <w:numPr>
                <w:ilvl w:val="0"/>
                <w:numId w:val="27"/>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Descrever o mercado potencial, que com decisões de preços leva a previsões ganhos futuros e informações que afetam o investimento em desenvolvimento</w:t>
            </w:r>
          </w:p>
        </w:tc>
      </w:tr>
      <w:tr w:rsidR="00671118" w:rsidRPr="00FB6DC9" w14:paraId="0AC76F38" w14:textId="77777777" w:rsidTr="00671118">
        <w:tc>
          <w:tcPr>
            <w:cnfStyle w:val="001000000000" w:firstRow="0" w:lastRow="0" w:firstColumn="1" w:lastColumn="0" w:oddVBand="0" w:evenVBand="0" w:oddHBand="0" w:evenHBand="0" w:firstRowFirstColumn="0" w:firstRowLastColumn="0" w:lastRowFirstColumn="0" w:lastRowLastColumn="0"/>
            <w:tcW w:w="3114" w:type="dxa"/>
          </w:tcPr>
          <w:p w14:paraId="6B64E89F" w14:textId="77777777" w:rsidR="00671118" w:rsidRPr="00FB6DC9" w:rsidRDefault="00671118" w:rsidP="00671118">
            <w:pPr>
              <w:spacing w:line="360" w:lineRule="auto"/>
              <w:jc w:val="both"/>
              <w:rPr>
                <w:color w:val="000000"/>
              </w:rPr>
            </w:pPr>
            <w:r w:rsidRPr="00FB6DC9">
              <w:rPr>
                <w:color w:val="000000"/>
              </w:rPr>
              <w:t>Desenho dos estudos de fase 3</w:t>
            </w:r>
          </w:p>
        </w:tc>
        <w:tc>
          <w:tcPr>
            <w:tcW w:w="5947" w:type="dxa"/>
          </w:tcPr>
          <w:p w14:paraId="193D0DCE"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RWE na população de pacientes, necessidade não atendida e padrão de atendimento.</w:t>
            </w:r>
          </w:p>
          <w:p w14:paraId="56475CFE" w14:textId="77777777" w:rsidR="00671118" w:rsidRPr="00FB6DC9" w:rsidRDefault="00671118" w:rsidP="00671118">
            <w:pPr>
              <w:numPr>
                <w:ilvl w:val="0"/>
                <w:numId w:val="2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Evidência em farmacologia, toxicologia e eficácia.</w:t>
            </w:r>
          </w:p>
        </w:tc>
      </w:tr>
      <w:tr w:rsidR="00671118" w:rsidRPr="00FB6DC9" w14:paraId="5DAB87A9" w14:textId="77777777" w:rsidTr="0067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0025CE3" w14:textId="77777777" w:rsidR="00671118" w:rsidRPr="00FB6DC9" w:rsidRDefault="00671118" w:rsidP="00671118">
            <w:pPr>
              <w:spacing w:line="360" w:lineRule="auto"/>
              <w:jc w:val="both"/>
              <w:rPr>
                <w:color w:val="000000"/>
              </w:rPr>
            </w:pPr>
            <w:r w:rsidRPr="00FB6DC9">
              <w:rPr>
                <w:color w:val="000000"/>
              </w:rPr>
              <w:t>Obter registro / aprovação</w:t>
            </w:r>
          </w:p>
        </w:tc>
        <w:tc>
          <w:tcPr>
            <w:tcW w:w="5947" w:type="dxa"/>
          </w:tcPr>
          <w:p w14:paraId="15B22405"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Dados pré-clínicos, toxicológicos e de química farmacêutica.</w:t>
            </w:r>
          </w:p>
          <w:p w14:paraId="6E1C8617" w14:textId="77777777" w:rsidR="00671118" w:rsidRPr="00FB6DC9" w:rsidRDefault="00671118" w:rsidP="00671118">
            <w:pPr>
              <w:numPr>
                <w:ilvl w:val="0"/>
                <w:numId w:val="31"/>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Dados robustos de eficácia e segurança.</w:t>
            </w:r>
          </w:p>
          <w:p w14:paraId="57511BFC" w14:textId="77777777" w:rsidR="00671118" w:rsidRPr="00FB6DC9" w:rsidRDefault="00671118" w:rsidP="00671118">
            <w:pPr>
              <w:numPr>
                <w:ilvl w:val="0"/>
                <w:numId w:val="31"/>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Estudos clínicos iniciais.</w:t>
            </w:r>
          </w:p>
        </w:tc>
      </w:tr>
      <w:tr w:rsidR="00671118" w:rsidRPr="00FB6DC9" w14:paraId="3859229A" w14:textId="77777777" w:rsidTr="00671118">
        <w:tc>
          <w:tcPr>
            <w:cnfStyle w:val="001000000000" w:firstRow="0" w:lastRow="0" w:firstColumn="1" w:lastColumn="0" w:oddVBand="0" w:evenVBand="0" w:oddHBand="0" w:evenHBand="0" w:firstRowFirstColumn="0" w:firstRowLastColumn="0" w:lastRowFirstColumn="0" w:lastRowLastColumn="0"/>
            <w:tcW w:w="3114" w:type="dxa"/>
          </w:tcPr>
          <w:p w14:paraId="18803491" w14:textId="77777777" w:rsidR="00671118" w:rsidRPr="00FB6DC9" w:rsidRDefault="00671118" w:rsidP="00671118">
            <w:pPr>
              <w:spacing w:line="360" w:lineRule="auto"/>
              <w:jc w:val="both"/>
              <w:rPr>
                <w:color w:val="000000"/>
              </w:rPr>
            </w:pPr>
            <w:r w:rsidRPr="00FB6DC9">
              <w:rPr>
                <w:color w:val="000000"/>
              </w:rPr>
              <w:t>Obtenha acesso e reembolso</w:t>
            </w:r>
          </w:p>
        </w:tc>
        <w:tc>
          <w:tcPr>
            <w:tcW w:w="5947" w:type="dxa"/>
          </w:tcPr>
          <w:p w14:paraId="096D4DCF"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RWE na população de pacientes, necessidade não atendida e ônus da doença.</w:t>
            </w:r>
          </w:p>
          <w:p w14:paraId="414EBB57" w14:textId="77777777" w:rsidR="00671118" w:rsidRPr="00FB6DC9" w:rsidRDefault="00671118" w:rsidP="00671118">
            <w:pPr>
              <w:numPr>
                <w:ilvl w:val="0"/>
                <w:numId w:val="3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RWE sobre eficácia comparativa e custos do comparador ou padrão de atendimento.</w:t>
            </w:r>
          </w:p>
          <w:p w14:paraId="0475DAD7" w14:textId="77777777" w:rsidR="00671118" w:rsidRPr="00FB6DC9" w:rsidRDefault="00671118" w:rsidP="00671118">
            <w:pPr>
              <w:numPr>
                <w:ilvl w:val="0"/>
                <w:numId w:val="3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FB6DC9">
              <w:rPr>
                <w:color w:val="000000"/>
              </w:rPr>
              <w:t>Modelos de custo-efetividade e impacto no orçamento.</w:t>
            </w:r>
          </w:p>
        </w:tc>
      </w:tr>
      <w:tr w:rsidR="00671118" w:rsidRPr="00FB6DC9" w14:paraId="65674625" w14:textId="77777777" w:rsidTr="0067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E914623" w14:textId="77777777" w:rsidR="00671118" w:rsidRPr="00FB6DC9" w:rsidRDefault="00671118" w:rsidP="00671118">
            <w:pPr>
              <w:spacing w:line="360" w:lineRule="auto"/>
              <w:jc w:val="both"/>
              <w:rPr>
                <w:color w:val="000000"/>
              </w:rPr>
            </w:pPr>
            <w:r w:rsidRPr="00FB6DC9">
              <w:rPr>
                <w:color w:val="000000"/>
              </w:rPr>
              <w:t>Manter o acesso e demonstrar valor continuado</w:t>
            </w:r>
          </w:p>
        </w:tc>
        <w:tc>
          <w:tcPr>
            <w:tcW w:w="5947" w:type="dxa"/>
          </w:tcPr>
          <w:p w14:paraId="363C7E8A"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RWE sobre eficácia clínica comparativa e custos.</w:t>
            </w:r>
          </w:p>
          <w:p w14:paraId="49CF3518" w14:textId="77777777" w:rsidR="00671118" w:rsidRPr="00FB6DC9" w:rsidRDefault="00671118" w:rsidP="00671118">
            <w:pPr>
              <w:numPr>
                <w:ilvl w:val="1"/>
                <w:numId w:val="20"/>
              </w:numPr>
              <w:spacing w:line="360" w:lineRule="auto"/>
              <w:ind w:left="360"/>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Dados de resultados a longo prazo.</w:t>
            </w:r>
          </w:p>
          <w:p w14:paraId="2D34C611" w14:textId="77777777" w:rsidR="00671118" w:rsidRPr="00FB6DC9" w:rsidRDefault="00671118" w:rsidP="00671118">
            <w:pPr>
              <w:numPr>
                <w:ilvl w:val="1"/>
                <w:numId w:val="20"/>
              </w:numPr>
              <w:spacing w:line="360" w:lineRule="auto"/>
              <w:ind w:left="360"/>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Dados de segurança do paciente.</w:t>
            </w:r>
          </w:p>
          <w:p w14:paraId="5C9F46AD" w14:textId="77777777" w:rsidR="00671118" w:rsidRPr="00FB6DC9" w:rsidRDefault="00671118" w:rsidP="00671118">
            <w:pPr>
              <w:numPr>
                <w:ilvl w:val="1"/>
                <w:numId w:val="20"/>
              </w:numPr>
              <w:spacing w:line="360" w:lineRule="auto"/>
              <w:ind w:left="360"/>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FB6DC9">
              <w:rPr>
                <w:color w:val="000000"/>
              </w:rPr>
              <w:t xml:space="preserve"> Dados de adesão e utilização do paciente.</w:t>
            </w:r>
          </w:p>
        </w:tc>
      </w:tr>
    </w:tbl>
    <w:p w14:paraId="45FAD77A" w14:textId="77777777" w:rsidR="00671118" w:rsidRPr="00FB6DC9" w:rsidRDefault="00671118" w:rsidP="00671118">
      <w:pPr>
        <w:spacing w:after="160" w:line="360" w:lineRule="auto"/>
        <w:jc w:val="both"/>
        <w:rPr>
          <w:rFonts w:eastAsia="Calibri"/>
        </w:rPr>
      </w:pPr>
    </w:p>
    <w:p w14:paraId="43293B96" w14:textId="4E20EE65" w:rsidR="00671118" w:rsidRPr="00FB6DC9" w:rsidRDefault="00671118" w:rsidP="003A4942">
      <w:pPr>
        <w:spacing w:after="160" w:line="360" w:lineRule="auto"/>
        <w:ind w:firstLine="708"/>
        <w:jc w:val="both"/>
        <w:rPr>
          <w:rFonts w:eastAsia="Calibri"/>
        </w:rPr>
      </w:pPr>
      <w:r w:rsidRPr="00FB6DC9">
        <w:rPr>
          <w:rFonts w:eastAsia="Calibri"/>
        </w:rPr>
        <w:t xml:space="preserve">Quais os passos para desenvolver estudos de RWE de qualidade? No quadro </w:t>
      </w:r>
      <w:r w:rsidR="00787381">
        <w:rPr>
          <w:rFonts w:eastAsia="Calibri"/>
        </w:rPr>
        <w:t>6</w:t>
      </w:r>
      <w:r w:rsidRPr="00FB6DC9">
        <w:rPr>
          <w:rFonts w:eastAsia="Calibri"/>
        </w:rPr>
        <w:t xml:space="preserve"> seguem os passos para o desenvolvimento de um estudo de RWE com qualidade.</w:t>
      </w:r>
    </w:p>
    <w:p w14:paraId="1FDFC249" w14:textId="4285AE9F" w:rsidR="00671118" w:rsidRDefault="00671118" w:rsidP="00671118">
      <w:pPr>
        <w:spacing w:after="160" w:line="360" w:lineRule="auto"/>
        <w:jc w:val="both"/>
        <w:rPr>
          <w:rFonts w:eastAsia="Calibri"/>
        </w:rPr>
      </w:pPr>
    </w:p>
    <w:p w14:paraId="1D88F390" w14:textId="29F4A113" w:rsidR="00787381" w:rsidRDefault="00787381" w:rsidP="00671118">
      <w:pPr>
        <w:spacing w:after="160" w:line="360" w:lineRule="auto"/>
        <w:jc w:val="both"/>
        <w:rPr>
          <w:rFonts w:eastAsia="Calibri"/>
        </w:rPr>
      </w:pPr>
    </w:p>
    <w:p w14:paraId="28D40D80" w14:textId="77777777" w:rsidR="00787381" w:rsidRPr="00FB6DC9" w:rsidRDefault="00787381" w:rsidP="00671118">
      <w:pPr>
        <w:spacing w:after="160" w:line="360" w:lineRule="auto"/>
        <w:jc w:val="both"/>
        <w:rPr>
          <w:rFonts w:eastAsia="Calibri"/>
        </w:rPr>
      </w:pPr>
    </w:p>
    <w:p w14:paraId="662D275C" w14:textId="587AB817" w:rsidR="00671118" w:rsidRPr="00FB6DC9" w:rsidRDefault="00671118" w:rsidP="00671118">
      <w:pPr>
        <w:spacing w:after="160" w:line="360" w:lineRule="auto"/>
        <w:jc w:val="both"/>
        <w:rPr>
          <w:rFonts w:eastAsia="Calibri"/>
          <w:b/>
          <w:bCs/>
        </w:rPr>
      </w:pPr>
      <w:r w:rsidRPr="00FB6DC9">
        <w:rPr>
          <w:rFonts w:eastAsia="Calibri"/>
          <w:b/>
          <w:bCs/>
        </w:rPr>
        <w:t xml:space="preserve">Quadro </w:t>
      </w:r>
      <w:r w:rsidR="00787381">
        <w:rPr>
          <w:rFonts w:eastAsia="Calibri"/>
          <w:b/>
          <w:bCs/>
        </w:rPr>
        <w:t>6</w:t>
      </w:r>
      <w:r w:rsidRPr="00FB6DC9">
        <w:rPr>
          <w:rFonts w:eastAsia="Calibri"/>
          <w:b/>
          <w:bCs/>
        </w:rPr>
        <w:t xml:space="preserve"> – Etapas da jornada do Estudo de RWE e considerações para desenvolvimento do estudo com qualidade.</w:t>
      </w:r>
    </w:p>
    <w:tbl>
      <w:tblPr>
        <w:tblStyle w:val="GridTable4-Accent11"/>
        <w:tblW w:w="0" w:type="auto"/>
        <w:tblLook w:val="04A0" w:firstRow="1" w:lastRow="0" w:firstColumn="1" w:lastColumn="0" w:noHBand="0" w:noVBand="1"/>
      </w:tblPr>
      <w:tblGrid>
        <w:gridCol w:w="3182"/>
        <w:gridCol w:w="5312"/>
      </w:tblGrid>
      <w:tr w:rsidR="00671118" w:rsidRPr="00FB6DC9" w14:paraId="5DEE3313" w14:textId="77777777" w:rsidTr="00671118">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3397" w:type="dxa"/>
            <w:shd w:val="clear" w:color="auto" w:fill="8EAADB"/>
          </w:tcPr>
          <w:p w14:paraId="6D4BE124" w14:textId="77777777" w:rsidR="00671118" w:rsidRPr="00FB6DC9" w:rsidRDefault="00671118" w:rsidP="00671118">
            <w:pPr>
              <w:spacing w:line="360" w:lineRule="auto"/>
            </w:pPr>
            <w:r w:rsidRPr="00FB6DC9">
              <w:t>Etapas da jornada do estudo RWE</w:t>
            </w:r>
          </w:p>
        </w:tc>
        <w:tc>
          <w:tcPr>
            <w:tcW w:w="5664" w:type="dxa"/>
            <w:shd w:val="clear" w:color="auto" w:fill="8EAADB"/>
          </w:tcPr>
          <w:p w14:paraId="1309116D" w14:textId="77777777" w:rsidR="00671118" w:rsidRPr="00FB6DC9" w:rsidRDefault="00671118" w:rsidP="00671118">
            <w:pPr>
              <w:spacing w:line="360" w:lineRule="auto"/>
              <w:jc w:val="center"/>
              <w:cnfStyle w:val="100000000000" w:firstRow="1" w:lastRow="0" w:firstColumn="0" w:lastColumn="0" w:oddVBand="0" w:evenVBand="0" w:oddHBand="0" w:evenHBand="0" w:firstRowFirstColumn="0" w:firstRowLastColumn="0" w:lastRowFirstColumn="0" w:lastRowLastColumn="0"/>
            </w:pPr>
            <w:r w:rsidRPr="00FB6DC9">
              <w:t>Considerações</w:t>
            </w:r>
          </w:p>
        </w:tc>
      </w:tr>
      <w:tr w:rsidR="00671118" w:rsidRPr="00FB6DC9" w14:paraId="4991E676" w14:textId="77777777" w:rsidTr="0067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62A4DC0" w14:textId="77777777" w:rsidR="00671118" w:rsidRPr="00FB6DC9" w:rsidRDefault="00671118" w:rsidP="00671118">
            <w:pPr>
              <w:spacing w:line="360" w:lineRule="auto"/>
              <w:jc w:val="both"/>
            </w:pPr>
            <w:r w:rsidRPr="00FB6DC9">
              <w:t>Planejamento</w:t>
            </w:r>
          </w:p>
        </w:tc>
        <w:tc>
          <w:tcPr>
            <w:tcW w:w="5664" w:type="dxa"/>
          </w:tcPr>
          <w:p w14:paraId="6FF57D2A"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pPr>
            <w:r w:rsidRPr="00FB6DC9">
              <w:t>• Entender as necessidades dos decisores de saúde locais.</w:t>
            </w:r>
          </w:p>
          <w:p w14:paraId="37CF99DD"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pPr>
            <w:r w:rsidRPr="00FB6DC9">
              <w:t>• Colaborar com experts externos para aconselhamento sobre os desenhos dos estudos e acesso a dados de mundo real.</w:t>
            </w:r>
          </w:p>
          <w:p w14:paraId="324E7273"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pPr>
            <w:r w:rsidRPr="00FB6DC9">
              <w:t>• Gerar estudo de vida real compreensivo para acompanhar as estratégias da empresa e as necessidades locais de evidências.</w:t>
            </w:r>
          </w:p>
          <w:p w14:paraId="06898457"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pPr>
            <w:r w:rsidRPr="00FB6DC9">
              <w:t>• Esteja ciente das limitações locais: restrições no orçamento, tempo, exposição a medicamentos; logística do estudo; disponibilidade/disposição de pacientes e pesquisadores para participar.</w:t>
            </w:r>
          </w:p>
          <w:p w14:paraId="64A6B9EC"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pPr>
            <w:r w:rsidRPr="00FB6DC9">
              <w:t>• Determine se são necessários dados de um único país ou de vários países.</w:t>
            </w:r>
          </w:p>
          <w:p w14:paraId="6B37750A"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pPr>
            <w:r w:rsidRPr="00FB6DC9">
              <w:t>• Definir a questão de pesquisa a priori, seguindo os critérios FINER (REGATIERI; ALVES; ROCHA, 2019) e PICO (RIVA et al., 2012).</w:t>
            </w:r>
          </w:p>
        </w:tc>
      </w:tr>
      <w:tr w:rsidR="00671118" w:rsidRPr="00FB6DC9" w14:paraId="240D87BF" w14:textId="77777777" w:rsidTr="00671118">
        <w:tc>
          <w:tcPr>
            <w:cnfStyle w:val="001000000000" w:firstRow="0" w:lastRow="0" w:firstColumn="1" w:lastColumn="0" w:oddVBand="0" w:evenVBand="0" w:oddHBand="0" w:evenHBand="0" w:firstRowFirstColumn="0" w:firstRowLastColumn="0" w:lastRowFirstColumn="0" w:lastRowLastColumn="0"/>
            <w:tcW w:w="3397" w:type="dxa"/>
          </w:tcPr>
          <w:p w14:paraId="7D431102" w14:textId="77777777" w:rsidR="00671118" w:rsidRPr="00FB6DC9" w:rsidRDefault="00671118" w:rsidP="00671118">
            <w:pPr>
              <w:spacing w:line="360" w:lineRule="auto"/>
              <w:jc w:val="both"/>
            </w:pPr>
            <w:r w:rsidRPr="00FB6DC9">
              <w:t>Geração dos dados</w:t>
            </w:r>
          </w:p>
        </w:tc>
        <w:tc>
          <w:tcPr>
            <w:tcW w:w="5664" w:type="dxa"/>
          </w:tcPr>
          <w:p w14:paraId="10F07942"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Selecione o desenho do estudo e a fonte de dados mais adequados para abordar a questão de pesquisa, considerando os pontos fortes e as limitações de cada um:</w:t>
            </w:r>
          </w:p>
          <w:p w14:paraId="74689272"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coleta de dados primária versus secundária;</w:t>
            </w:r>
          </w:p>
          <w:p w14:paraId="6AC70577"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abordagem prospectiva, retrospectiva ou híbrida;</w:t>
            </w:r>
          </w:p>
          <w:p w14:paraId="70298F5A"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randomização - descritivo versus analítico;</w:t>
            </w:r>
          </w:p>
          <w:p w14:paraId="056D69E8"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estudo de coorte, caso-controle ou transversal.</w:t>
            </w:r>
          </w:p>
          <w:p w14:paraId="5184A6A6"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Avaliar os benefícios, riscos e consequências da escolha do desenho do estudo e fonte de dados para os tomadores de decisão da área de saúde.</w:t>
            </w:r>
          </w:p>
          <w:p w14:paraId="68F9FF13"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xml:space="preserve">• Definir claramente os objetivos ou </w:t>
            </w:r>
            <w:r w:rsidRPr="00FB6DC9">
              <w:rPr>
                <w:i/>
                <w:iCs/>
              </w:rPr>
              <w:t>endpoints</w:t>
            </w:r>
            <w:r w:rsidRPr="00FB6DC9">
              <w:t xml:space="preserve"> primários e secundários.</w:t>
            </w:r>
          </w:p>
          <w:p w14:paraId="59BB74C3"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Identificar as fontes potenciais de viés ou fatores de confusão e medidas para minimizá-los.</w:t>
            </w:r>
          </w:p>
          <w:p w14:paraId="077B3628"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Avaliar o potencial de dados ausentes.</w:t>
            </w:r>
          </w:p>
          <w:p w14:paraId="1CD963CA"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Treinar equipes e pesquisadores internos e externos do estudo.</w:t>
            </w:r>
          </w:p>
          <w:p w14:paraId="5AD60C41"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Avaliar a disponibilidade de recursos adequados para a coleta, gerenciamento e análise de dados.</w:t>
            </w:r>
          </w:p>
          <w:p w14:paraId="60A10B94"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Seguir os princípios de dados FAIR (WISE et al., 2019) quando apropriado.</w:t>
            </w:r>
          </w:p>
          <w:p w14:paraId="1D46112C" w14:textId="77777777" w:rsidR="00671118" w:rsidRPr="00FB6DC9" w:rsidRDefault="00671118" w:rsidP="00671118">
            <w:pPr>
              <w:spacing w:line="360" w:lineRule="auto"/>
              <w:jc w:val="both"/>
              <w:cnfStyle w:val="000000000000" w:firstRow="0" w:lastRow="0" w:firstColumn="0" w:lastColumn="0" w:oddVBand="0" w:evenVBand="0" w:oddHBand="0" w:evenHBand="0" w:firstRowFirstColumn="0" w:firstRowLastColumn="0" w:lastRowFirstColumn="0" w:lastRowLastColumn="0"/>
            </w:pPr>
            <w:r w:rsidRPr="00FB6DC9">
              <w:t>• Avaliar o monitoramento do local, a verificação dos dados de origem e os aspectos de qualidade nos dados primários.</w:t>
            </w:r>
          </w:p>
        </w:tc>
      </w:tr>
      <w:tr w:rsidR="00671118" w:rsidRPr="00FB6DC9" w14:paraId="54DAE248" w14:textId="77777777" w:rsidTr="0067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61D7E28" w14:textId="77777777" w:rsidR="00671118" w:rsidRPr="00FB6DC9" w:rsidRDefault="00671118" w:rsidP="00671118">
            <w:pPr>
              <w:spacing w:line="360" w:lineRule="auto"/>
              <w:jc w:val="both"/>
            </w:pPr>
            <w:r w:rsidRPr="00FB6DC9">
              <w:t>Comunicação</w:t>
            </w:r>
          </w:p>
        </w:tc>
        <w:tc>
          <w:tcPr>
            <w:tcW w:w="5664" w:type="dxa"/>
          </w:tcPr>
          <w:p w14:paraId="247DA138"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pPr>
            <w:r w:rsidRPr="00FB6DC9">
              <w:t>• Metodologia do relatório e fontes de dados.</w:t>
            </w:r>
          </w:p>
          <w:p w14:paraId="029EAF46"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pPr>
            <w:r w:rsidRPr="00FB6DC9">
              <w:t>• Garantir transparência na estratégia de publicações.</w:t>
            </w:r>
          </w:p>
          <w:p w14:paraId="1CB6C050"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pPr>
            <w:r w:rsidRPr="00FB6DC9">
              <w:t>• Comprometer-se com a publicação, independentemente dos resultados.</w:t>
            </w:r>
          </w:p>
          <w:p w14:paraId="29FC732A" w14:textId="77777777" w:rsidR="00671118" w:rsidRPr="00FB6DC9" w:rsidRDefault="00671118" w:rsidP="00671118">
            <w:pPr>
              <w:spacing w:line="360" w:lineRule="auto"/>
              <w:jc w:val="both"/>
              <w:cnfStyle w:val="000000100000" w:firstRow="0" w:lastRow="0" w:firstColumn="0" w:lastColumn="0" w:oddVBand="0" w:evenVBand="0" w:oddHBand="1" w:evenHBand="0" w:firstRowFirstColumn="0" w:firstRowLastColumn="0" w:lastRowFirstColumn="0" w:lastRowLastColumn="0"/>
            </w:pPr>
            <w:r w:rsidRPr="00FB6DC9">
              <w:t>• Seguir as diretrizes de melhores práticas, por exemplo, STROBE, MOOSE, RECORD</w:t>
            </w:r>
            <w:r w:rsidRPr="00FB6DC9">
              <w:rPr>
                <w:vertAlign w:val="superscript"/>
              </w:rPr>
              <w:t xml:space="preserve"> </w:t>
            </w:r>
            <w:r w:rsidRPr="00FB6DC9">
              <w:t xml:space="preserve">(VANDENBROUCKE et al., 2007; </w:t>
            </w:r>
            <w:r w:rsidRPr="00FB6DC9">
              <w:rPr>
                <w:noProof/>
              </w:rPr>
              <w:t>STROUP et al., 2000; BENCHIMOL et al., 2015</w:t>
            </w:r>
            <w:r w:rsidRPr="00FB6DC9">
              <w:t>).</w:t>
            </w:r>
          </w:p>
        </w:tc>
      </w:tr>
    </w:tbl>
    <w:p w14:paraId="6C27BDB1" w14:textId="77777777" w:rsidR="00671118" w:rsidRPr="00FB6DC9" w:rsidRDefault="00671118" w:rsidP="00671118">
      <w:pPr>
        <w:spacing w:after="160" w:line="360" w:lineRule="auto"/>
        <w:jc w:val="both"/>
        <w:rPr>
          <w:rFonts w:eastAsia="Calibri"/>
        </w:rPr>
      </w:pPr>
      <w:r w:rsidRPr="00FB6DC9">
        <w:rPr>
          <w:rFonts w:eastAsia="Calibri"/>
        </w:rPr>
        <w:t xml:space="preserve">Legenda: FAIR: </w:t>
      </w:r>
      <w:r w:rsidRPr="00FB6DC9">
        <w:rPr>
          <w:rFonts w:eastAsia="Calibri"/>
          <w:i/>
          <w:iCs/>
        </w:rPr>
        <w:t>findable, accessible, interoperable, reusable</w:t>
      </w:r>
      <w:r w:rsidRPr="00FB6DC9">
        <w:rPr>
          <w:rFonts w:eastAsia="Calibri"/>
        </w:rPr>
        <w:t xml:space="preserve"> (localizável, acessível, interoperável, reutilizável); FINER: </w:t>
      </w:r>
      <w:r w:rsidRPr="00FB6DC9">
        <w:rPr>
          <w:rFonts w:eastAsia="Calibri"/>
          <w:i/>
          <w:iCs/>
        </w:rPr>
        <w:t>Feasible to answer, Interesting, Novel, Ethical, Relevant</w:t>
      </w:r>
      <w:r w:rsidRPr="00FB6DC9">
        <w:rPr>
          <w:rFonts w:eastAsia="Calibri"/>
        </w:rPr>
        <w:t xml:space="preserve"> (Possível de responder, Interessante, Novela, Ética, Relevante); PICO: </w:t>
      </w:r>
      <w:r w:rsidRPr="00FB6DC9">
        <w:rPr>
          <w:rFonts w:eastAsia="Calibri"/>
          <w:i/>
          <w:iCs/>
        </w:rPr>
        <w:t>Patients, Intervention, Comparators, Outcomes</w:t>
      </w:r>
      <w:r w:rsidRPr="00FB6DC9">
        <w:rPr>
          <w:rFonts w:eastAsia="Calibri"/>
        </w:rPr>
        <w:t xml:space="preserve"> (Pacientes, Intervenção, Comparadores, Resultados); STROBE</w:t>
      </w:r>
      <w:r w:rsidRPr="00FB6DC9">
        <w:rPr>
          <w:rFonts w:eastAsia="Calibri"/>
          <w:i/>
          <w:iCs/>
        </w:rPr>
        <w:t xml:space="preserve">: Strengthening the Reporting of Observational studies in Epidemiology </w:t>
      </w:r>
      <w:r w:rsidRPr="00FB6DC9">
        <w:rPr>
          <w:rFonts w:eastAsia="Calibri"/>
        </w:rPr>
        <w:t xml:space="preserve">(Fortalecendo o relato de estudos observacionais em epidemiologia); MOOSE: </w:t>
      </w:r>
      <w:r w:rsidRPr="00FB6DC9">
        <w:rPr>
          <w:rFonts w:eastAsia="Calibri"/>
          <w:i/>
          <w:iCs/>
        </w:rPr>
        <w:t>Meta-analysis Of Observational Studies in Epidemiology</w:t>
      </w:r>
      <w:r w:rsidRPr="00FB6DC9">
        <w:rPr>
          <w:rFonts w:eastAsia="Calibri"/>
        </w:rPr>
        <w:t xml:space="preserve"> (Meta-análise de estudos observacionais em epidemiologia); RECORD:</w:t>
      </w:r>
      <w:r w:rsidRPr="00FB6DC9">
        <w:rPr>
          <w:rFonts w:eastAsia="Calibri"/>
          <w:i/>
          <w:iCs/>
        </w:rPr>
        <w:t xml:space="preserve"> Reporting of studies Conducted using Observational Routinely-collected health Data</w:t>
      </w:r>
      <w:r w:rsidRPr="00FB6DC9">
        <w:rPr>
          <w:rFonts w:eastAsia="Calibri"/>
        </w:rPr>
        <w:t xml:space="preserve"> (Relatório de Estudos Realizados usando Dados de Saúde coletados em rotina).</w:t>
      </w:r>
    </w:p>
    <w:p w14:paraId="4BA531D3" w14:textId="77777777" w:rsidR="00671118" w:rsidRPr="00FB6DC9" w:rsidRDefault="00671118" w:rsidP="00671118">
      <w:pPr>
        <w:spacing w:after="160" w:line="360" w:lineRule="auto"/>
        <w:jc w:val="both"/>
        <w:rPr>
          <w:rFonts w:eastAsia="Calibri"/>
        </w:rPr>
      </w:pPr>
    </w:p>
    <w:p w14:paraId="1B7555AE" w14:textId="77777777" w:rsidR="00671118" w:rsidRDefault="00671118" w:rsidP="003A4942">
      <w:pPr>
        <w:spacing w:after="160" w:line="360" w:lineRule="auto"/>
        <w:ind w:firstLine="708"/>
        <w:jc w:val="both"/>
        <w:rPr>
          <w:rFonts w:eastAsia="Calibri"/>
          <w:noProof/>
        </w:rPr>
      </w:pPr>
      <w:r w:rsidRPr="00FB6DC9">
        <w:rPr>
          <w:rFonts w:eastAsia="Calibri"/>
          <w:noProof/>
        </w:rPr>
        <w:t>Ainda temos um caminho a seguir em termos de consenso sobre o que é RWE, RWD, como desenvolver os estudos de maneira uniforme e com qualidade. Mas, já é uma tendência que vem sendo discutida como estudo complementar aos ensaios clínicos randomizados.</w:t>
      </w:r>
    </w:p>
    <w:p w14:paraId="7F64A882" w14:textId="77777777" w:rsidR="00671118" w:rsidRPr="00FB6DC9" w:rsidRDefault="00671118" w:rsidP="00671118">
      <w:pPr>
        <w:spacing w:after="160" w:line="360" w:lineRule="auto"/>
        <w:jc w:val="both"/>
        <w:rPr>
          <w:rFonts w:eastAsia="Calibri"/>
          <w:noProof/>
        </w:rPr>
      </w:pPr>
    </w:p>
    <w:p w14:paraId="53A17B30" w14:textId="77777777" w:rsidR="00671118" w:rsidRPr="00FB6DC9" w:rsidRDefault="00671118" w:rsidP="00671118">
      <w:pPr>
        <w:spacing w:after="160" w:line="360" w:lineRule="auto"/>
        <w:jc w:val="both"/>
        <w:rPr>
          <w:rFonts w:eastAsia="Calibri"/>
          <w:b/>
          <w:bCs/>
          <w:noProof/>
          <w:lang w:val="en-US"/>
        </w:rPr>
      </w:pPr>
      <w:r w:rsidRPr="00FB6DC9">
        <w:rPr>
          <w:rFonts w:eastAsia="Calibri"/>
          <w:b/>
          <w:bCs/>
          <w:noProof/>
          <w:lang w:val="en-US"/>
        </w:rPr>
        <w:t>R</w:t>
      </w:r>
      <w:r w:rsidRPr="00671118">
        <w:rPr>
          <w:rFonts w:eastAsia="Calibri"/>
          <w:b/>
          <w:bCs/>
          <w:noProof/>
          <w:lang w:val="en-US"/>
        </w:rPr>
        <w:t>efer</w:t>
      </w:r>
      <w:r>
        <w:rPr>
          <w:rFonts w:eastAsia="Calibri"/>
          <w:b/>
          <w:bCs/>
          <w:noProof/>
          <w:lang w:val="en-US"/>
        </w:rPr>
        <w:t>ê</w:t>
      </w:r>
      <w:r w:rsidRPr="00671118">
        <w:rPr>
          <w:rFonts w:eastAsia="Calibri"/>
          <w:b/>
          <w:bCs/>
          <w:noProof/>
          <w:lang w:val="en-US"/>
        </w:rPr>
        <w:t>ncias</w:t>
      </w:r>
    </w:p>
    <w:p w14:paraId="74FFB2EE" w14:textId="77777777" w:rsidR="00671118" w:rsidRPr="00FB6DC9" w:rsidRDefault="00671118" w:rsidP="003A4942">
      <w:pPr>
        <w:spacing w:before="100" w:beforeAutospacing="1" w:after="100" w:afterAutospacing="1" w:line="360" w:lineRule="auto"/>
        <w:jc w:val="both"/>
        <w:rPr>
          <w:rFonts w:eastAsia="Calibri"/>
          <w:noProof/>
          <w:lang w:val="en-US"/>
        </w:rPr>
      </w:pPr>
      <w:r w:rsidRPr="00FB6DC9">
        <w:rPr>
          <w:rFonts w:eastAsia="Calibri"/>
          <w:noProof/>
          <w:lang w:val="en-US"/>
        </w:rPr>
        <w:t xml:space="preserve">BENCHIMOL, E.I; SMEETH, L.; GUTTMANN, A.; HARRON, K.; MOHER, D.; PETERSEN, I. et al. The REporting of studies Conducted using Observational Routinely-collected health Data (RECORD) Statement. </w:t>
      </w:r>
      <w:r w:rsidRPr="00FB6DC9">
        <w:rPr>
          <w:rFonts w:eastAsia="Calibri"/>
          <w:b/>
          <w:bCs/>
          <w:noProof/>
          <w:lang w:val="en-US"/>
        </w:rPr>
        <w:t>PLoS Med.</w:t>
      </w:r>
      <w:r w:rsidRPr="00FB6DC9">
        <w:rPr>
          <w:rFonts w:eastAsia="Calibri"/>
          <w:noProof/>
          <w:lang w:val="en-US"/>
        </w:rPr>
        <w:t xml:space="preserve"> v. 12, n. 10, p.1-22, 2015.</w:t>
      </w:r>
    </w:p>
    <w:p w14:paraId="10805424" w14:textId="77777777" w:rsidR="00671118" w:rsidRPr="00FB6DC9" w:rsidRDefault="00671118" w:rsidP="003A4942">
      <w:pPr>
        <w:autoSpaceDE w:val="0"/>
        <w:autoSpaceDN w:val="0"/>
        <w:adjustRightInd w:val="0"/>
        <w:spacing w:before="100" w:beforeAutospacing="1" w:after="100" w:afterAutospacing="1" w:line="360" w:lineRule="auto"/>
        <w:jc w:val="both"/>
        <w:rPr>
          <w:rFonts w:eastAsia="Calibri"/>
          <w:color w:val="000000"/>
        </w:rPr>
      </w:pPr>
      <w:r w:rsidRPr="00FB6DC9">
        <w:rPr>
          <w:rFonts w:eastAsia="Calibri"/>
          <w:color w:val="000000"/>
          <w:lang w:val="en-US"/>
        </w:rPr>
        <w:t xml:space="preserve">BERGER M.; DANIEL, G.; FRANK, K. et al. A framework for regulatory use of real-world evidence. </w:t>
      </w:r>
      <w:r w:rsidRPr="00FB6DC9">
        <w:rPr>
          <w:rFonts w:eastAsia="Calibri"/>
          <w:b/>
          <w:bCs/>
          <w:color w:val="000000"/>
          <w:lang w:val="en-US"/>
        </w:rPr>
        <w:t>Duke Margolis Center for Health Policy White Paper</w:t>
      </w:r>
      <w:r w:rsidRPr="00FB6DC9">
        <w:rPr>
          <w:rFonts w:eastAsia="Calibri"/>
          <w:color w:val="000000"/>
          <w:lang w:val="en-US"/>
        </w:rPr>
        <w:t xml:space="preserve">. 2017, Disponível em: </w:t>
      </w:r>
      <w:hyperlink r:id="rId22" w:history="1">
        <w:r w:rsidRPr="00FB6DC9">
          <w:rPr>
            <w:rFonts w:eastAsia="Calibri"/>
            <w:color w:val="000000"/>
            <w:lang w:val="en-US"/>
          </w:rPr>
          <w:t>https://healthpolicy.duke.edu/sites/default/files/2020-03/rwe_white_paper_2017.09.06.pdf</w:t>
        </w:r>
      </w:hyperlink>
      <w:r w:rsidRPr="00FB6DC9">
        <w:rPr>
          <w:rFonts w:eastAsia="Calibri"/>
          <w:color w:val="000000"/>
          <w:lang w:val="en-US"/>
        </w:rPr>
        <w:t xml:space="preserve">. </w:t>
      </w:r>
      <w:r w:rsidRPr="00FB6DC9">
        <w:rPr>
          <w:rFonts w:eastAsia="Calibri"/>
          <w:color w:val="000000"/>
        </w:rPr>
        <w:t>Acesso em: 18 de julho de 2020.</w:t>
      </w:r>
    </w:p>
    <w:p w14:paraId="2628B056" w14:textId="77777777" w:rsidR="00671118" w:rsidRPr="00FB6DC9" w:rsidRDefault="00671118" w:rsidP="003A4942">
      <w:pPr>
        <w:autoSpaceDE w:val="0"/>
        <w:autoSpaceDN w:val="0"/>
        <w:adjustRightInd w:val="0"/>
        <w:spacing w:before="100" w:beforeAutospacing="1" w:after="100" w:afterAutospacing="1" w:line="360" w:lineRule="auto"/>
        <w:jc w:val="both"/>
        <w:rPr>
          <w:rFonts w:eastAsia="Calibri"/>
          <w:color w:val="000000"/>
          <w:lang w:val="en-US"/>
        </w:rPr>
      </w:pPr>
      <w:r w:rsidRPr="00FB6DC9">
        <w:rPr>
          <w:rFonts w:eastAsia="Calibri"/>
          <w:color w:val="000000"/>
          <w:lang w:val="en-US"/>
        </w:rPr>
        <w:t xml:space="preserve">BERGER, M.L.; LIPSET, C.; GUTTERIDGE, A. et al. Optimizing the leveraging of real-world data to improve the development and use of medicines. </w:t>
      </w:r>
      <w:r w:rsidRPr="00FB6DC9">
        <w:rPr>
          <w:rFonts w:eastAsia="Calibri"/>
          <w:b/>
          <w:bCs/>
          <w:color w:val="000000"/>
          <w:lang w:val="en-US"/>
        </w:rPr>
        <w:t>Value Health.,</w:t>
      </w:r>
      <w:r w:rsidRPr="00FB6DC9">
        <w:rPr>
          <w:rFonts w:eastAsia="Calibri"/>
          <w:color w:val="000000"/>
          <w:lang w:val="en-US"/>
        </w:rPr>
        <w:t xml:space="preserve"> v. 18, n. 1, p. 127–30, 2015.</w:t>
      </w:r>
    </w:p>
    <w:p w14:paraId="0201A31F" w14:textId="77777777" w:rsidR="00671118" w:rsidRPr="00FB6DC9" w:rsidRDefault="00671118" w:rsidP="003A4942">
      <w:pPr>
        <w:spacing w:before="100" w:beforeAutospacing="1" w:after="100" w:afterAutospacing="1" w:line="360" w:lineRule="auto"/>
        <w:jc w:val="both"/>
        <w:rPr>
          <w:rFonts w:eastAsia="Calibri"/>
          <w:lang w:val="en-US"/>
        </w:rPr>
      </w:pPr>
      <w:r w:rsidRPr="00FB6DC9">
        <w:rPr>
          <w:rFonts w:eastAsia="Calibri"/>
          <w:lang w:val="en-US"/>
        </w:rPr>
        <w:t xml:space="preserve">CAVE, A.; KURZ, X.; ARLETT, P. Real-world data for regulatory decision making: challenges and possible solutions for Europe. </w:t>
      </w:r>
      <w:r w:rsidRPr="00FB6DC9">
        <w:rPr>
          <w:rFonts w:eastAsia="Calibri"/>
          <w:b/>
          <w:bCs/>
          <w:lang w:val="en-US"/>
        </w:rPr>
        <w:t>Clin Pharm Ther</w:t>
      </w:r>
      <w:r w:rsidRPr="00FB6DC9">
        <w:rPr>
          <w:rFonts w:eastAsia="Calibri"/>
          <w:lang w:val="en-US"/>
        </w:rPr>
        <w:t xml:space="preserve">., v. 106, n. 1, p. 36-39, 2019. </w:t>
      </w:r>
    </w:p>
    <w:p w14:paraId="13DB8181" w14:textId="77777777" w:rsidR="00671118" w:rsidRPr="00FB6DC9" w:rsidRDefault="00671118" w:rsidP="003A4942">
      <w:pPr>
        <w:spacing w:before="100" w:beforeAutospacing="1" w:after="100" w:afterAutospacing="1" w:line="360" w:lineRule="auto"/>
        <w:jc w:val="both"/>
        <w:rPr>
          <w:rFonts w:eastAsia="Calibri"/>
        </w:rPr>
      </w:pPr>
      <w:r w:rsidRPr="00FB6DC9">
        <w:rPr>
          <w:rFonts w:eastAsia="Calibri"/>
          <w:lang w:val="en-US"/>
        </w:rPr>
        <w:t xml:space="preserve">CENTER FOR DRUG EVALUATION AND RESEARCH. </w:t>
      </w:r>
      <w:r w:rsidRPr="00FB6DC9">
        <w:rPr>
          <w:rFonts w:eastAsia="Calibri"/>
          <w:b/>
          <w:bCs/>
          <w:lang w:val="en-US"/>
        </w:rPr>
        <w:t>Submitting Documents Using Real-World Data and Real-World Evidence to FDA for Drugs and Biologics Guidance for Industry</w:t>
      </w:r>
      <w:r w:rsidRPr="00FB6DC9">
        <w:rPr>
          <w:rFonts w:eastAsia="Calibri"/>
          <w:lang w:val="en-US"/>
        </w:rPr>
        <w:t xml:space="preserve">. </w:t>
      </w:r>
      <w:r w:rsidRPr="00FB6DC9">
        <w:rPr>
          <w:rFonts w:eastAsia="Calibri"/>
        </w:rPr>
        <w:t xml:space="preserve">Disponível em: </w:t>
      </w:r>
      <w:hyperlink r:id="rId23" w:history="1">
        <w:r w:rsidRPr="00FB6DC9">
          <w:rPr>
            <w:rFonts w:eastAsia="Calibri"/>
            <w:color w:val="0000FF"/>
            <w:u w:val="single"/>
          </w:rPr>
          <w:t>https://www.fda.gov/regulatory-information/search-fda-guidance-documents/submitting-documents-using-real-world-data-and-real-world-evidence-fda-drugs-and-biologics-guidance</w:t>
        </w:r>
      </w:hyperlink>
      <w:r w:rsidRPr="00FB6DC9">
        <w:rPr>
          <w:rFonts w:eastAsia="Calibri"/>
        </w:rPr>
        <w:t>. Accesso em 16 de julho de 2020.</w:t>
      </w:r>
    </w:p>
    <w:p w14:paraId="6703EFE7" w14:textId="77777777" w:rsidR="00671118" w:rsidRPr="00FB6DC9" w:rsidRDefault="00671118" w:rsidP="003A4942">
      <w:pPr>
        <w:spacing w:before="100" w:beforeAutospacing="1" w:after="100" w:afterAutospacing="1" w:line="360" w:lineRule="auto"/>
        <w:contextualSpacing/>
        <w:jc w:val="both"/>
        <w:rPr>
          <w:rFonts w:eastAsia="Calibri"/>
          <w:lang w:val="en-US"/>
        </w:rPr>
      </w:pPr>
      <w:r w:rsidRPr="00FB6DC9">
        <w:rPr>
          <w:rFonts w:eastAsia="Calibri"/>
        </w:rPr>
        <w:t xml:space="preserve">DRUMMOND, M.F.; SCULPHER, M.J.; CLAXTON, K.; STODDART, G.L.; TORRANCE, G.W. 2015. </w:t>
      </w:r>
      <w:r w:rsidRPr="00FB6DC9">
        <w:rPr>
          <w:rFonts w:eastAsia="Calibri"/>
          <w:b/>
          <w:bCs/>
          <w:lang w:val="en-US"/>
        </w:rPr>
        <w:t>Methods for the economic evaluation of health care programmes.</w:t>
      </w:r>
      <w:r w:rsidRPr="00FB6DC9">
        <w:rPr>
          <w:rFonts w:eastAsia="Calibri"/>
          <w:lang w:val="en-US"/>
        </w:rPr>
        <w:t xml:space="preserve"> Oxford University Press, Oxford.</w:t>
      </w:r>
    </w:p>
    <w:p w14:paraId="1D17710C" w14:textId="77777777" w:rsidR="00671118" w:rsidRPr="00FB6DC9" w:rsidRDefault="00671118" w:rsidP="003A4942">
      <w:pPr>
        <w:spacing w:before="100" w:beforeAutospacing="1" w:after="100" w:afterAutospacing="1" w:line="360" w:lineRule="auto"/>
        <w:jc w:val="both"/>
        <w:rPr>
          <w:rFonts w:eastAsia="Calibri"/>
          <w:lang w:val="en-US"/>
        </w:rPr>
      </w:pPr>
      <w:r w:rsidRPr="00FB6DC9">
        <w:rPr>
          <w:rFonts w:eastAsia="Calibri"/>
          <w:color w:val="000000"/>
          <w:lang w:val="en-US"/>
        </w:rPr>
        <w:t xml:space="preserve">EPSTEIN, R.S.; SIDOROV, J.; LEHNER, J.P. et al.: Integrating scientific and real-world evidence within and beyond the drug development process. </w:t>
      </w:r>
      <w:r w:rsidRPr="00FB6DC9">
        <w:rPr>
          <w:rFonts w:eastAsia="Calibri"/>
          <w:b/>
          <w:bCs/>
          <w:color w:val="000000"/>
          <w:lang w:val="en-US"/>
        </w:rPr>
        <w:t>J Comp Eff Res.,</w:t>
      </w:r>
      <w:r w:rsidRPr="00FB6DC9">
        <w:rPr>
          <w:rFonts w:eastAsia="Calibri"/>
          <w:color w:val="000000"/>
          <w:lang w:val="en-US"/>
        </w:rPr>
        <w:t xml:space="preserve"> v. 1, suppl. 1, p. 9–13, 2012.</w:t>
      </w:r>
    </w:p>
    <w:p w14:paraId="2758A411" w14:textId="6C329A74" w:rsidR="00671118" w:rsidRPr="00FB6DC9" w:rsidRDefault="00671118" w:rsidP="003A4942">
      <w:pPr>
        <w:spacing w:before="100" w:beforeAutospacing="1" w:after="100" w:afterAutospacing="1" w:line="360" w:lineRule="auto"/>
        <w:jc w:val="both"/>
        <w:rPr>
          <w:rFonts w:eastAsia="Calibri"/>
          <w:lang w:val="en-US"/>
        </w:rPr>
      </w:pPr>
      <w:r w:rsidRPr="00FB6DC9">
        <w:rPr>
          <w:rFonts w:eastAsia="Calibri"/>
          <w:color w:val="212121"/>
          <w:shd w:val="clear" w:color="auto" w:fill="FFFFFF"/>
          <w:lang w:val="en-US"/>
        </w:rPr>
        <w:t>FLIGHT, L.; JULIOUS, S.; BRENNAN, A.; TODD, S.; HIND, D. How can health economics be used in the design and analysis of adaptive clinical trials? A qualitative analysis. </w:t>
      </w:r>
      <w:r w:rsidRPr="00FB6DC9">
        <w:rPr>
          <w:rFonts w:eastAsia="Calibri"/>
          <w:b/>
          <w:bCs/>
          <w:color w:val="212121"/>
          <w:shd w:val="clear" w:color="auto" w:fill="FFFFFF"/>
          <w:lang w:val="en-US"/>
        </w:rPr>
        <w:t>Trials,</w:t>
      </w:r>
      <w:r w:rsidRPr="00FB6DC9">
        <w:rPr>
          <w:rFonts w:eastAsia="Calibri"/>
          <w:color w:val="212121"/>
          <w:shd w:val="clear" w:color="auto" w:fill="FFFFFF"/>
          <w:lang w:val="en-US"/>
        </w:rPr>
        <w:t xml:space="preserve"> v. 21, n. 1, p.1-12, 2020.</w:t>
      </w:r>
    </w:p>
    <w:p w14:paraId="0E9AD754" w14:textId="77777777" w:rsidR="00671118" w:rsidRPr="00FB6DC9" w:rsidRDefault="00671118" w:rsidP="003A4942">
      <w:pPr>
        <w:autoSpaceDE w:val="0"/>
        <w:autoSpaceDN w:val="0"/>
        <w:adjustRightInd w:val="0"/>
        <w:spacing w:before="100" w:beforeAutospacing="1" w:after="100" w:afterAutospacing="1" w:line="360" w:lineRule="auto"/>
        <w:jc w:val="both"/>
        <w:rPr>
          <w:rFonts w:eastAsia="Calibri"/>
          <w:color w:val="000000"/>
        </w:rPr>
      </w:pPr>
      <w:r w:rsidRPr="00FB6DC9">
        <w:rPr>
          <w:rFonts w:eastAsia="Calibri"/>
          <w:color w:val="000000"/>
          <w:lang w:val="en-US"/>
        </w:rPr>
        <w:t xml:space="preserve">GALSON, S.; SIMON, G. </w:t>
      </w:r>
      <w:r w:rsidRPr="00FB6DC9">
        <w:rPr>
          <w:rFonts w:eastAsia="Calibri"/>
          <w:b/>
          <w:bCs/>
          <w:color w:val="000000"/>
          <w:lang w:val="en-US"/>
        </w:rPr>
        <w:t>Real-world evidence to guide approval and use of new treatments</w:t>
      </w:r>
      <w:r w:rsidRPr="00FB6DC9">
        <w:rPr>
          <w:rFonts w:eastAsia="Calibri"/>
          <w:color w:val="000000"/>
          <w:lang w:val="en-US"/>
        </w:rPr>
        <w:t xml:space="preserve">. </w:t>
      </w:r>
      <w:r w:rsidRPr="00FB6DC9">
        <w:rPr>
          <w:rFonts w:eastAsia="Calibri"/>
          <w:color w:val="000000"/>
        </w:rPr>
        <w:t>National Academy of Medicine, Washington, DC. 2015. Disponível em:  https://nam.edu/wp-content/uploads/2016/10/Real-World-Evidence-to-Guide-the-Approval-and-Use-of-New-Treatments.pdf. Acesso em 30 de julho de 2020</w:t>
      </w:r>
    </w:p>
    <w:p w14:paraId="65435900" w14:textId="77777777" w:rsidR="00671118" w:rsidRPr="00FB6DC9" w:rsidRDefault="00671118" w:rsidP="003A4942">
      <w:pPr>
        <w:autoSpaceDE w:val="0"/>
        <w:autoSpaceDN w:val="0"/>
        <w:adjustRightInd w:val="0"/>
        <w:spacing w:before="100" w:beforeAutospacing="1" w:after="100" w:afterAutospacing="1" w:line="360" w:lineRule="auto"/>
        <w:jc w:val="both"/>
        <w:rPr>
          <w:rFonts w:eastAsia="Calibri"/>
          <w:color w:val="000000"/>
        </w:rPr>
      </w:pPr>
      <w:r w:rsidRPr="00FB6DC9">
        <w:rPr>
          <w:rFonts w:eastAsia="Calibri"/>
          <w:color w:val="000000"/>
          <w:lang w:val="en-US"/>
        </w:rPr>
        <w:t xml:space="preserve">HUGHES, B.; KESSLER, M. </w:t>
      </w:r>
      <w:r w:rsidRPr="00FB6DC9">
        <w:rPr>
          <w:rFonts w:eastAsia="Calibri"/>
          <w:b/>
          <w:bCs/>
          <w:color w:val="000000"/>
          <w:lang w:val="en-US"/>
        </w:rPr>
        <w:t>Breaking new ground with RWE: how some pharmacos are poised to realize a $1 billion opportunity.</w:t>
      </w:r>
      <w:r w:rsidRPr="00FB6DC9">
        <w:rPr>
          <w:rFonts w:eastAsia="Calibri"/>
          <w:color w:val="000000"/>
          <w:lang w:val="en-US"/>
        </w:rPr>
        <w:t xml:space="preserve"> </w:t>
      </w:r>
      <w:r w:rsidRPr="00FB6DC9">
        <w:rPr>
          <w:rFonts w:eastAsia="Calibri"/>
          <w:color w:val="000000"/>
        </w:rPr>
        <w:t xml:space="preserve">IMS Health White Paper. 2014. Disponível em: </w:t>
      </w:r>
      <w:hyperlink r:id="rId24" w:history="1">
        <w:r w:rsidRPr="00FB6DC9">
          <w:rPr>
            <w:rFonts w:eastAsia="Calibri"/>
            <w:color w:val="0000FF"/>
            <w:u w:val="single"/>
          </w:rPr>
          <w:t>https://www.iqvia.com/-/media/quintilesims/pdfs/qims_breaking_new_ground_with_rwe_whitepaper.pdf</w:t>
        </w:r>
      </w:hyperlink>
      <w:r w:rsidRPr="00FB6DC9">
        <w:rPr>
          <w:rFonts w:eastAsia="Calibri"/>
          <w:color w:val="000000"/>
        </w:rPr>
        <w:t>; Acesso em 30 de julho de 2020.</w:t>
      </w:r>
    </w:p>
    <w:p w14:paraId="63BA4AA3" w14:textId="77777777" w:rsidR="00671118" w:rsidRPr="00FB6DC9" w:rsidRDefault="00671118" w:rsidP="003A4942">
      <w:pPr>
        <w:spacing w:before="100" w:beforeAutospacing="1" w:after="100" w:afterAutospacing="1" w:line="360" w:lineRule="auto"/>
        <w:jc w:val="both"/>
        <w:rPr>
          <w:rFonts w:eastAsia="Calibri"/>
          <w:lang w:val="en-US"/>
        </w:rPr>
      </w:pPr>
      <w:r w:rsidRPr="00FB6DC9">
        <w:rPr>
          <w:rFonts w:eastAsia="Calibri"/>
          <w:lang w:val="en-US"/>
        </w:rPr>
        <w:t xml:space="preserve">KERNIK, D.P. Introduction to health economics for the medical Practitioner. </w:t>
      </w:r>
      <w:r w:rsidRPr="00FB6DC9">
        <w:rPr>
          <w:rFonts w:eastAsia="Calibri"/>
          <w:b/>
          <w:bCs/>
          <w:lang w:val="en-US"/>
        </w:rPr>
        <w:t>Postgrad Med J,</w:t>
      </w:r>
      <w:r w:rsidRPr="00FB6DC9">
        <w:rPr>
          <w:rFonts w:eastAsia="Calibri"/>
          <w:lang w:val="en-US"/>
        </w:rPr>
        <w:t xml:space="preserve"> v. 79, p. 147–150, 2003.</w:t>
      </w:r>
    </w:p>
    <w:p w14:paraId="7CCE2FCB" w14:textId="77777777" w:rsidR="00671118" w:rsidRPr="00FB6DC9" w:rsidRDefault="00671118" w:rsidP="003A4942">
      <w:pPr>
        <w:autoSpaceDE w:val="0"/>
        <w:autoSpaceDN w:val="0"/>
        <w:adjustRightInd w:val="0"/>
        <w:spacing w:before="100" w:beforeAutospacing="1" w:after="100" w:afterAutospacing="1" w:line="360" w:lineRule="auto"/>
        <w:jc w:val="both"/>
        <w:rPr>
          <w:rFonts w:eastAsia="Calibri"/>
          <w:color w:val="000000"/>
          <w:lang w:val="en-US"/>
        </w:rPr>
      </w:pPr>
      <w:r w:rsidRPr="00FB6DC9">
        <w:rPr>
          <w:rFonts w:eastAsia="Calibri"/>
          <w:color w:val="000000"/>
          <w:lang w:val="en-US"/>
        </w:rPr>
        <w:t xml:space="preserve">KHOSLA, S. et al. (2018). How to cite: Khosla S, White R, Medina J et al. </w:t>
      </w:r>
      <w:r w:rsidRPr="00FB6DC9">
        <w:rPr>
          <w:rFonts w:eastAsia="Calibri"/>
          <w:b/>
          <w:bCs/>
          <w:color w:val="000000"/>
          <w:lang w:val="en-US"/>
        </w:rPr>
        <w:t>Real world evidence (RWE) – a disruptive innovation or the quiet evolution of medical evidence generation?</w:t>
      </w:r>
      <w:r w:rsidRPr="00FB6DC9">
        <w:rPr>
          <w:rFonts w:eastAsia="Calibri"/>
          <w:color w:val="000000"/>
          <w:lang w:val="en-US"/>
        </w:rPr>
        <w:t xml:space="preserve"> Version 2. F1000Research 2018, 7:111 DOI: 10.12688/f1000research.13585.2 </w:t>
      </w:r>
    </w:p>
    <w:p w14:paraId="0D0C841F" w14:textId="77777777" w:rsidR="00671118" w:rsidRPr="00FB6DC9" w:rsidRDefault="00671118" w:rsidP="003A4942">
      <w:pPr>
        <w:tabs>
          <w:tab w:val="center" w:pos="4252"/>
        </w:tabs>
        <w:spacing w:before="100" w:beforeAutospacing="1" w:after="100" w:afterAutospacing="1" w:line="360" w:lineRule="auto"/>
        <w:jc w:val="both"/>
        <w:rPr>
          <w:rFonts w:eastAsia="Calibri"/>
          <w:lang w:val="en-US"/>
        </w:rPr>
      </w:pPr>
      <w:r w:rsidRPr="00FB6DC9">
        <w:rPr>
          <w:rFonts w:eastAsia="Calibri"/>
          <w:lang w:val="en-US"/>
        </w:rPr>
        <w:t xml:space="preserve">MANNS, B.J. The role of health economics within clinical research. </w:t>
      </w:r>
      <w:r w:rsidRPr="00FB6DC9">
        <w:rPr>
          <w:rFonts w:eastAsia="Calibri"/>
          <w:b/>
          <w:bCs/>
          <w:lang w:val="en-US"/>
        </w:rPr>
        <w:t>Methods Mol Biol.,</w:t>
      </w:r>
      <w:r w:rsidRPr="00FB6DC9">
        <w:rPr>
          <w:rFonts w:eastAsia="Calibri"/>
          <w:lang w:val="en-US"/>
        </w:rPr>
        <w:t xml:space="preserve"> v. 473, p. 235-250, 2009.</w:t>
      </w:r>
    </w:p>
    <w:p w14:paraId="34355907" w14:textId="77777777" w:rsidR="00671118" w:rsidRPr="00FB6DC9" w:rsidRDefault="00671118" w:rsidP="003A4942">
      <w:pPr>
        <w:spacing w:before="100" w:beforeAutospacing="1" w:after="100" w:afterAutospacing="1" w:line="360" w:lineRule="auto"/>
        <w:jc w:val="both"/>
        <w:rPr>
          <w:rFonts w:eastAsia="Calibri"/>
          <w:lang w:val="en-US"/>
        </w:rPr>
      </w:pPr>
      <w:r w:rsidRPr="00FB6DC9">
        <w:rPr>
          <w:rFonts w:eastAsia="Calibri"/>
          <w:lang w:val="en-US"/>
        </w:rPr>
        <w:t xml:space="preserve">NATIONAL ACADEMIES OF SCIENCES, ENGINEERING, AND MEDICINE. </w:t>
      </w:r>
      <w:r w:rsidRPr="00FB6DC9">
        <w:rPr>
          <w:rFonts w:eastAsia="Calibri"/>
          <w:b/>
          <w:bCs/>
          <w:lang w:val="en-US"/>
        </w:rPr>
        <w:t xml:space="preserve">Examining the impact of real-world evidence on medical product development: Proceedings of a workshop series. </w:t>
      </w:r>
      <w:r w:rsidRPr="00FB6DC9">
        <w:rPr>
          <w:rFonts w:eastAsia="Calibri"/>
          <w:lang w:val="en-US"/>
        </w:rPr>
        <w:t xml:space="preserve">Washington, DC: The National Academies Press, 2019. </w:t>
      </w:r>
    </w:p>
    <w:p w14:paraId="7DA52B1E" w14:textId="77777777" w:rsidR="00671118" w:rsidRPr="00FB6DC9" w:rsidRDefault="00671118" w:rsidP="003A4942">
      <w:pPr>
        <w:spacing w:before="100" w:beforeAutospacing="1" w:after="100" w:afterAutospacing="1" w:line="360" w:lineRule="auto"/>
        <w:jc w:val="both"/>
        <w:rPr>
          <w:rFonts w:eastAsia="Calibri"/>
        </w:rPr>
      </w:pPr>
      <w:r w:rsidRPr="00FB6DC9">
        <w:rPr>
          <w:rFonts w:eastAsia="Calibri"/>
          <w:lang w:val="en-US"/>
        </w:rPr>
        <w:t xml:space="preserve">NATIONAL INSTITUTE FOR HEALTH AND CARE EXCELLENCE. </w:t>
      </w:r>
      <w:r w:rsidRPr="00FB6DC9">
        <w:rPr>
          <w:rFonts w:eastAsia="Calibri"/>
          <w:b/>
          <w:bCs/>
          <w:lang w:val="en-US"/>
        </w:rPr>
        <w:t xml:space="preserve">NICE explores extending its use of data to inform its guidance. </w:t>
      </w:r>
      <w:r w:rsidRPr="00FB6DC9">
        <w:rPr>
          <w:rFonts w:eastAsia="Calibri"/>
        </w:rPr>
        <w:t xml:space="preserve">Publicado em 25 de junho de 2019. Disponível em: </w:t>
      </w:r>
      <w:hyperlink r:id="rId25" w:history="1">
        <w:r w:rsidRPr="00FB6DC9">
          <w:rPr>
            <w:rFonts w:eastAsia="Calibri"/>
            <w:color w:val="0000FF"/>
            <w:u w:val="single"/>
          </w:rPr>
          <w:t>https://www.nice.org.uk/news/article/nice-exploresextending-its-use-of-data-to-inform-its-guidance</w:t>
        </w:r>
      </w:hyperlink>
      <w:r w:rsidRPr="00FB6DC9">
        <w:rPr>
          <w:rFonts w:eastAsia="Calibri"/>
        </w:rPr>
        <w:t xml:space="preserve">. Acesso em 16 de julho de 2020. </w:t>
      </w:r>
    </w:p>
    <w:p w14:paraId="44742C56" w14:textId="77777777" w:rsidR="00671118" w:rsidRPr="00FB6DC9" w:rsidRDefault="00671118" w:rsidP="003A4942">
      <w:pPr>
        <w:spacing w:before="100" w:beforeAutospacing="1" w:after="100" w:afterAutospacing="1" w:line="360" w:lineRule="auto"/>
        <w:jc w:val="both"/>
        <w:rPr>
          <w:rFonts w:eastAsia="Calibri"/>
          <w:lang w:val="en-US"/>
        </w:rPr>
      </w:pPr>
      <w:r w:rsidRPr="00FB6DC9">
        <w:rPr>
          <w:rFonts w:eastAsia="Calibri"/>
          <w:color w:val="212121"/>
          <w:shd w:val="clear" w:color="auto" w:fill="FFFFFF"/>
        </w:rPr>
        <w:t>PARK, J.J.; THORLUND, K.; MILLS, E.J. Critical concepts in adaptive clinical trials. </w:t>
      </w:r>
      <w:r w:rsidRPr="00FB6DC9">
        <w:rPr>
          <w:rFonts w:eastAsia="Calibri"/>
          <w:b/>
          <w:bCs/>
          <w:color w:val="212121"/>
          <w:shd w:val="clear" w:color="auto" w:fill="FFFFFF"/>
          <w:lang w:val="en-US"/>
        </w:rPr>
        <w:t>Clin Epidemiol.,</w:t>
      </w:r>
      <w:r w:rsidRPr="00FB6DC9">
        <w:rPr>
          <w:rFonts w:eastAsia="Calibri"/>
          <w:color w:val="212121"/>
          <w:shd w:val="clear" w:color="auto" w:fill="FFFFFF"/>
          <w:lang w:val="en-US"/>
        </w:rPr>
        <w:t xml:space="preserve"> v. 10, p. 343-351; 2018. </w:t>
      </w:r>
    </w:p>
    <w:p w14:paraId="37D5C49F" w14:textId="77777777" w:rsidR="00671118" w:rsidRPr="00FB6DC9" w:rsidRDefault="00671118" w:rsidP="003A4942">
      <w:pPr>
        <w:autoSpaceDE w:val="0"/>
        <w:autoSpaceDN w:val="0"/>
        <w:adjustRightInd w:val="0"/>
        <w:spacing w:before="100" w:beforeAutospacing="1" w:after="100" w:afterAutospacing="1" w:line="360" w:lineRule="auto"/>
        <w:jc w:val="both"/>
        <w:rPr>
          <w:rFonts w:eastAsia="Calibri"/>
          <w:color w:val="000000"/>
        </w:rPr>
      </w:pPr>
      <w:r w:rsidRPr="00FB6DC9">
        <w:rPr>
          <w:rFonts w:eastAsia="Calibri"/>
          <w:color w:val="000000"/>
          <w:lang w:val="en-US"/>
        </w:rPr>
        <w:t xml:space="preserve">QUINTILES, I.M.S. </w:t>
      </w:r>
      <w:r w:rsidRPr="00FB6DC9">
        <w:rPr>
          <w:rFonts w:eastAsia="Calibri"/>
          <w:b/>
          <w:bCs/>
          <w:color w:val="000000"/>
          <w:lang w:val="en-US"/>
        </w:rPr>
        <w:t>News, views and insights from leading international RWE experts</w:t>
      </w:r>
      <w:r w:rsidRPr="00FB6DC9">
        <w:rPr>
          <w:rFonts w:eastAsia="Calibri"/>
          <w:color w:val="000000"/>
          <w:lang w:val="en-US"/>
        </w:rPr>
        <w:t xml:space="preserve">. </w:t>
      </w:r>
      <w:r w:rsidRPr="00FB6DC9">
        <w:rPr>
          <w:rFonts w:eastAsia="Calibri"/>
          <w:color w:val="000000"/>
        </w:rPr>
        <w:t xml:space="preserve">Access Point. Disponível em: </w:t>
      </w:r>
      <w:hyperlink r:id="rId26" w:history="1">
        <w:r w:rsidRPr="00FB6DC9">
          <w:rPr>
            <w:rFonts w:eastAsia="Calibri"/>
            <w:color w:val="000000"/>
          </w:rPr>
          <w:t>https://www.iqvia.com/-/media/quintilesims/pdfs/accesspoint/quintilesims-rwi-accesspoint-may2017.pdf</w:t>
        </w:r>
      </w:hyperlink>
      <w:r w:rsidRPr="00FB6DC9">
        <w:rPr>
          <w:rFonts w:eastAsia="Calibri"/>
          <w:color w:val="000000"/>
        </w:rPr>
        <w:t>. Acesso em 30 de julho de 2020).</w:t>
      </w:r>
    </w:p>
    <w:p w14:paraId="1EE4D863" w14:textId="77777777" w:rsidR="00671118" w:rsidRPr="00FB6DC9" w:rsidRDefault="00671118" w:rsidP="003A4942">
      <w:pPr>
        <w:spacing w:before="100" w:beforeAutospacing="1" w:after="100" w:afterAutospacing="1" w:line="360" w:lineRule="auto"/>
        <w:jc w:val="both"/>
        <w:rPr>
          <w:rFonts w:eastAsia="Calibri"/>
          <w:lang w:val="en-US"/>
        </w:rPr>
      </w:pPr>
      <w:r w:rsidRPr="00FB6DC9">
        <w:rPr>
          <w:rFonts w:eastAsia="Calibri"/>
          <w:color w:val="212121"/>
          <w:shd w:val="clear" w:color="auto" w:fill="FFFFFF"/>
          <w:lang w:val="en-US"/>
        </w:rPr>
        <w:t>RAMSEY, S.D.; WILLKE, R.J.; GLICK, H. et al. Cost-effectiveness analysis alongside clinical trials II-An ISPOR Good Research Practices Task Force report. </w:t>
      </w:r>
      <w:r w:rsidRPr="00FB6DC9">
        <w:rPr>
          <w:rFonts w:eastAsia="Calibri"/>
          <w:b/>
          <w:bCs/>
          <w:color w:val="212121"/>
          <w:shd w:val="clear" w:color="auto" w:fill="FFFFFF"/>
          <w:lang w:val="en-US"/>
        </w:rPr>
        <w:t>Value Health.</w:t>
      </w:r>
      <w:r w:rsidRPr="00FB6DC9">
        <w:rPr>
          <w:rFonts w:eastAsia="Calibri"/>
          <w:color w:val="212121"/>
          <w:shd w:val="clear" w:color="auto" w:fill="FFFFFF"/>
          <w:lang w:val="en-US"/>
        </w:rPr>
        <w:t xml:space="preserve">, v. 18, n. 2, p.161-172, 2015. </w:t>
      </w:r>
    </w:p>
    <w:p w14:paraId="4C4E1286" w14:textId="77777777" w:rsidR="00671118" w:rsidRPr="00FB6DC9" w:rsidRDefault="00671118" w:rsidP="003A4942">
      <w:pPr>
        <w:spacing w:before="100" w:beforeAutospacing="1" w:after="100" w:afterAutospacing="1" w:line="360" w:lineRule="auto"/>
        <w:jc w:val="both"/>
        <w:rPr>
          <w:rFonts w:eastAsia="Calibri"/>
          <w:noProof/>
        </w:rPr>
      </w:pPr>
      <w:r w:rsidRPr="00FB6DC9">
        <w:rPr>
          <w:rFonts w:eastAsia="Calibri"/>
          <w:noProof/>
          <w:lang w:val="en-US"/>
        </w:rPr>
        <w:t xml:space="preserve">REGATIERI, C.V.; ALVES, A.V.; ROCHA, E. Medical acumen and scientific approach meet the FINER method. </w:t>
      </w:r>
      <w:r w:rsidRPr="00FB6DC9">
        <w:rPr>
          <w:rFonts w:eastAsia="Calibri"/>
          <w:b/>
          <w:bCs/>
          <w:noProof/>
        </w:rPr>
        <w:t>Arq. Bras. Oftalmol.</w:t>
      </w:r>
      <w:r w:rsidRPr="00FB6DC9">
        <w:rPr>
          <w:rFonts w:eastAsia="Calibri"/>
          <w:noProof/>
        </w:rPr>
        <w:t xml:space="preserve">, v. 82, n. 4, p. 1-5, 2019. </w:t>
      </w:r>
    </w:p>
    <w:p w14:paraId="6A29803C" w14:textId="77777777" w:rsidR="00671118" w:rsidRPr="00FB6DC9" w:rsidRDefault="00671118" w:rsidP="003A4942">
      <w:pPr>
        <w:shd w:val="clear" w:color="auto" w:fill="FFFFFF"/>
        <w:spacing w:before="100" w:beforeAutospacing="1" w:after="100" w:afterAutospacing="1" w:line="360" w:lineRule="auto"/>
        <w:jc w:val="both"/>
        <w:rPr>
          <w:color w:val="000000"/>
          <w:shd w:val="clear" w:color="auto" w:fill="FFFFFF"/>
        </w:rPr>
      </w:pPr>
      <w:r w:rsidRPr="00FB6DC9">
        <w:rPr>
          <w:color w:val="000000"/>
          <w:shd w:val="clear" w:color="auto" w:fill="FFFFFF"/>
        </w:rPr>
        <w:t xml:space="preserve">RIBEIRO, R.A. et al. Diretriz metodológica para estudos de avaliação econômica de tecnologias em saúde no Brasil. </w:t>
      </w:r>
      <w:r w:rsidRPr="00FB6DC9">
        <w:rPr>
          <w:b/>
          <w:bCs/>
          <w:color w:val="000000"/>
          <w:shd w:val="clear" w:color="auto" w:fill="FFFFFF"/>
        </w:rPr>
        <w:t>Jornal Brasileiro De Economia Da Saúde</w:t>
      </w:r>
      <w:r w:rsidRPr="00FB6DC9">
        <w:rPr>
          <w:color w:val="000000"/>
          <w:shd w:val="clear" w:color="auto" w:fill="FFFFFF"/>
        </w:rPr>
        <w:t>, São Paulo, v. 8, n. 3, p. 174-184, 2016.</w:t>
      </w:r>
    </w:p>
    <w:p w14:paraId="55296AAB" w14:textId="77777777" w:rsidR="00671118" w:rsidRPr="00FB6DC9" w:rsidRDefault="00671118" w:rsidP="003A4942">
      <w:pPr>
        <w:spacing w:before="100" w:beforeAutospacing="1" w:after="100" w:afterAutospacing="1" w:line="360" w:lineRule="auto"/>
        <w:jc w:val="both"/>
        <w:rPr>
          <w:rFonts w:eastAsia="Calibri"/>
          <w:noProof/>
          <w:lang w:val="en-US"/>
        </w:rPr>
      </w:pPr>
      <w:r w:rsidRPr="00FB6DC9">
        <w:rPr>
          <w:rFonts w:eastAsia="Calibri"/>
          <w:noProof/>
          <w:lang w:val="en-US"/>
        </w:rPr>
        <w:t xml:space="preserve">RIVA, J.J.; MALIK, K.M.; BURNIE, S.J.; ENDICOTT, A.R.; BUSSE, J.W. What is your research question? An introduction to the PICOT format for clinicians. </w:t>
      </w:r>
      <w:r w:rsidRPr="00FB6DC9">
        <w:rPr>
          <w:rFonts w:eastAsia="Calibri"/>
          <w:b/>
          <w:bCs/>
          <w:noProof/>
          <w:lang w:val="en-US"/>
        </w:rPr>
        <w:t>J Can Chiropr Assoc. Sep</w:t>
      </w:r>
      <w:r w:rsidRPr="00FB6DC9">
        <w:rPr>
          <w:rFonts w:eastAsia="Calibri"/>
          <w:noProof/>
          <w:lang w:val="en-US"/>
        </w:rPr>
        <w:t>., v. 56, n. 3, p.167-71, 2012.</w:t>
      </w:r>
    </w:p>
    <w:p w14:paraId="30EDF90A" w14:textId="77777777" w:rsidR="00671118" w:rsidRPr="00FB6DC9" w:rsidRDefault="00671118" w:rsidP="003A4942">
      <w:pPr>
        <w:autoSpaceDE w:val="0"/>
        <w:autoSpaceDN w:val="0"/>
        <w:adjustRightInd w:val="0"/>
        <w:spacing w:before="100" w:beforeAutospacing="1" w:after="100" w:afterAutospacing="1" w:line="360" w:lineRule="auto"/>
        <w:jc w:val="both"/>
        <w:rPr>
          <w:rFonts w:eastAsia="Calibri"/>
          <w:color w:val="000000"/>
        </w:rPr>
      </w:pPr>
      <w:r w:rsidRPr="00FB6DC9">
        <w:rPr>
          <w:rFonts w:eastAsia="Calibri"/>
          <w:color w:val="000000"/>
          <w:lang w:val="en-US"/>
        </w:rPr>
        <w:t xml:space="preserve">RONICKE V.; RUHL, M.; SOLBACH, T. Revitalizing pharmaceutical R&amp;D. </w:t>
      </w:r>
      <w:r w:rsidRPr="00FB6DC9">
        <w:rPr>
          <w:rFonts w:eastAsia="Calibri"/>
          <w:b/>
          <w:bCs/>
          <w:color w:val="000000"/>
          <w:lang w:val="en-US"/>
        </w:rPr>
        <w:t xml:space="preserve">The value of real word evidence. </w:t>
      </w:r>
      <w:r w:rsidRPr="00FB6DC9">
        <w:rPr>
          <w:rFonts w:eastAsia="Calibri"/>
          <w:color w:val="000000"/>
        </w:rPr>
        <w:t xml:space="preserve">Strategy. 2015. Disponível em: </w:t>
      </w:r>
      <w:hyperlink r:id="rId27" w:history="1">
        <w:r w:rsidRPr="00FB6DC9">
          <w:rPr>
            <w:rFonts w:eastAsia="Calibri"/>
            <w:color w:val="0000FF"/>
            <w:u w:val="single"/>
          </w:rPr>
          <w:t>https://www.strategyand.pwc.com/gx/en/insights/2015/revitalizing-pharmaceutical-rd.html</w:t>
        </w:r>
      </w:hyperlink>
      <w:r w:rsidRPr="00FB6DC9">
        <w:rPr>
          <w:rFonts w:eastAsia="Calibri"/>
          <w:color w:val="000000"/>
        </w:rPr>
        <w:t>; Acesso em 30 de julho de 2020.</w:t>
      </w:r>
    </w:p>
    <w:p w14:paraId="3477C315" w14:textId="77777777" w:rsidR="00671118" w:rsidRPr="00FB6DC9" w:rsidRDefault="00671118" w:rsidP="003A4942">
      <w:pPr>
        <w:spacing w:before="100" w:beforeAutospacing="1" w:after="100" w:afterAutospacing="1" w:line="360" w:lineRule="auto"/>
        <w:jc w:val="both"/>
        <w:rPr>
          <w:rFonts w:eastAsia="Calibri"/>
          <w:color w:val="000000"/>
        </w:rPr>
      </w:pPr>
      <w:r w:rsidRPr="00FB6DC9">
        <w:rPr>
          <w:rFonts w:eastAsia="Calibri"/>
          <w:color w:val="000000"/>
        </w:rPr>
        <w:t>SECOLI, S.R. et al. Farmacoeconomia: perspectiva emergente no processo de tomada de decisão.</w:t>
      </w:r>
      <w:r w:rsidRPr="00FB6DC9">
        <w:rPr>
          <w:rFonts w:eastAsia="Calibri"/>
          <w:b/>
          <w:bCs/>
          <w:color w:val="000000"/>
        </w:rPr>
        <w:t xml:space="preserve"> Ciênc. Saúde Coletiva</w:t>
      </w:r>
      <w:r w:rsidRPr="00FB6DC9">
        <w:rPr>
          <w:rFonts w:eastAsia="Calibri"/>
          <w:color w:val="000000"/>
        </w:rPr>
        <w:t>, Rio de Janeiro, v. 10, supl. 1, p. 287-296, 2005.</w:t>
      </w:r>
    </w:p>
    <w:p w14:paraId="7183DD49" w14:textId="77777777" w:rsidR="00671118" w:rsidRPr="00FB6DC9" w:rsidRDefault="00671118" w:rsidP="003A4942">
      <w:pPr>
        <w:spacing w:before="100" w:beforeAutospacing="1" w:after="100" w:afterAutospacing="1" w:line="360" w:lineRule="auto"/>
        <w:jc w:val="both"/>
        <w:rPr>
          <w:rFonts w:eastAsia="Calibri"/>
          <w:noProof/>
          <w:lang w:val="en-US"/>
        </w:rPr>
      </w:pPr>
      <w:r w:rsidRPr="00FB6DC9">
        <w:rPr>
          <w:rFonts w:eastAsia="Calibri"/>
          <w:noProof/>
          <w:lang w:val="en-US"/>
        </w:rPr>
        <w:t xml:space="preserve">STROUP, D.F.; BERLIN, J.A.; MORTON, S.C. et al. Meta-analysis of Observational Studies in Epidemiology: A Proposal for Reporting. </w:t>
      </w:r>
      <w:r w:rsidRPr="00FB6DC9">
        <w:rPr>
          <w:rFonts w:eastAsia="Calibri"/>
          <w:b/>
          <w:bCs/>
          <w:noProof/>
          <w:lang w:val="en-US"/>
        </w:rPr>
        <w:t>JAMA.</w:t>
      </w:r>
      <w:r w:rsidRPr="00FB6DC9">
        <w:rPr>
          <w:rFonts w:eastAsia="Calibri"/>
          <w:noProof/>
          <w:lang w:val="en-US"/>
        </w:rPr>
        <w:t xml:space="preserve"> v. 283, n. 15,p. 2008–2012, 2000.</w:t>
      </w:r>
    </w:p>
    <w:p w14:paraId="6ACD1F7F" w14:textId="77777777" w:rsidR="00671118" w:rsidRPr="00FB6DC9" w:rsidRDefault="00671118" w:rsidP="003A4942">
      <w:pPr>
        <w:spacing w:before="100" w:beforeAutospacing="1" w:after="100" w:afterAutospacing="1" w:line="360" w:lineRule="auto"/>
        <w:jc w:val="both"/>
        <w:rPr>
          <w:rFonts w:eastAsia="Calibri"/>
          <w:color w:val="000000"/>
          <w:lang w:val="en-US"/>
        </w:rPr>
      </w:pPr>
      <w:r w:rsidRPr="00FB6DC9">
        <w:rPr>
          <w:rFonts w:eastAsia="Calibri"/>
          <w:color w:val="000000"/>
          <w:lang w:val="en-US"/>
        </w:rPr>
        <w:t xml:space="preserve">VAN NOOTEN F.; HOLMSTROM, S.; GREEN, J.; WIKLUND, I.; ODEYEMI, I.A.; WILCOX, T.K. Health economics and outcomes research within drug development: challenges and opportunities for reimbursement and market access within biopharma research. </w:t>
      </w:r>
      <w:r w:rsidRPr="00FB6DC9">
        <w:rPr>
          <w:rFonts w:eastAsia="Calibri"/>
          <w:b/>
          <w:bCs/>
          <w:color w:val="000000"/>
          <w:lang w:val="en-US"/>
        </w:rPr>
        <w:t>Drug Discov Today</w:t>
      </w:r>
      <w:r w:rsidRPr="00FB6DC9">
        <w:rPr>
          <w:rFonts w:eastAsia="Calibri"/>
          <w:color w:val="000000"/>
          <w:lang w:val="en-US"/>
        </w:rPr>
        <w:t>, v. 17, n. 11-12, p. 615-622, 2012.</w:t>
      </w:r>
    </w:p>
    <w:p w14:paraId="5A3E2D37" w14:textId="77777777" w:rsidR="00671118" w:rsidRPr="00FB6DC9" w:rsidRDefault="00671118" w:rsidP="003A4942">
      <w:pPr>
        <w:spacing w:before="100" w:beforeAutospacing="1" w:after="100" w:afterAutospacing="1" w:line="360" w:lineRule="auto"/>
        <w:jc w:val="both"/>
        <w:rPr>
          <w:rFonts w:eastAsia="Calibri"/>
          <w:noProof/>
          <w:lang w:val="en-US"/>
        </w:rPr>
      </w:pPr>
      <w:r w:rsidRPr="00FB6DC9">
        <w:rPr>
          <w:rFonts w:eastAsia="Calibri"/>
          <w:noProof/>
          <w:lang w:val="en-US"/>
        </w:rPr>
        <w:t xml:space="preserve">VANDENBROUCKE, J.P.; VON ELM, E.; ALTMAN, D.G.; GØTZSCHE, P.C.; MULROW, C.D. et al.  Strengthening the Reporting of Observational Studies in Epidemiology (STROBE): Explanation and Elaboration. </w:t>
      </w:r>
      <w:r w:rsidRPr="00FB6DC9">
        <w:rPr>
          <w:rFonts w:eastAsia="Calibri"/>
          <w:b/>
          <w:bCs/>
          <w:noProof/>
          <w:lang w:val="en-US"/>
        </w:rPr>
        <w:t>PLoS Med</w:t>
      </w:r>
      <w:r w:rsidRPr="00FB6DC9">
        <w:rPr>
          <w:rFonts w:eastAsia="Calibri"/>
          <w:noProof/>
          <w:lang w:val="en-US"/>
        </w:rPr>
        <w:t xml:space="preserve">, v. 4, n. 10, p. 1628-1654, 2007. </w:t>
      </w:r>
    </w:p>
    <w:p w14:paraId="1E598E58" w14:textId="77777777" w:rsidR="00671118" w:rsidRPr="00FB6DC9" w:rsidRDefault="00671118" w:rsidP="003A4942">
      <w:pPr>
        <w:spacing w:before="100" w:beforeAutospacing="1" w:after="100" w:afterAutospacing="1" w:line="360" w:lineRule="auto"/>
        <w:jc w:val="both"/>
        <w:rPr>
          <w:rFonts w:eastAsia="Calibri"/>
          <w:noProof/>
          <w:lang w:val="en-US"/>
        </w:rPr>
      </w:pPr>
      <w:r w:rsidRPr="00FB6DC9">
        <w:rPr>
          <w:rFonts w:eastAsia="Calibri"/>
          <w:noProof/>
          <w:lang w:val="en-US"/>
        </w:rPr>
        <w:t xml:space="preserve">WISE, J.; BARRON, A.G.; SPLENDIANI, A.; BALALI-MOOD, B. et al. Implementation and relevance of FAIR data principles in biopharmaceutical R&amp;D. </w:t>
      </w:r>
      <w:r w:rsidRPr="00FB6DC9">
        <w:rPr>
          <w:rFonts w:eastAsia="Calibri"/>
          <w:b/>
          <w:bCs/>
          <w:noProof/>
          <w:lang w:val="en-US"/>
        </w:rPr>
        <w:t>Drug Discovery Today</w:t>
      </w:r>
      <w:r w:rsidRPr="00FB6DC9">
        <w:rPr>
          <w:rFonts w:eastAsia="Calibri"/>
          <w:noProof/>
          <w:lang w:val="en-US"/>
        </w:rPr>
        <w:t>, v. 24, n. 4, p. 933-938, 2019.</w:t>
      </w:r>
    </w:p>
    <w:p w14:paraId="0518F6D6" w14:textId="45FD6DA6" w:rsidR="00787381" w:rsidRDefault="00787381">
      <w:pPr>
        <w:rPr>
          <w:b/>
          <w:bCs/>
          <w:sz w:val="32"/>
          <w:lang w:val="en-US"/>
        </w:rPr>
      </w:pPr>
      <w:r>
        <w:rPr>
          <w:b/>
          <w:bCs/>
          <w:sz w:val="32"/>
          <w:lang w:val="en-US"/>
        </w:rPr>
        <w:br w:type="page"/>
      </w:r>
    </w:p>
    <w:p w14:paraId="3699EFAB" w14:textId="6F723FA8" w:rsidR="00671118" w:rsidRDefault="00671118" w:rsidP="009403FF">
      <w:pPr>
        <w:jc w:val="both"/>
        <w:rPr>
          <w:b/>
          <w:bCs/>
          <w:sz w:val="32"/>
        </w:rPr>
      </w:pPr>
      <w:r>
        <w:rPr>
          <w:b/>
          <w:bCs/>
          <w:sz w:val="32"/>
        </w:rPr>
        <w:t>Capítulo 7</w:t>
      </w:r>
    </w:p>
    <w:p w14:paraId="295571A4" w14:textId="28416A8B" w:rsidR="0096461D" w:rsidRPr="00B02C5E" w:rsidRDefault="0096461D" w:rsidP="009403FF">
      <w:pPr>
        <w:jc w:val="both"/>
        <w:rPr>
          <w:b/>
          <w:bCs/>
          <w:sz w:val="28"/>
          <w:szCs w:val="28"/>
        </w:rPr>
      </w:pPr>
      <w:r w:rsidRPr="00B02C5E">
        <w:rPr>
          <w:b/>
          <w:bCs/>
          <w:sz w:val="28"/>
          <w:szCs w:val="28"/>
        </w:rPr>
        <w:t xml:space="preserve">Regulamentação sanitária para </w:t>
      </w:r>
      <w:r w:rsidR="0041747F">
        <w:rPr>
          <w:b/>
          <w:bCs/>
          <w:sz w:val="28"/>
          <w:szCs w:val="28"/>
        </w:rPr>
        <w:t xml:space="preserve">o registro de </w:t>
      </w:r>
      <w:r w:rsidRPr="00B02C5E">
        <w:rPr>
          <w:b/>
          <w:bCs/>
          <w:sz w:val="28"/>
          <w:szCs w:val="28"/>
        </w:rPr>
        <w:t>Medicamentos Novos no Brasil</w:t>
      </w:r>
    </w:p>
    <w:p w14:paraId="4DF5648A" w14:textId="6C5C4953" w:rsidR="0096461D" w:rsidRDefault="0096461D" w:rsidP="0096461D">
      <w:pPr>
        <w:jc w:val="right"/>
      </w:pPr>
      <w:r w:rsidRPr="00787381">
        <w:t>Giovanna Bonfante Borini</w:t>
      </w:r>
    </w:p>
    <w:p w14:paraId="2B75F8A7" w14:textId="79B00FD5" w:rsidR="003A4942" w:rsidRPr="003A4942" w:rsidRDefault="003A4942" w:rsidP="0096461D">
      <w:pPr>
        <w:jc w:val="right"/>
        <w:rPr>
          <w:lang w:val="pt-BR"/>
        </w:rPr>
      </w:pPr>
      <w:r w:rsidRPr="003A4942">
        <w:rPr>
          <w:lang w:val="pt-BR"/>
        </w:rPr>
        <w:t>Joelmir Lucena V</w:t>
      </w:r>
      <w:r>
        <w:rPr>
          <w:lang w:val="pt-BR"/>
        </w:rPr>
        <w:t>e</w:t>
      </w:r>
      <w:r w:rsidRPr="003A4942">
        <w:rPr>
          <w:lang w:val="pt-BR"/>
        </w:rPr>
        <w:t>iga da Si</w:t>
      </w:r>
      <w:r>
        <w:rPr>
          <w:lang w:val="pt-BR"/>
        </w:rPr>
        <w:t>lva</w:t>
      </w:r>
    </w:p>
    <w:p w14:paraId="04BC4706" w14:textId="77777777" w:rsidR="00787381" w:rsidRDefault="00787381" w:rsidP="00D44B98"/>
    <w:p w14:paraId="7811053F" w14:textId="6A16B8CC" w:rsidR="0096461D" w:rsidRPr="009403FF" w:rsidRDefault="0096461D" w:rsidP="00787381">
      <w:pPr>
        <w:spacing w:line="360" w:lineRule="auto"/>
        <w:rPr>
          <w:b/>
          <w:bCs/>
        </w:rPr>
      </w:pPr>
      <w:r w:rsidRPr="009403FF">
        <w:rPr>
          <w:b/>
          <w:bCs/>
        </w:rPr>
        <w:t>Introdução</w:t>
      </w:r>
    </w:p>
    <w:p w14:paraId="1146377C" w14:textId="4DCB5AFA" w:rsidR="00787381" w:rsidRPr="00787381" w:rsidRDefault="00D44B98" w:rsidP="00787381">
      <w:pPr>
        <w:spacing w:line="360" w:lineRule="auto"/>
        <w:jc w:val="both"/>
      </w:pPr>
      <w:r w:rsidRPr="00787381">
        <w:t>Este capítulo visa proporcionar uma visão geral e técnica de como se dá a regulamentação sanitária para o registro de medicamentos novos junto à ANVISA para sua posterior comercialização, e o cenário atual das legislações.</w:t>
      </w:r>
    </w:p>
    <w:p w14:paraId="04CD81CA" w14:textId="77777777" w:rsidR="00AD55CD" w:rsidRDefault="00AD55CD" w:rsidP="00787381">
      <w:pPr>
        <w:spacing w:line="360" w:lineRule="auto"/>
        <w:jc w:val="both"/>
        <w:rPr>
          <w:i/>
          <w:iCs/>
        </w:rPr>
      </w:pPr>
    </w:p>
    <w:p w14:paraId="29415ADC" w14:textId="5174B195" w:rsidR="0096461D" w:rsidRPr="00AD55CD" w:rsidRDefault="0096461D" w:rsidP="00787381">
      <w:pPr>
        <w:spacing w:line="360" w:lineRule="auto"/>
        <w:jc w:val="both"/>
        <w:rPr>
          <w:b/>
          <w:bCs/>
        </w:rPr>
      </w:pPr>
      <w:r w:rsidRPr="00AD55CD">
        <w:rPr>
          <w:b/>
          <w:bCs/>
        </w:rPr>
        <w:t>O mercado farmacêutico mundial e brasileiro</w:t>
      </w:r>
    </w:p>
    <w:p w14:paraId="4B476EC8" w14:textId="1C8A99FD" w:rsidR="0096461D" w:rsidRPr="00787381" w:rsidRDefault="0096461D" w:rsidP="00787381">
      <w:pPr>
        <w:spacing w:line="360" w:lineRule="auto"/>
        <w:ind w:firstLine="708"/>
        <w:jc w:val="both"/>
      </w:pPr>
      <w:r w:rsidRPr="00787381">
        <w:t xml:space="preserve">No final de 2020, o mercado farmacêutico global total foi avaliado em cerca de 1,27 trilhão de dólares americanos. Este é um mercado em expansão, como mostra a Figura </w:t>
      </w:r>
      <w:r w:rsidR="00871073">
        <w:t>5,</w:t>
      </w:r>
      <w:r w:rsidRPr="00787381">
        <w:t xml:space="preserve"> onde podemos observar um aumento significativo em relação a 2001, quando o mercado estava avaliado em apenas 390 bilhões de dólares americanos.</w:t>
      </w:r>
    </w:p>
    <w:p w14:paraId="0E71C5BA" w14:textId="77777777" w:rsidR="0096461D" w:rsidRPr="009403FF" w:rsidRDefault="0096461D" w:rsidP="0096461D">
      <w:pPr>
        <w:jc w:val="both"/>
      </w:pPr>
    </w:p>
    <w:p w14:paraId="4FC46DA2" w14:textId="0D6DF4E0" w:rsidR="0096461D" w:rsidRPr="009403FF" w:rsidRDefault="0096461D" w:rsidP="00787381">
      <w:pPr>
        <w:jc w:val="center"/>
      </w:pPr>
      <w:r w:rsidRPr="009403FF">
        <w:rPr>
          <w:noProof/>
        </w:rPr>
        <w:drawing>
          <wp:inline distT="0" distB="0" distL="0" distR="0" wp14:anchorId="51475108" wp14:editId="37FC7985">
            <wp:extent cx="4644436" cy="3050275"/>
            <wp:effectExtent l="19050" t="0" r="3764" b="0"/>
            <wp:docPr id="27" name="Imagem 2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Gráfico, Gráfico de barras&#10;&#10;Descrição gerada automaticamente"/>
                    <pic:cNvPicPr>
                      <a:picLocks noChangeAspect="1" noChangeArrowheads="1"/>
                    </pic:cNvPicPr>
                  </pic:nvPicPr>
                  <pic:blipFill>
                    <a:blip r:embed="rId28"/>
                    <a:srcRect l="5423" t="10620" r="39485" b="25050"/>
                    <a:stretch>
                      <a:fillRect/>
                    </a:stretch>
                  </pic:blipFill>
                  <pic:spPr bwMode="auto">
                    <a:xfrm>
                      <a:off x="0" y="0"/>
                      <a:ext cx="4644434" cy="3050274"/>
                    </a:xfrm>
                    <a:prstGeom prst="rect">
                      <a:avLst/>
                    </a:prstGeom>
                    <a:noFill/>
                    <a:ln w="9525">
                      <a:noFill/>
                      <a:miter lim="800000"/>
                      <a:headEnd/>
                      <a:tailEnd/>
                    </a:ln>
                  </pic:spPr>
                </pic:pic>
              </a:graphicData>
            </a:graphic>
          </wp:inline>
        </w:drawing>
      </w:r>
    </w:p>
    <w:p w14:paraId="3DAEC694" w14:textId="37015240" w:rsidR="0096461D" w:rsidRPr="00787381" w:rsidRDefault="0096461D" w:rsidP="0096461D">
      <w:pPr>
        <w:jc w:val="both"/>
      </w:pPr>
      <w:r w:rsidRPr="00787381">
        <w:rPr>
          <w:b/>
          <w:bCs/>
        </w:rPr>
        <w:t xml:space="preserve">Figura </w:t>
      </w:r>
      <w:r w:rsidR="00787381">
        <w:rPr>
          <w:b/>
          <w:bCs/>
        </w:rPr>
        <w:t>5</w:t>
      </w:r>
      <w:r w:rsidR="00787381" w:rsidRPr="00787381">
        <w:rPr>
          <w:b/>
          <w:bCs/>
        </w:rPr>
        <w:t xml:space="preserve"> -</w:t>
      </w:r>
      <w:r w:rsidRPr="00787381">
        <w:rPr>
          <w:b/>
          <w:bCs/>
        </w:rPr>
        <w:t xml:space="preserve"> Receitas do mercado farmacêutico mundial de 2001 a 2020 em bilhões de dólares americanos</w:t>
      </w:r>
      <w:r w:rsidRPr="00787381">
        <w:t>. (Fonte: https://www.statista.com/statistics/263102/pharmaceutical-market-worldwide-revenue-since-2001/)</w:t>
      </w:r>
    </w:p>
    <w:p w14:paraId="7504F6BA" w14:textId="77777777" w:rsidR="0096461D" w:rsidRPr="00787381" w:rsidRDefault="0096461D" w:rsidP="00787381">
      <w:pPr>
        <w:spacing w:line="360" w:lineRule="auto"/>
        <w:ind w:firstLine="708"/>
        <w:jc w:val="both"/>
      </w:pPr>
      <w:r w:rsidRPr="00787381">
        <w:t xml:space="preserve">O mercado brasileiro tem grande importância no cenário global, apesar de responder apenas por aproximadamente 2% do mercado mundial em 2019. É o principal mercado na América Latina, estando à frente de México, Colômbia e Argentina. </w:t>
      </w:r>
    </w:p>
    <w:p w14:paraId="5A7A2B0A" w14:textId="77777777" w:rsidR="0096461D" w:rsidRPr="00787381" w:rsidRDefault="0096461D" w:rsidP="00787381">
      <w:pPr>
        <w:spacing w:line="360" w:lineRule="auto"/>
        <w:ind w:firstLine="708"/>
        <w:jc w:val="both"/>
      </w:pPr>
      <w:r w:rsidRPr="00787381">
        <w:t xml:space="preserve">Isso se dá pelo fato do Brasil ser o 6º País com a maior população do mundo combinado com o acesso à saúde permitido pelo Sistema Único de Saúde (SUS); e o envelhecimento cada vez maior da população. </w:t>
      </w:r>
    </w:p>
    <w:p w14:paraId="1BD20703" w14:textId="77777777" w:rsidR="0096461D" w:rsidRPr="00787381" w:rsidRDefault="0096461D" w:rsidP="00787381">
      <w:pPr>
        <w:spacing w:line="360" w:lineRule="auto"/>
        <w:ind w:firstLine="708"/>
        <w:jc w:val="both"/>
      </w:pPr>
      <w:r w:rsidRPr="00787381">
        <w:t>Em 2018, por exemplo, o Brasil esteve oscilando entre a 6ª e a 7ª posições no ranking mundial, ficando atrás apenas de países como Estados Unidos, China, Japão, Alemanha e Itália. Seis anos antes, em 2013, ocupava a 8ª posição, evidenciando a constância e o potencial de crescimento.</w:t>
      </w:r>
    </w:p>
    <w:p w14:paraId="7B3C0E11" w14:textId="2DBD11CC" w:rsidR="0096461D" w:rsidRPr="00787381" w:rsidRDefault="0096461D" w:rsidP="00787381">
      <w:pPr>
        <w:spacing w:line="360" w:lineRule="auto"/>
        <w:ind w:firstLine="708"/>
        <w:jc w:val="both"/>
      </w:pPr>
      <w:r w:rsidRPr="00787381">
        <w:t>Um levantamento realizado pelo Sindicato da Indústria de Produtos Farmacêuticos (Sindusfarma) aponta que o mercado brasileiro de medicamentos no Canal Farmácia movimentou R$ 76,98 bilhões em 2020, com venda equivalente a 4,7 bilhões de unidades (caixas), segundo o levantamento da consultoria IQVIA.</w:t>
      </w:r>
      <w:r w:rsidR="00C744FD">
        <w:t xml:space="preserve"> </w:t>
      </w:r>
      <w:r w:rsidRPr="00787381">
        <w:t>Previsões da Associação da Indústria Farmacêutica de Pesquisa (Interfarma) mostram que o Brasil pode chegar à 5ª posição do ranking até o ano de 2023, caso consiga superar alguns obstáculos, entre eles o acesso a tratamentos mais modernos para doenças complexas como câncer e problemas degenerativos e neurológicos.</w:t>
      </w:r>
    </w:p>
    <w:p w14:paraId="493FB266" w14:textId="2662CC36" w:rsidR="0096461D" w:rsidRPr="00C744FD" w:rsidRDefault="0096461D" w:rsidP="00C744FD">
      <w:pPr>
        <w:spacing w:line="360" w:lineRule="auto"/>
        <w:ind w:firstLine="708"/>
        <w:jc w:val="both"/>
      </w:pPr>
      <w:r w:rsidRPr="00787381">
        <w:t>O maior mercado farmacêutico do mundo é o dos EUA. Abaixo, confira o ranking global com a comparação entre a lista dos 10 principais mercados de 2018 e a projeção para 2023</w:t>
      </w:r>
      <w:r w:rsidR="00871073">
        <w:t xml:space="preserve"> (QUINTANS, 2021).</w:t>
      </w:r>
    </w:p>
    <w:tbl>
      <w:tblPr>
        <w:tblStyle w:val="GridTable5Dark-Accent11"/>
        <w:tblW w:w="6521" w:type="dxa"/>
        <w:jc w:val="center"/>
        <w:tblLook w:val="04A0" w:firstRow="1" w:lastRow="0" w:firstColumn="1" w:lastColumn="0" w:noHBand="0" w:noVBand="1"/>
      </w:tblPr>
      <w:tblGrid>
        <w:gridCol w:w="963"/>
        <w:gridCol w:w="2903"/>
        <w:gridCol w:w="2655"/>
      </w:tblGrid>
      <w:tr w:rsidR="0096461D" w:rsidRPr="009403FF" w14:paraId="29A1964E" w14:textId="77777777" w:rsidTr="00C744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ABCDB8" w14:textId="77777777" w:rsidR="0096461D" w:rsidRPr="009403FF" w:rsidRDefault="0096461D" w:rsidP="00C744FD">
            <w:pPr>
              <w:jc w:val="both"/>
              <w:rPr>
                <w:szCs w:val="17"/>
              </w:rPr>
            </w:pPr>
            <w:r w:rsidRPr="009403FF">
              <w:rPr>
                <w:rStyle w:val="Forte"/>
                <w:szCs w:val="17"/>
                <w:bdr w:val="none" w:sz="0" w:space="0" w:color="auto" w:frame="1"/>
              </w:rPr>
              <w:t>Posição</w:t>
            </w:r>
          </w:p>
        </w:tc>
        <w:tc>
          <w:tcPr>
            <w:tcW w:w="2948" w:type="dxa"/>
            <w:hideMark/>
          </w:tcPr>
          <w:p w14:paraId="78FFDD70" w14:textId="77777777" w:rsidR="0096461D" w:rsidRPr="009403FF" w:rsidRDefault="0096461D" w:rsidP="00C744FD">
            <w:pPr>
              <w:jc w:val="both"/>
              <w:cnfStyle w:val="100000000000" w:firstRow="1" w:lastRow="0" w:firstColumn="0" w:lastColumn="0" w:oddVBand="0" w:evenVBand="0" w:oddHBand="0" w:evenHBand="0" w:firstRowFirstColumn="0" w:firstRowLastColumn="0" w:lastRowFirstColumn="0" w:lastRowLastColumn="0"/>
              <w:rPr>
                <w:szCs w:val="17"/>
              </w:rPr>
            </w:pPr>
            <w:r w:rsidRPr="009403FF">
              <w:rPr>
                <w:rStyle w:val="Forte"/>
                <w:szCs w:val="17"/>
                <w:bdr w:val="none" w:sz="0" w:space="0" w:color="auto" w:frame="1"/>
              </w:rPr>
              <w:t>2018</w:t>
            </w:r>
          </w:p>
        </w:tc>
        <w:tc>
          <w:tcPr>
            <w:tcW w:w="2693" w:type="dxa"/>
            <w:hideMark/>
          </w:tcPr>
          <w:p w14:paraId="0ADF0A7A" w14:textId="77777777" w:rsidR="0096461D" w:rsidRPr="009403FF" w:rsidRDefault="0096461D" w:rsidP="00C744FD">
            <w:pPr>
              <w:jc w:val="both"/>
              <w:cnfStyle w:val="100000000000" w:firstRow="1" w:lastRow="0" w:firstColumn="0" w:lastColumn="0" w:oddVBand="0" w:evenVBand="0" w:oddHBand="0" w:evenHBand="0" w:firstRowFirstColumn="0" w:firstRowLastColumn="0" w:lastRowFirstColumn="0" w:lastRowLastColumn="0"/>
              <w:rPr>
                <w:szCs w:val="17"/>
              </w:rPr>
            </w:pPr>
            <w:r w:rsidRPr="009403FF">
              <w:rPr>
                <w:rStyle w:val="Forte"/>
                <w:szCs w:val="17"/>
                <w:bdr w:val="none" w:sz="0" w:space="0" w:color="auto" w:frame="1"/>
              </w:rPr>
              <w:t>Projeção para 2023</w:t>
            </w:r>
          </w:p>
        </w:tc>
      </w:tr>
      <w:tr w:rsidR="0096461D" w:rsidRPr="009403FF" w14:paraId="4C6F1558" w14:textId="77777777" w:rsidTr="00C74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0FF9B7" w14:textId="77777777" w:rsidR="0096461D" w:rsidRPr="009403FF" w:rsidRDefault="0096461D" w:rsidP="00C744FD">
            <w:pPr>
              <w:jc w:val="both"/>
              <w:rPr>
                <w:szCs w:val="17"/>
              </w:rPr>
            </w:pPr>
            <w:r w:rsidRPr="009403FF">
              <w:rPr>
                <w:rStyle w:val="Forte"/>
                <w:szCs w:val="17"/>
                <w:bdr w:val="none" w:sz="0" w:space="0" w:color="auto" w:frame="1"/>
              </w:rPr>
              <w:t>1</w:t>
            </w:r>
          </w:p>
        </w:tc>
        <w:tc>
          <w:tcPr>
            <w:tcW w:w="2948" w:type="dxa"/>
            <w:hideMark/>
          </w:tcPr>
          <w:p w14:paraId="7AEBB0FA" w14:textId="77777777" w:rsidR="0096461D" w:rsidRPr="009403FF" w:rsidRDefault="0096461D" w:rsidP="00C744FD">
            <w:pPr>
              <w:jc w:val="both"/>
              <w:cnfStyle w:val="000000100000" w:firstRow="0" w:lastRow="0" w:firstColumn="0" w:lastColumn="0" w:oddVBand="0" w:evenVBand="0" w:oddHBand="1" w:evenHBand="0" w:firstRowFirstColumn="0" w:firstRowLastColumn="0" w:lastRowFirstColumn="0" w:lastRowLastColumn="0"/>
              <w:rPr>
                <w:szCs w:val="17"/>
              </w:rPr>
            </w:pPr>
            <w:r w:rsidRPr="009403FF">
              <w:rPr>
                <w:szCs w:val="17"/>
              </w:rPr>
              <w:t>Estados Unidos</w:t>
            </w:r>
          </w:p>
        </w:tc>
        <w:tc>
          <w:tcPr>
            <w:tcW w:w="2693" w:type="dxa"/>
            <w:hideMark/>
          </w:tcPr>
          <w:p w14:paraId="3EF15C4F" w14:textId="77777777" w:rsidR="0096461D" w:rsidRPr="009403FF" w:rsidRDefault="0096461D" w:rsidP="00C744FD">
            <w:pPr>
              <w:jc w:val="both"/>
              <w:cnfStyle w:val="000000100000" w:firstRow="0" w:lastRow="0" w:firstColumn="0" w:lastColumn="0" w:oddVBand="0" w:evenVBand="0" w:oddHBand="1" w:evenHBand="0" w:firstRowFirstColumn="0" w:firstRowLastColumn="0" w:lastRowFirstColumn="0" w:lastRowLastColumn="0"/>
              <w:rPr>
                <w:szCs w:val="17"/>
              </w:rPr>
            </w:pPr>
            <w:r w:rsidRPr="009403FF">
              <w:rPr>
                <w:szCs w:val="17"/>
              </w:rPr>
              <w:t>Estados Unidos</w:t>
            </w:r>
          </w:p>
        </w:tc>
      </w:tr>
      <w:tr w:rsidR="0096461D" w:rsidRPr="009403FF" w14:paraId="05755DF1" w14:textId="77777777" w:rsidTr="00C744F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92B838" w14:textId="77777777" w:rsidR="0096461D" w:rsidRPr="009403FF" w:rsidRDefault="0096461D" w:rsidP="00C744FD">
            <w:pPr>
              <w:jc w:val="both"/>
              <w:rPr>
                <w:szCs w:val="17"/>
              </w:rPr>
            </w:pPr>
            <w:r w:rsidRPr="009403FF">
              <w:rPr>
                <w:rStyle w:val="Forte"/>
                <w:szCs w:val="17"/>
                <w:bdr w:val="none" w:sz="0" w:space="0" w:color="auto" w:frame="1"/>
              </w:rPr>
              <w:t>2</w:t>
            </w:r>
          </w:p>
        </w:tc>
        <w:tc>
          <w:tcPr>
            <w:tcW w:w="2948" w:type="dxa"/>
            <w:hideMark/>
          </w:tcPr>
          <w:p w14:paraId="03B221BA" w14:textId="77777777" w:rsidR="0096461D" w:rsidRPr="009403FF" w:rsidRDefault="0096461D" w:rsidP="00C744FD">
            <w:pPr>
              <w:jc w:val="both"/>
              <w:cnfStyle w:val="000000000000" w:firstRow="0" w:lastRow="0" w:firstColumn="0" w:lastColumn="0" w:oddVBand="0" w:evenVBand="0" w:oddHBand="0" w:evenHBand="0" w:firstRowFirstColumn="0" w:firstRowLastColumn="0" w:lastRowFirstColumn="0" w:lastRowLastColumn="0"/>
              <w:rPr>
                <w:szCs w:val="17"/>
              </w:rPr>
            </w:pPr>
            <w:r w:rsidRPr="009403FF">
              <w:rPr>
                <w:szCs w:val="17"/>
              </w:rPr>
              <w:t>China</w:t>
            </w:r>
          </w:p>
        </w:tc>
        <w:tc>
          <w:tcPr>
            <w:tcW w:w="2693" w:type="dxa"/>
            <w:hideMark/>
          </w:tcPr>
          <w:p w14:paraId="63C486D4" w14:textId="77777777" w:rsidR="0096461D" w:rsidRPr="009403FF" w:rsidRDefault="0096461D" w:rsidP="00C744FD">
            <w:pPr>
              <w:jc w:val="both"/>
              <w:cnfStyle w:val="000000000000" w:firstRow="0" w:lastRow="0" w:firstColumn="0" w:lastColumn="0" w:oddVBand="0" w:evenVBand="0" w:oddHBand="0" w:evenHBand="0" w:firstRowFirstColumn="0" w:firstRowLastColumn="0" w:lastRowFirstColumn="0" w:lastRowLastColumn="0"/>
              <w:rPr>
                <w:szCs w:val="17"/>
              </w:rPr>
            </w:pPr>
            <w:r w:rsidRPr="009403FF">
              <w:rPr>
                <w:szCs w:val="17"/>
              </w:rPr>
              <w:t>China</w:t>
            </w:r>
          </w:p>
        </w:tc>
      </w:tr>
      <w:tr w:rsidR="0096461D" w:rsidRPr="009403FF" w14:paraId="3F2411A0" w14:textId="77777777" w:rsidTr="00C74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A1A1C0" w14:textId="77777777" w:rsidR="0096461D" w:rsidRPr="009403FF" w:rsidRDefault="0096461D" w:rsidP="00C744FD">
            <w:pPr>
              <w:jc w:val="both"/>
              <w:rPr>
                <w:szCs w:val="17"/>
              </w:rPr>
            </w:pPr>
            <w:r w:rsidRPr="009403FF">
              <w:rPr>
                <w:rStyle w:val="Forte"/>
                <w:szCs w:val="17"/>
                <w:bdr w:val="none" w:sz="0" w:space="0" w:color="auto" w:frame="1"/>
              </w:rPr>
              <w:t>3</w:t>
            </w:r>
          </w:p>
        </w:tc>
        <w:tc>
          <w:tcPr>
            <w:tcW w:w="2948" w:type="dxa"/>
            <w:hideMark/>
          </w:tcPr>
          <w:p w14:paraId="0DC6E2E6" w14:textId="77777777" w:rsidR="0096461D" w:rsidRPr="009403FF" w:rsidRDefault="0096461D" w:rsidP="00C744FD">
            <w:pPr>
              <w:jc w:val="both"/>
              <w:cnfStyle w:val="000000100000" w:firstRow="0" w:lastRow="0" w:firstColumn="0" w:lastColumn="0" w:oddVBand="0" w:evenVBand="0" w:oddHBand="1" w:evenHBand="0" w:firstRowFirstColumn="0" w:firstRowLastColumn="0" w:lastRowFirstColumn="0" w:lastRowLastColumn="0"/>
              <w:rPr>
                <w:szCs w:val="17"/>
              </w:rPr>
            </w:pPr>
            <w:r w:rsidRPr="009403FF">
              <w:rPr>
                <w:szCs w:val="17"/>
              </w:rPr>
              <w:t>Japão</w:t>
            </w:r>
          </w:p>
        </w:tc>
        <w:tc>
          <w:tcPr>
            <w:tcW w:w="2693" w:type="dxa"/>
            <w:hideMark/>
          </w:tcPr>
          <w:p w14:paraId="21FB421D" w14:textId="77777777" w:rsidR="0096461D" w:rsidRPr="009403FF" w:rsidRDefault="0096461D" w:rsidP="00C744FD">
            <w:pPr>
              <w:jc w:val="both"/>
              <w:cnfStyle w:val="000000100000" w:firstRow="0" w:lastRow="0" w:firstColumn="0" w:lastColumn="0" w:oddVBand="0" w:evenVBand="0" w:oddHBand="1" w:evenHBand="0" w:firstRowFirstColumn="0" w:firstRowLastColumn="0" w:lastRowFirstColumn="0" w:lastRowLastColumn="0"/>
              <w:rPr>
                <w:szCs w:val="17"/>
              </w:rPr>
            </w:pPr>
            <w:r w:rsidRPr="009403FF">
              <w:rPr>
                <w:szCs w:val="17"/>
              </w:rPr>
              <w:t>Japão</w:t>
            </w:r>
          </w:p>
        </w:tc>
      </w:tr>
      <w:tr w:rsidR="0096461D" w:rsidRPr="009403FF" w14:paraId="386AD258" w14:textId="77777777" w:rsidTr="00C744F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5C4FEB7" w14:textId="77777777" w:rsidR="0096461D" w:rsidRPr="009403FF" w:rsidRDefault="0096461D" w:rsidP="00C744FD">
            <w:pPr>
              <w:jc w:val="both"/>
              <w:rPr>
                <w:szCs w:val="17"/>
              </w:rPr>
            </w:pPr>
            <w:r w:rsidRPr="009403FF">
              <w:rPr>
                <w:rStyle w:val="Forte"/>
                <w:szCs w:val="17"/>
                <w:bdr w:val="none" w:sz="0" w:space="0" w:color="auto" w:frame="1"/>
              </w:rPr>
              <w:t>4</w:t>
            </w:r>
          </w:p>
        </w:tc>
        <w:tc>
          <w:tcPr>
            <w:tcW w:w="2948" w:type="dxa"/>
            <w:hideMark/>
          </w:tcPr>
          <w:p w14:paraId="516C9948" w14:textId="77777777" w:rsidR="0096461D" w:rsidRPr="009403FF" w:rsidRDefault="0096461D" w:rsidP="00C744FD">
            <w:pPr>
              <w:jc w:val="both"/>
              <w:cnfStyle w:val="000000000000" w:firstRow="0" w:lastRow="0" w:firstColumn="0" w:lastColumn="0" w:oddVBand="0" w:evenVBand="0" w:oddHBand="0" w:evenHBand="0" w:firstRowFirstColumn="0" w:firstRowLastColumn="0" w:lastRowFirstColumn="0" w:lastRowLastColumn="0"/>
              <w:rPr>
                <w:szCs w:val="17"/>
              </w:rPr>
            </w:pPr>
            <w:r w:rsidRPr="009403FF">
              <w:rPr>
                <w:szCs w:val="17"/>
              </w:rPr>
              <w:t>Alemanha</w:t>
            </w:r>
          </w:p>
        </w:tc>
        <w:tc>
          <w:tcPr>
            <w:tcW w:w="2693" w:type="dxa"/>
            <w:hideMark/>
          </w:tcPr>
          <w:p w14:paraId="4E414116" w14:textId="77777777" w:rsidR="0096461D" w:rsidRPr="009403FF" w:rsidRDefault="0096461D" w:rsidP="00C744FD">
            <w:pPr>
              <w:jc w:val="both"/>
              <w:cnfStyle w:val="000000000000" w:firstRow="0" w:lastRow="0" w:firstColumn="0" w:lastColumn="0" w:oddVBand="0" w:evenVBand="0" w:oddHBand="0" w:evenHBand="0" w:firstRowFirstColumn="0" w:firstRowLastColumn="0" w:lastRowFirstColumn="0" w:lastRowLastColumn="0"/>
              <w:rPr>
                <w:szCs w:val="17"/>
              </w:rPr>
            </w:pPr>
            <w:r w:rsidRPr="009403FF">
              <w:rPr>
                <w:szCs w:val="17"/>
              </w:rPr>
              <w:t>Alemanha</w:t>
            </w:r>
          </w:p>
        </w:tc>
      </w:tr>
      <w:tr w:rsidR="0096461D" w:rsidRPr="009403FF" w14:paraId="3D0F36FA" w14:textId="77777777" w:rsidTr="00C74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143C47" w14:textId="77777777" w:rsidR="0096461D" w:rsidRPr="009403FF" w:rsidRDefault="0096461D" w:rsidP="00C744FD">
            <w:pPr>
              <w:jc w:val="both"/>
              <w:rPr>
                <w:szCs w:val="17"/>
              </w:rPr>
            </w:pPr>
            <w:r w:rsidRPr="009403FF">
              <w:rPr>
                <w:rStyle w:val="Forte"/>
                <w:szCs w:val="17"/>
                <w:bdr w:val="none" w:sz="0" w:space="0" w:color="auto" w:frame="1"/>
              </w:rPr>
              <w:t>5</w:t>
            </w:r>
          </w:p>
        </w:tc>
        <w:tc>
          <w:tcPr>
            <w:tcW w:w="2948" w:type="dxa"/>
            <w:hideMark/>
          </w:tcPr>
          <w:p w14:paraId="2459667B" w14:textId="77777777" w:rsidR="0096461D" w:rsidRPr="009403FF" w:rsidRDefault="0096461D" w:rsidP="00C744FD">
            <w:pPr>
              <w:jc w:val="both"/>
              <w:cnfStyle w:val="000000100000" w:firstRow="0" w:lastRow="0" w:firstColumn="0" w:lastColumn="0" w:oddVBand="0" w:evenVBand="0" w:oddHBand="1" w:evenHBand="0" w:firstRowFirstColumn="0" w:firstRowLastColumn="0" w:lastRowFirstColumn="0" w:lastRowLastColumn="0"/>
              <w:rPr>
                <w:szCs w:val="17"/>
              </w:rPr>
            </w:pPr>
            <w:r w:rsidRPr="009403FF">
              <w:rPr>
                <w:szCs w:val="17"/>
              </w:rPr>
              <w:t>França</w:t>
            </w:r>
          </w:p>
        </w:tc>
        <w:tc>
          <w:tcPr>
            <w:tcW w:w="2693" w:type="dxa"/>
            <w:hideMark/>
          </w:tcPr>
          <w:p w14:paraId="14BD4BBC" w14:textId="77777777" w:rsidR="0096461D" w:rsidRPr="009403FF" w:rsidRDefault="0096461D" w:rsidP="00C744FD">
            <w:pPr>
              <w:jc w:val="both"/>
              <w:cnfStyle w:val="000000100000" w:firstRow="0" w:lastRow="0" w:firstColumn="0" w:lastColumn="0" w:oddVBand="0" w:evenVBand="0" w:oddHBand="1" w:evenHBand="0" w:firstRowFirstColumn="0" w:firstRowLastColumn="0" w:lastRowFirstColumn="0" w:lastRowLastColumn="0"/>
              <w:rPr>
                <w:b/>
                <w:szCs w:val="17"/>
              </w:rPr>
            </w:pPr>
            <w:r w:rsidRPr="009403FF">
              <w:rPr>
                <w:b/>
                <w:szCs w:val="17"/>
              </w:rPr>
              <w:t>Brasil</w:t>
            </w:r>
          </w:p>
        </w:tc>
      </w:tr>
      <w:tr w:rsidR="0096461D" w:rsidRPr="009403FF" w14:paraId="37BDD488" w14:textId="77777777" w:rsidTr="00C744F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BCD9D5" w14:textId="77777777" w:rsidR="0096461D" w:rsidRPr="009403FF" w:rsidRDefault="0096461D" w:rsidP="00C744FD">
            <w:pPr>
              <w:jc w:val="both"/>
              <w:rPr>
                <w:szCs w:val="17"/>
              </w:rPr>
            </w:pPr>
            <w:r w:rsidRPr="009403FF">
              <w:rPr>
                <w:rStyle w:val="Forte"/>
                <w:szCs w:val="17"/>
                <w:bdr w:val="none" w:sz="0" w:space="0" w:color="auto" w:frame="1"/>
              </w:rPr>
              <w:t>6</w:t>
            </w:r>
          </w:p>
        </w:tc>
        <w:tc>
          <w:tcPr>
            <w:tcW w:w="2948" w:type="dxa"/>
            <w:hideMark/>
          </w:tcPr>
          <w:p w14:paraId="66FD7F04" w14:textId="77777777" w:rsidR="0096461D" w:rsidRPr="009403FF" w:rsidRDefault="0096461D" w:rsidP="00C744FD">
            <w:pPr>
              <w:jc w:val="both"/>
              <w:cnfStyle w:val="000000000000" w:firstRow="0" w:lastRow="0" w:firstColumn="0" w:lastColumn="0" w:oddVBand="0" w:evenVBand="0" w:oddHBand="0" w:evenHBand="0" w:firstRowFirstColumn="0" w:firstRowLastColumn="0" w:lastRowFirstColumn="0" w:lastRowLastColumn="0"/>
              <w:rPr>
                <w:szCs w:val="17"/>
              </w:rPr>
            </w:pPr>
            <w:r w:rsidRPr="009403FF">
              <w:rPr>
                <w:szCs w:val="17"/>
              </w:rPr>
              <w:t>Itália</w:t>
            </w:r>
          </w:p>
        </w:tc>
        <w:tc>
          <w:tcPr>
            <w:tcW w:w="2693" w:type="dxa"/>
            <w:hideMark/>
          </w:tcPr>
          <w:p w14:paraId="25FEB6F6" w14:textId="77777777" w:rsidR="0096461D" w:rsidRPr="009403FF" w:rsidRDefault="0096461D" w:rsidP="00C744FD">
            <w:pPr>
              <w:jc w:val="both"/>
              <w:cnfStyle w:val="000000000000" w:firstRow="0" w:lastRow="0" w:firstColumn="0" w:lastColumn="0" w:oddVBand="0" w:evenVBand="0" w:oddHBand="0" w:evenHBand="0" w:firstRowFirstColumn="0" w:firstRowLastColumn="0" w:lastRowFirstColumn="0" w:lastRowLastColumn="0"/>
              <w:rPr>
                <w:szCs w:val="17"/>
              </w:rPr>
            </w:pPr>
            <w:r w:rsidRPr="009403FF">
              <w:rPr>
                <w:szCs w:val="17"/>
              </w:rPr>
              <w:t>Itália</w:t>
            </w:r>
          </w:p>
        </w:tc>
      </w:tr>
      <w:tr w:rsidR="0096461D" w:rsidRPr="009403FF" w14:paraId="00901FBA" w14:textId="77777777" w:rsidTr="00C74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8F4518" w14:textId="77777777" w:rsidR="0096461D" w:rsidRPr="009403FF" w:rsidRDefault="0096461D" w:rsidP="00C744FD">
            <w:pPr>
              <w:jc w:val="both"/>
              <w:rPr>
                <w:szCs w:val="17"/>
              </w:rPr>
            </w:pPr>
            <w:r w:rsidRPr="009403FF">
              <w:rPr>
                <w:rStyle w:val="Forte"/>
                <w:szCs w:val="17"/>
                <w:bdr w:val="none" w:sz="0" w:space="0" w:color="auto" w:frame="1"/>
              </w:rPr>
              <w:t>7</w:t>
            </w:r>
          </w:p>
        </w:tc>
        <w:tc>
          <w:tcPr>
            <w:tcW w:w="2948" w:type="dxa"/>
            <w:hideMark/>
          </w:tcPr>
          <w:p w14:paraId="7B5A5B78" w14:textId="77777777" w:rsidR="0096461D" w:rsidRPr="009403FF" w:rsidRDefault="0096461D" w:rsidP="00C744FD">
            <w:pPr>
              <w:jc w:val="both"/>
              <w:cnfStyle w:val="000000100000" w:firstRow="0" w:lastRow="0" w:firstColumn="0" w:lastColumn="0" w:oddVBand="0" w:evenVBand="0" w:oddHBand="1" w:evenHBand="0" w:firstRowFirstColumn="0" w:firstRowLastColumn="0" w:lastRowFirstColumn="0" w:lastRowLastColumn="0"/>
              <w:rPr>
                <w:b/>
                <w:szCs w:val="17"/>
              </w:rPr>
            </w:pPr>
            <w:r w:rsidRPr="009403FF">
              <w:rPr>
                <w:b/>
                <w:szCs w:val="17"/>
              </w:rPr>
              <w:t>Brasil</w:t>
            </w:r>
          </w:p>
        </w:tc>
        <w:tc>
          <w:tcPr>
            <w:tcW w:w="2693" w:type="dxa"/>
            <w:hideMark/>
          </w:tcPr>
          <w:p w14:paraId="5473FBCF" w14:textId="77777777" w:rsidR="0096461D" w:rsidRPr="009403FF" w:rsidRDefault="0096461D" w:rsidP="00C744FD">
            <w:pPr>
              <w:jc w:val="both"/>
              <w:cnfStyle w:val="000000100000" w:firstRow="0" w:lastRow="0" w:firstColumn="0" w:lastColumn="0" w:oddVBand="0" w:evenVBand="0" w:oddHBand="1" w:evenHBand="0" w:firstRowFirstColumn="0" w:firstRowLastColumn="0" w:lastRowFirstColumn="0" w:lastRowLastColumn="0"/>
              <w:rPr>
                <w:szCs w:val="17"/>
              </w:rPr>
            </w:pPr>
            <w:r w:rsidRPr="009403FF">
              <w:rPr>
                <w:szCs w:val="17"/>
              </w:rPr>
              <w:t>França</w:t>
            </w:r>
          </w:p>
        </w:tc>
      </w:tr>
      <w:tr w:rsidR="0096461D" w:rsidRPr="009403FF" w14:paraId="5FD59221" w14:textId="77777777" w:rsidTr="00C744F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1DC8C9" w14:textId="77777777" w:rsidR="0096461D" w:rsidRPr="009403FF" w:rsidRDefault="0096461D" w:rsidP="00C744FD">
            <w:pPr>
              <w:jc w:val="both"/>
              <w:rPr>
                <w:szCs w:val="17"/>
              </w:rPr>
            </w:pPr>
            <w:r w:rsidRPr="009403FF">
              <w:rPr>
                <w:rStyle w:val="Forte"/>
                <w:szCs w:val="17"/>
                <w:bdr w:val="none" w:sz="0" w:space="0" w:color="auto" w:frame="1"/>
              </w:rPr>
              <w:t>8</w:t>
            </w:r>
          </w:p>
        </w:tc>
        <w:tc>
          <w:tcPr>
            <w:tcW w:w="2948" w:type="dxa"/>
            <w:hideMark/>
          </w:tcPr>
          <w:p w14:paraId="75AC92EC" w14:textId="77777777" w:rsidR="0096461D" w:rsidRPr="009403FF" w:rsidRDefault="0096461D" w:rsidP="00C744FD">
            <w:pPr>
              <w:jc w:val="both"/>
              <w:cnfStyle w:val="000000000000" w:firstRow="0" w:lastRow="0" w:firstColumn="0" w:lastColumn="0" w:oddVBand="0" w:evenVBand="0" w:oddHBand="0" w:evenHBand="0" w:firstRowFirstColumn="0" w:firstRowLastColumn="0" w:lastRowFirstColumn="0" w:lastRowLastColumn="0"/>
              <w:rPr>
                <w:szCs w:val="17"/>
              </w:rPr>
            </w:pPr>
            <w:r w:rsidRPr="009403FF">
              <w:rPr>
                <w:szCs w:val="17"/>
              </w:rPr>
              <w:t>Reino Unido</w:t>
            </w:r>
          </w:p>
        </w:tc>
        <w:tc>
          <w:tcPr>
            <w:tcW w:w="2693" w:type="dxa"/>
            <w:hideMark/>
          </w:tcPr>
          <w:p w14:paraId="788D4D26" w14:textId="77777777" w:rsidR="0096461D" w:rsidRPr="009403FF" w:rsidRDefault="0096461D" w:rsidP="00C744FD">
            <w:pPr>
              <w:jc w:val="both"/>
              <w:cnfStyle w:val="000000000000" w:firstRow="0" w:lastRow="0" w:firstColumn="0" w:lastColumn="0" w:oddVBand="0" w:evenVBand="0" w:oddHBand="0" w:evenHBand="0" w:firstRowFirstColumn="0" w:firstRowLastColumn="0" w:lastRowFirstColumn="0" w:lastRowLastColumn="0"/>
              <w:rPr>
                <w:szCs w:val="17"/>
              </w:rPr>
            </w:pPr>
            <w:r w:rsidRPr="009403FF">
              <w:rPr>
                <w:szCs w:val="17"/>
              </w:rPr>
              <w:t>Reino Unido</w:t>
            </w:r>
          </w:p>
        </w:tc>
      </w:tr>
      <w:tr w:rsidR="0096461D" w:rsidRPr="009403FF" w14:paraId="5187BB1A" w14:textId="77777777" w:rsidTr="00C74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53E869" w14:textId="77777777" w:rsidR="0096461D" w:rsidRPr="009403FF" w:rsidRDefault="0096461D" w:rsidP="00C744FD">
            <w:pPr>
              <w:jc w:val="both"/>
              <w:rPr>
                <w:szCs w:val="17"/>
              </w:rPr>
            </w:pPr>
            <w:r w:rsidRPr="009403FF">
              <w:rPr>
                <w:rStyle w:val="Forte"/>
                <w:szCs w:val="17"/>
                <w:bdr w:val="none" w:sz="0" w:space="0" w:color="auto" w:frame="1"/>
              </w:rPr>
              <w:t>9</w:t>
            </w:r>
          </w:p>
        </w:tc>
        <w:tc>
          <w:tcPr>
            <w:tcW w:w="2948" w:type="dxa"/>
            <w:hideMark/>
          </w:tcPr>
          <w:p w14:paraId="7107D79D" w14:textId="77777777" w:rsidR="0096461D" w:rsidRPr="009403FF" w:rsidRDefault="0096461D" w:rsidP="00C744FD">
            <w:pPr>
              <w:jc w:val="both"/>
              <w:cnfStyle w:val="000000100000" w:firstRow="0" w:lastRow="0" w:firstColumn="0" w:lastColumn="0" w:oddVBand="0" w:evenVBand="0" w:oddHBand="1" w:evenHBand="0" w:firstRowFirstColumn="0" w:firstRowLastColumn="0" w:lastRowFirstColumn="0" w:lastRowLastColumn="0"/>
              <w:rPr>
                <w:szCs w:val="17"/>
              </w:rPr>
            </w:pPr>
            <w:r w:rsidRPr="009403FF">
              <w:rPr>
                <w:szCs w:val="17"/>
              </w:rPr>
              <w:t>Espanha</w:t>
            </w:r>
          </w:p>
        </w:tc>
        <w:tc>
          <w:tcPr>
            <w:tcW w:w="2693" w:type="dxa"/>
            <w:hideMark/>
          </w:tcPr>
          <w:p w14:paraId="54E78936" w14:textId="77777777" w:rsidR="0096461D" w:rsidRPr="009403FF" w:rsidRDefault="0096461D" w:rsidP="00C744FD">
            <w:pPr>
              <w:jc w:val="both"/>
              <w:cnfStyle w:val="000000100000" w:firstRow="0" w:lastRow="0" w:firstColumn="0" w:lastColumn="0" w:oddVBand="0" w:evenVBand="0" w:oddHBand="1" w:evenHBand="0" w:firstRowFirstColumn="0" w:firstRowLastColumn="0" w:lastRowFirstColumn="0" w:lastRowLastColumn="0"/>
              <w:rPr>
                <w:szCs w:val="17"/>
              </w:rPr>
            </w:pPr>
            <w:r w:rsidRPr="009403FF">
              <w:rPr>
                <w:szCs w:val="17"/>
              </w:rPr>
              <w:t>Índia</w:t>
            </w:r>
          </w:p>
        </w:tc>
      </w:tr>
      <w:tr w:rsidR="0096461D" w:rsidRPr="009403FF" w14:paraId="669D8018" w14:textId="77777777" w:rsidTr="00C744F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F21B028" w14:textId="77777777" w:rsidR="0096461D" w:rsidRPr="009403FF" w:rsidRDefault="0096461D" w:rsidP="00C744FD">
            <w:pPr>
              <w:jc w:val="both"/>
              <w:rPr>
                <w:szCs w:val="17"/>
              </w:rPr>
            </w:pPr>
            <w:r w:rsidRPr="009403FF">
              <w:rPr>
                <w:rStyle w:val="Forte"/>
                <w:szCs w:val="17"/>
                <w:bdr w:val="none" w:sz="0" w:space="0" w:color="auto" w:frame="1"/>
              </w:rPr>
              <w:t>10</w:t>
            </w:r>
          </w:p>
        </w:tc>
        <w:tc>
          <w:tcPr>
            <w:tcW w:w="2948" w:type="dxa"/>
            <w:hideMark/>
          </w:tcPr>
          <w:p w14:paraId="2A6FD4F6" w14:textId="77777777" w:rsidR="0096461D" w:rsidRPr="009403FF" w:rsidRDefault="0096461D" w:rsidP="00C744FD">
            <w:pPr>
              <w:jc w:val="both"/>
              <w:cnfStyle w:val="000000000000" w:firstRow="0" w:lastRow="0" w:firstColumn="0" w:lastColumn="0" w:oddVBand="0" w:evenVBand="0" w:oddHBand="0" w:evenHBand="0" w:firstRowFirstColumn="0" w:firstRowLastColumn="0" w:lastRowFirstColumn="0" w:lastRowLastColumn="0"/>
              <w:rPr>
                <w:szCs w:val="17"/>
              </w:rPr>
            </w:pPr>
            <w:r w:rsidRPr="009403FF">
              <w:rPr>
                <w:szCs w:val="17"/>
              </w:rPr>
              <w:t>Canadá</w:t>
            </w:r>
          </w:p>
        </w:tc>
        <w:tc>
          <w:tcPr>
            <w:tcW w:w="2693" w:type="dxa"/>
            <w:hideMark/>
          </w:tcPr>
          <w:p w14:paraId="1F49A076" w14:textId="77777777" w:rsidR="0096461D" w:rsidRPr="009403FF" w:rsidRDefault="0096461D" w:rsidP="00C744FD">
            <w:pPr>
              <w:jc w:val="both"/>
              <w:cnfStyle w:val="000000000000" w:firstRow="0" w:lastRow="0" w:firstColumn="0" w:lastColumn="0" w:oddVBand="0" w:evenVBand="0" w:oddHBand="0" w:evenHBand="0" w:firstRowFirstColumn="0" w:firstRowLastColumn="0" w:lastRowFirstColumn="0" w:lastRowLastColumn="0"/>
              <w:rPr>
                <w:szCs w:val="17"/>
              </w:rPr>
            </w:pPr>
            <w:r w:rsidRPr="009403FF">
              <w:rPr>
                <w:szCs w:val="17"/>
              </w:rPr>
              <w:t>Espanha</w:t>
            </w:r>
          </w:p>
        </w:tc>
      </w:tr>
    </w:tbl>
    <w:p w14:paraId="4347FF85" w14:textId="2B727E52" w:rsidR="0096461D" w:rsidRPr="009403FF" w:rsidRDefault="0096461D" w:rsidP="0096461D">
      <w:pPr>
        <w:jc w:val="both"/>
      </w:pPr>
      <w:r w:rsidRPr="009403FF">
        <w:t xml:space="preserve">* </w:t>
      </w:r>
      <w:r w:rsidRPr="009403FF">
        <w:rPr>
          <w:sz w:val="20"/>
        </w:rPr>
        <w:t>A posição de cada país no ranking é definida de acordo com o percentual de seu faturamento comparado ao dos Estados Unidos, o mercado do Brasil, por exemplo, representa 7% do faturamento dos EUA, o que o faz ocupar o 7º lugar.</w:t>
      </w:r>
    </w:p>
    <w:p w14:paraId="10AC213D" w14:textId="77777777" w:rsidR="0096461D" w:rsidRPr="00787381" w:rsidRDefault="0096461D" w:rsidP="0096461D">
      <w:pPr>
        <w:jc w:val="both"/>
      </w:pPr>
    </w:p>
    <w:p w14:paraId="3683E379" w14:textId="77777777" w:rsidR="0096461D" w:rsidRPr="00787381" w:rsidRDefault="0096461D" w:rsidP="00787381">
      <w:pPr>
        <w:spacing w:line="360" w:lineRule="auto"/>
        <w:ind w:firstLine="708"/>
        <w:jc w:val="both"/>
      </w:pPr>
      <w:r w:rsidRPr="00787381">
        <w:t xml:space="preserve">A indústria farmacêutica vem passando por uma transformação massiva com o surgimento de novas tecnologias, novas abordagens de manufatura 4.0 que são mais econômicas e mais eficientes. Isso também é observado nas tendências atuais e aprovações recentes de medicamentos por órgãos reguladores em todo o mundo. Um estudo realizado sobre medicamentos novos registrados no Brasil no período de 2003 a 2013 elencou os seguintes dados sobre números de registros concedidos pela ANVISA: </w:t>
      </w:r>
      <w:r w:rsidRPr="00787381">
        <w:rPr>
          <w:rStyle w:val="Refdenotaderodap"/>
        </w:rPr>
        <w:footnoteReference w:id="1"/>
      </w:r>
    </w:p>
    <w:p w14:paraId="7CBA6947" w14:textId="77777777" w:rsidR="0096461D" w:rsidRPr="009403FF" w:rsidRDefault="0096461D" w:rsidP="0096461D">
      <w:pPr>
        <w:jc w:val="both"/>
      </w:pPr>
    </w:p>
    <w:p w14:paraId="1665BE35" w14:textId="6CDCF0DC" w:rsidR="0096461D" w:rsidRPr="00F270DB" w:rsidRDefault="0096461D" w:rsidP="0096461D">
      <w:pPr>
        <w:jc w:val="both"/>
        <w:rPr>
          <w:b/>
          <w:bCs/>
        </w:rPr>
      </w:pPr>
      <w:r w:rsidRPr="00F270DB">
        <w:rPr>
          <w:b/>
          <w:bCs/>
        </w:rPr>
        <w:t>Tabela 1</w:t>
      </w:r>
      <w:r w:rsidR="00787381" w:rsidRPr="00F270DB">
        <w:rPr>
          <w:b/>
          <w:bCs/>
        </w:rPr>
        <w:t xml:space="preserve"> -</w:t>
      </w:r>
      <w:r w:rsidRPr="00F270DB">
        <w:rPr>
          <w:b/>
          <w:bCs/>
        </w:rPr>
        <w:t xml:space="preserve"> Características dos 159 novos medicamentos registrados no Brasil de 2003 a 2013. </w:t>
      </w:r>
    </w:p>
    <w:tbl>
      <w:tblPr>
        <w:tblStyle w:val="GridTable5Dark-Accent11"/>
        <w:tblW w:w="0" w:type="auto"/>
        <w:jc w:val="center"/>
        <w:tblLook w:val="04A0" w:firstRow="1" w:lastRow="0" w:firstColumn="1" w:lastColumn="0" w:noHBand="0" w:noVBand="1"/>
      </w:tblPr>
      <w:tblGrid>
        <w:gridCol w:w="2405"/>
        <w:gridCol w:w="2273"/>
        <w:gridCol w:w="1134"/>
      </w:tblGrid>
      <w:tr w:rsidR="00DE084C" w:rsidRPr="00F270DB" w14:paraId="2D7F2B06" w14:textId="77777777" w:rsidTr="00DE08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583EC301" w14:textId="77777777" w:rsidR="0096461D" w:rsidRPr="00F270DB" w:rsidRDefault="0096461D" w:rsidP="0041747F">
            <w:pPr>
              <w:spacing w:line="360" w:lineRule="auto"/>
              <w:jc w:val="both"/>
            </w:pPr>
            <w:r w:rsidRPr="00F270DB">
              <w:t>Características</w:t>
            </w:r>
          </w:p>
        </w:tc>
        <w:tc>
          <w:tcPr>
            <w:tcW w:w="2273" w:type="dxa"/>
          </w:tcPr>
          <w:p w14:paraId="7ACBEFB3" w14:textId="52AFA572" w:rsidR="0096461D" w:rsidRPr="00F270DB" w:rsidRDefault="0096461D" w:rsidP="0041747F">
            <w:pPr>
              <w:spacing w:line="360" w:lineRule="auto"/>
              <w:cnfStyle w:val="100000000000" w:firstRow="1" w:lastRow="0" w:firstColumn="0" w:lastColumn="0" w:oddVBand="0" w:evenVBand="0" w:oddHBand="0" w:evenHBand="0" w:firstRowFirstColumn="0" w:firstRowLastColumn="0" w:lastRowFirstColumn="0" w:lastRowLastColumn="0"/>
            </w:pPr>
            <w:r w:rsidRPr="00F270DB">
              <w:t xml:space="preserve">Número de Medicamentos </w:t>
            </w:r>
          </w:p>
        </w:tc>
        <w:tc>
          <w:tcPr>
            <w:tcW w:w="1134" w:type="dxa"/>
          </w:tcPr>
          <w:p w14:paraId="7CB7AD45" w14:textId="77777777" w:rsidR="0096461D" w:rsidRPr="00F270DB" w:rsidRDefault="0096461D" w:rsidP="0041747F">
            <w:pPr>
              <w:spacing w:line="360" w:lineRule="auto"/>
              <w:jc w:val="both"/>
              <w:cnfStyle w:val="100000000000" w:firstRow="1" w:lastRow="0" w:firstColumn="0" w:lastColumn="0" w:oddVBand="0" w:evenVBand="0" w:oddHBand="0" w:evenHBand="0" w:firstRowFirstColumn="0" w:firstRowLastColumn="0" w:lastRowFirstColumn="0" w:lastRowLastColumn="0"/>
            </w:pPr>
            <w:r w:rsidRPr="00F270DB">
              <w:t xml:space="preserve">% </w:t>
            </w:r>
          </w:p>
        </w:tc>
      </w:tr>
      <w:tr w:rsidR="00DE084C" w:rsidRPr="00F270DB" w14:paraId="4807FD68" w14:textId="77777777" w:rsidTr="00DE08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02A261DF" w14:textId="77777777" w:rsidR="0096461D" w:rsidRPr="00F270DB" w:rsidRDefault="0096461D" w:rsidP="0041747F">
            <w:pPr>
              <w:spacing w:line="360" w:lineRule="auto"/>
              <w:jc w:val="both"/>
            </w:pPr>
            <w:r w:rsidRPr="00F270DB">
              <w:t xml:space="preserve">Fármaco químico </w:t>
            </w:r>
          </w:p>
        </w:tc>
        <w:tc>
          <w:tcPr>
            <w:tcW w:w="2273" w:type="dxa"/>
          </w:tcPr>
          <w:p w14:paraId="2A914F93" w14:textId="77777777" w:rsidR="0096461D" w:rsidRPr="00F270DB" w:rsidRDefault="0096461D" w:rsidP="0041747F">
            <w:pPr>
              <w:spacing w:line="360" w:lineRule="auto"/>
              <w:jc w:val="both"/>
              <w:cnfStyle w:val="000000100000" w:firstRow="0" w:lastRow="0" w:firstColumn="0" w:lastColumn="0" w:oddVBand="0" w:evenVBand="0" w:oddHBand="1" w:evenHBand="0" w:firstRowFirstColumn="0" w:firstRowLastColumn="0" w:lastRowFirstColumn="0" w:lastRowLastColumn="0"/>
            </w:pPr>
            <w:r w:rsidRPr="00F270DB">
              <w:t xml:space="preserve">118 </w:t>
            </w:r>
          </w:p>
        </w:tc>
        <w:tc>
          <w:tcPr>
            <w:tcW w:w="1134" w:type="dxa"/>
          </w:tcPr>
          <w:p w14:paraId="23A690A6" w14:textId="77777777" w:rsidR="0096461D" w:rsidRPr="00F270DB" w:rsidRDefault="0096461D" w:rsidP="0041747F">
            <w:pPr>
              <w:spacing w:line="360" w:lineRule="auto"/>
              <w:jc w:val="both"/>
              <w:cnfStyle w:val="000000100000" w:firstRow="0" w:lastRow="0" w:firstColumn="0" w:lastColumn="0" w:oddVBand="0" w:evenVBand="0" w:oddHBand="1" w:evenHBand="0" w:firstRowFirstColumn="0" w:firstRowLastColumn="0" w:lastRowFirstColumn="0" w:lastRowLastColumn="0"/>
            </w:pPr>
            <w:r w:rsidRPr="00F270DB">
              <w:t xml:space="preserve">74,2 </w:t>
            </w:r>
          </w:p>
        </w:tc>
      </w:tr>
      <w:tr w:rsidR="00DE084C" w:rsidRPr="00F270DB" w14:paraId="134D550D" w14:textId="77777777" w:rsidTr="00DE084C">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75915518" w14:textId="77777777" w:rsidR="0096461D" w:rsidRPr="00F270DB" w:rsidRDefault="0096461D" w:rsidP="0041747F">
            <w:pPr>
              <w:spacing w:line="360" w:lineRule="auto"/>
              <w:jc w:val="both"/>
            </w:pPr>
            <w:r w:rsidRPr="00F270DB">
              <w:t xml:space="preserve">Fármaco biológico </w:t>
            </w:r>
          </w:p>
        </w:tc>
        <w:tc>
          <w:tcPr>
            <w:tcW w:w="2273" w:type="dxa"/>
          </w:tcPr>
          <w:p w14:paraId="637A8383" w14:textId="77777777" w:rsidR="0096461D" w:rsidRPr="00F270DB" w:rsidRDefault="0096461D" w:rsidP="0041747F">
            <w:pPr>
              <w:spacing w:line="360" w:lineRule="auto"/>
              <w:jc w:val="both"/>
              <w:cnfStyle w:val="000000000000" w:firstRow="0" w:lastRow="0" w:firstColumn="0" w:lastColumn="0" w:oddVBand="0" w:evenVBand="0" w:oddHBand="0" w:evenHBand="0" w:firstRowFirstColumn="0" w:firstRowLastColumn="0" w:lastRowFirstColumn="0" w:lastRowLastColumn="0"/>
            </w:pPr>
            <w:r w:rsidRPr="00F270DB">
              <w:t xml:space="preserve">41 </w:t>
            </w:r>
          </w:p>
        </w:tc>
        <w:tc>
          <w:tcPr>
            <w:tcW w:w="1134" w:type="dxa"/>
          </w:tcPr>
          <w:p w14:paraId="6E1413ED" w14:textId="77777777" w:rsidR="0096461D" w:rsidRPr="00F270DB" w:rsidRDefault="0096461D" w:rsidP="0041747F">
            <w:pPr>
              <w:spacing w:line="360" w:lineRule="auto"/>
              <w:jc w:val="both"/>
              <w:cnfStyle w:val="000000000000" w:firstRow="0" w:lastRow="0" w:firstColumn="0" w:lastColumn="0" w:oddVBand="0" w:evenVBand="0" w:oddHBand="0" w:evenHBand="0" w:firstRowFirstColumn="0" w:firstRowLastColumn="0" w:lastRowFirstColumn="0" w:lastRowLastColumn="0"/>
            </w:pPr>
            <w:r w:rsidRPr="00F270DB">
              <w:t xml:space="preserve">25,8 </w:t>
            </w:r>
          </w:p>
        </w:tc>
      </w:tr>
      <w:tr w:rsidR="00DE084C" w:rsidRPr="00F270DB" w14:paraId="26D3A760" w14:textId="77777777" w:rsidTr="00DE08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8C48135" w14:textId="77777777" w:rsidR="0096461D" w:rsidRPr="00F270DB" w:rsidRDefault="0096461D" w:rsidP="0041747F">
            <w:pPr>
              <w:spacing w:line="360" w:lineRule="auto"/>
              <w:jc w:val="both"/>
            </w:pPr>
            <w:r w:rsidRPr="00F270DB">
              <w:t>First in class *</w:t>
            </w:r>
          </w:p>
        </w:tc>
        <w:tc>
          <w:tcPr>
            <w:tcW w:w="2273" w:type="dxa"/>
          </w:tcPr>
          <w:p w14:paraId="459D8B8C" w14:textId="77777777" w:rsidR="0096461D" w:rsidRPr="00F270DB" w:rsidRDefault="0096461D" w:rsidP="0041747F">
            <w:pPr>
              <w:spacing w:line="360" w:lineRule="auto"/>
              <w:jc w:val="both"/>
              <w:cnfStyle w:val="000000100000" w:firstRow="0" w:lastRow="0" w:firstColumn="0" w:lastColumn="0" w:oddVBand="0" w:evenVBand="0" w:oddHBand="1" w:evenHBand="0" w:firstRowFirstColumn="0" w:firstRowLastColumn="0" w:lastRowFirstColumn="0" w:lastRowLastColumn="0"/>
            </w:pPr>
            <w:r w:rsidRPr="00F270DB">
              <w:t xml:space="preserve">51 </w:t>
            </w:r>
          </w:p>
        </w:tc>
        <w:tc>
          <w:tcPr>
            <w:tcW w:w="1134" w:type="dxa"/>
          </w:tcPr>
          <w:p w14:paraId="47FF43AA" w14:textId="77777777" w:rsidR="0096461D" w:rsidRPr="00F270DB" w:rsidRDefault="0096461D" w:rsidP="0041747F">
            <w:pPr>
              <w:spacing w:line="360" w:lineRule="auto"/>
              <w:jc w:val="both"/>
              <w:cnfStyle w:val="000000100000" w:firstRow="0" w:lastRow="0" w:firstColumn="0" w:lastColumn="0" w:oddVBand="0" w:evenVBand="0" w:oddHBand="1" w:evenHBand="0" w:firstRowFirstColumn="0" w:firstRowLastColumn="0" w:lastRowFirstColumn="0" w:lastRowLastColumn="0"/>
            </w:pPr>
            <w:r w:rsidRPr="00F270DB">
              <w:t xml:space="preserve">32,1 </w:t>
            </w:r>
          </w:p>
        </w:tc>
      </w:tr>
      <w:tr w:rsidR="00DE084C" w:rsidRPr="00F270DB" w14:paraId="5761F7BD" w14:textId="77777777" w:rsidTr="00DE084C">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20C8E6D1" w14:textId="77777777" w:rsidR="0096461D" w:rsidRPr="00F270DB" w:rsidRDefault="0096461D" w:rsidP="0041747F">
            <w:pPr>
              <w:spacing w:line="360" w:lineRule="auto"/>
              <w:jc w:val="both"/>
            </w:pPr>
            <w:r w:rsidRPr="00F270DB">
              <w:t xml:space="preserve">Grau de inovação </w:t>
            </w:r>
          </w:p>
        </w:tc>
        <w:tc>
          <w:tcPr>
            <w:tcW w:w="2273" w:type="dxa"/>
          </w:tcPr>
          <w:p w14:paraId="564BAAB4" w14:textId="77777777" w:rsidR="0096461D" w:rsidRPr="00F270DB" w:rsidRDefault="0096461D" w:rsidP="0041747F">
            <w:pPr>
              <w:spacing w:line="360" w:lineRule="auto"/>
              <w:jc w:val="both"/>
              <w:cnfStyle w:val="000000000000" w:firstRow="0" w:lastRow="0" w:firstColumn="0" w:lastColumn="0" w:oddVBand="0" w:evenVBand="0" w:oddHBand="0" w:evenHBand="0" w:firstRowFirstColumn="0" w:firstRowLastColumn="0" w:lastRowFirstColumn="0" w:lastRowLastColumn="0"/>
            </w:pPr>
            <w:r w:rsidRPr="00F270DB">
              <w:t xml:space="preserve"> </w:t>
            </w:r>
          </w:p>
        </w:tc>
        <w:tc>
          <w:tcPr>
            <w:tcW w:w="1134" w:type="dxa"/>
          </w:tcPr>
          <w:p w14:paraId="2FE09FDF" w14:textId="77777777" w:rsidR="0096461D" w:rsidRPr="00F270DB" w:rsidRDefault="0096461D" w:rsidP="0041747F">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DE084C" w:rsidRPr="00F270DB" w14:paraId="2FB08D57" w14:textId="77777777" w:rsidTr="00DE08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646A03AC" w14:textId="77777777" w:rsidR="0096461D" w:rsidRPr="00F270DB" w:rsidRDefault="0096461D" w:rsidP="0041747F">
            <w:pPr>
              <w:spacing w:line="360" w:lineRule="auto"/>
              <w:jc w:val="both"/>
            </w:pPr>
            <w:r w:rsidRPr="00F270DB">
              <w:t xml:space="preserve">Farmacológica </w:t>
            </w:r>
          </w:p>
        </w:tc>
        <w:tc>
          <w:tcPr>
            <w:tcW w:w="2273" w:type="dxa"/>
          </w:tcPr>
          <w:p w14:paraId="521BBA8B" w14:textId="77777777" w:rsidR="0096461D" w:rsidRPr="00F270DB" w:rsidRDefault="0096461D" w:rsidP="0041747F">
            <w:pPr>
              <w:spacing w:line="360" w:lineRule="auto"/>
              <w:jc w:val="both"/>
              <w:cnfStyle w:val="000000100000" w:firstRow="0" w:lastRow="0" w:firstColumn="0" w:lastColumn="0" w:oddVBand="0" w:evenVBand="0" w:oddHBand="1" w:evenHBand="0" w:firstRowFirstColumn="0" w:firstRowLastColumn="0" w:lastRowFirstColumn="0" w:lastRowLastColumn="0"/>
            </w:pPr>
            <w:r w:rsidRPr="00F270DB">
              <w:t xml:space="preserve">66 </w:t>
            </w:r>
          </w:p>
        </w:tc>
        <w:tc>
          <w:tcPr>
            <w:tcW w:w="1134" w:type="dxa"/>
          </w:tcPr>
          <w:p w14:paraId="0CD05744" w14:textId="77777777" w:rsidR="0096461D" w:rsidRPr="00F270DB" w:rsidRDefault="0096461D" w:rsidP="0041747F">
            <w:pPr>
              <w:spacing w:line="360" w:lineRule="auto"/>
              <w:jc w:val="both"/>
              <w:cnfStyle w:val="000000100000" w:firstRow="0" w:lastRow="0" w:firstColumn="0" w:lastColumn="0" w:oddVBand="0" w:evenVBand="0" w:oddHBand="1" w:evenHBand="0" w:firstRowFirstColumn="0" w:firstRowLastColumn="0" w:lastRowFirstColumn="0" w:lastRowLastColumn="0"/>
            </w:pPr>
            <w:r w:rsidRPr="00F270DB">
              <w:t xml:space="preserve">41,5 </w:t>
            </w:r>
          </w:p>
        </w:tc>
      </w:tr>
      <w:tr w:rsidR="00DE084C" w:rsidRPr="00F270DB" w14:paraId="4416A5FE" w14:textId="77777777" w:rsidTr="00DE084C">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232B20F1" w14:textId="77777777" w:rsidR="0096461D" w:rsidRPr="00F270DB" w:rsidRDefault="0096461D" w:rsidP="0041747F">
            <w:pPr>
              <w:spacing w:line="360" w:lineRule="auto"/>
              <w:jc w:val="both"/>
            </w:pPr>
            <w:r w:rsidRPr="00F270DB">
              <w:t xml:space="preserve">Moderada </w:t>
            </w:r>
          </w:p>
        </w:tc>
        <w:tc>
          <w:tcPr>
            <w:tcW w:w="2273" w:type="dxa"/>
          </w:tcPr>
          <w:p w14:paraId="489B8B53" w14:textId="77777777" w:rsidR="0096461D" w:rsidRPr="00F270DB" w:rsidRDefault="0096461D" w:rsidP="0041747F">
            <w:pPr>
              <w:spacing w:line="360" w:lineRule="auto"/>
              <w:jc w:val="both"/>
              <w:cnfStyle w:val="000000000000" w:firstRow="0" w:lastRow="0" w:firstColumn="0" w:lastColumn="0" w:oddVBand="0" w:evenVBand="0" w:oddHBand="0" w:evenHBand="0" w:firstRowFirstColumn="0" w:firstRowLastColumn="0" w:lastRowFirstColumn="0" w:lastRowLastColumn="0"/>
            </w:pPr>
            <w:r w:rsidRPr="00F270DB">
              <w:t xml:space="preserve">34 </w:t>
            </w:r>
          </w:p>
        </w:tc>
        <w:tc>
          <w:tcPr>
            <w:tcW w:w="1134" w:type="dxa"/>
          </w:tcPr>
          <w:p w14:paraId="123CDDD3" w14:textId="77777777" w:rsidR="0096461D" w:rsidRPr="00F270DB" w:rsidRDefault="0096461D" w:rsidP="0041747F">
            <w:pPr>
              <w:spacing w:line="360" w:lineRule="auto"/>
              <w:jc w:val="both"/>
              <w:cnfStyle w:val="000000000000" w:firstRow="0" w:lastRow="0" w:firstColumn="0" w:lastColumn="0" w:oddVBand="0" w:evenVBand="0" w:oddHBand="0" w:evenHBand="0" w:firstRowFirstColumn="0" w:firstRowLastColumn="0" w:lastRowFirstColumn="0" w:lastRowLastColumn="0"/>
            </w:pPr>
            <w:r w:rsidRPr="00F270DB">
              <w:t xml:space="preserve">21,4 </w:t>
            </w:r>
          </w:p>
        </w:tc>
      </w:tr>
      <w:tr w:rsidR="00DE084C" w:rsidRPr="00F270DB" w14:paraId="1CED3825" w14:textId="77777777" w:rsidTr="00DE08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33EADFE9" w14:textId="77777777" w:rsidR="0096461D" w:rsidRPr="00F270DB" w:rsidRDefault="0096461D" w:rsidP="0041747F">
            <w:pPr>
              <w:spacing w:line="360" w:lineRule="auto"/>
              <w:jc w:val="both"/>
            </w:pPr>
            <w:r w:rsidRPr="00F270DB">
              <w:t xml:space="preserve">Importante </w:t>
            </w:r>
          </w:p>
        </w:tc>
        <w:tc>
          <w:tcPr>
            <w:tcW w:w="2273" w:type="dxa"/>
          </w:tcPr>
          <w:p w14:paraId="549CB0EE" w14:textId="77777777" w:rsidR="0096461D" w:rsidRPr="00F270DB" w:rsidRDefault="0096461D" w:rsidP="0041747F">
            <w:pPr>
              <w:spacing w:line="360" w:lineRule="auto"/>
              <w:jc w:val="both"/>
              <w:cnfStyle w:val="000000100000" w:firstRow="0" w:lastRow="0" w:firstColumn="0" w:lastColumn="0" w:oddVBand="0" w:evenVBand="0" w:oddHBand="1" w:evenHBand="0" w:firstRowFirstColumn="0" w:firstRowLastColumn="0" w:lastRowFirstColumn="0" w:lastRowLastColumn="0"/>
            </w:pPr>
            <w:r w:rsidRPr="00F270DB">
              <w:t xml:space="preserve">28 </w:t>
            </w:r>
          </w:p>
        </w:tc>
        <w:tc>
          <w:tcPr>
            <w:tcW w:w="1134" w:type="dxa"/>
          </w:tcPr>
          <w:p w14:paraId="1A3C78A6" w14:textId="77777777" w:rsidR="0096461D" w:rsidRPr="00F270DB" w:rsidRDefault="0096461D" w:rsidP="0041747F">
            <w:pPr>
              <w:spacing w:line="360" w:lineRule="auto"/>
              <w:jc w:val="both"/>
              <w:cnfStyle w:val="000000100000" w:firstRow="0" w:lastRow="0" w:firstColumn="0" w:lastColumn="0" w:oddVBand="0" w:evenVBand="0" w:oddHBand="1" w:evenHBand="0" w:firstRowFirstColumn="0" w:firstRowLastColumn="0" w:lastRowFirstColumn="0" w:lastRowLastColumn="0"/>
            </w:pPr>
            <w:r w:rsidRPr="00F270DB">
              <w:t xml:space="preserve">17,6 </w:t>
            </w:r>
          </w:p>
        </w:tc>
      </w:tr>
      <w:tr w:rsidR="00DE084C" w:rsidRPr="00F270DB" w14:paraId="0D3D54DE" w14:textId="77777777" w:rsidTr="00DE084C">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538FB3FD" w14:textId="77777777" w:rsidR="0096461D" w:rsidRPr="00F270DB" w:rsidRDefault="0096461D" w:rsidP="0041747F">
            <w:pPr>
              <w:spacing w:line="360" w:lineRule="auto"/>
              <w:jc w:val="both"/>
            </w:pPr>
            <w:r w:rsidRPr="00F270DB">
              <w:t xml:space="preserve">Modesta </w:t>
            </w:r>
          </w:p>
        </w:tc>
        <w:tc>
          <w:tcPr>
            <w:tcW w:w="2273" w:type="dxa"/>
          </w:tcPr>
          <w:p w14:paraId="4AF8D4DD" w14:textId="77777777" w:rsidR="0096461D" w:rsidRPr="00F270DB" w:rsidRDefault="0096461D" w:rsidP="0041747F">
            <w:pPr>
              <w:spacing w:line="360" w:lineRule="auto"/>
              <w:jc w:val="both"/>
              <w:cnfStyle w:val="000000000000" w:firstRow="0" w:lastRow="0" w:firstColumn="0" w:lastColumn="0" w:oddVBand="0" w:evenVBand="0" w:oddHBand="0" w:evenHBand="0" w:firstRowFirstColumn="0" w:firstRowLastColumn="0" w:lastRowFirstColumn="0" w:lastRowLastColumn="0"/>
            </w:pPr>
            <w:r w:rsidRPr="00F270DB">
              <w:t xml:space="preserve">24 </w:t>
            </w:r>
          </w:p>
        </w:tc>
        <w:tc>
          <w:tcPr>
            <w:tcW w:w="1134" w:type="dxa"/>
          </w:tcPr>
          <w:p w14:paraId="470B07F6" w14:textId="77777777" w:rsidR="0096461D" w:rsidRPr="00F270DB" w:rsidRDefault="0096461D" w:rsidP="0041747F">
            <w:pPr>
              <w:spacing w:line="360" w:lineRule="auto"/>
              <w:jc w:val="both"/>
              <w:cnfStyle w:val="000000000000" w:firstRow="0" w:lastRow="0" w:firstColumn="0" w:lastColumn="0" w:oddVBand="0" w:evenVBand="0" w:oddHBand="0" w:evenHBand="0" w:firstRowFirstColumn="0" w:firstRowLastColumn="0" w:lastRowFirstColumn="0" w:lastRowLastColumn="0"/>
            </w:pPr>
            <w:r w:rsidRPr="00F270DB">
              <w:t xml:space="preserve">15,1 </w:t>
            </w:r>
          </w:p>
        </w:tc>
      </w:tr>
      <w:tr w:rsidR="00DE084C" w:rsidRPr="00F270DB" w14:paraId="608C29D8" w14:textId="77777777" w:rsidTr="00DE08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04ED7CBA" w14:textId="77777777" w:rsidR="0096461D" w:rsidRPr="00F270DB" w:rsidRDefault="0096461D" w:rsidP="0041747F">
            <w:pPr>
              <w:spacing w:line="360" w:lineRule="auto"/>
              <w:jc w:val="both"/>
            </w:pPr>
            <w:r w:rsidRPr="00F270DB">
              <w:t xml:space="preserve">Tecnológica </w:t>
            </w:r>
          </w:p>
        </w:tc>
        <w:tc>
          <w:tcPr>
            <w:tcW w:w="2273" w:type="dxa"/>
          </w:tcPr>
          <w:p w14:paraId="25D6A844" w14:textId="77777777" w:rsidR="0096461D" w:rsidRPr="00F270DB" w:rsidRDefault="0096461D" w:rsidP="0041747F">
            <w:pPr>
              <w:spacing w:line="360" w:lineRule="auto"/>
              <w:jc w:val="both"/>
              <w:cnfStyle w:val="000000100000" w:firstRow="0" w:lastRow="0" w:firstColumn="0" w:lastColumn="0" w:oddVBand="0" w:evenVBand="0" w:oddHBand="1" w:evenHBand="0" w:firstRowFirstColumn="0" w:firstRowLastColumn="0" w:lastRowFirstColumn="0" w:lastRowLastColumn="0"/>
            </w:pPr>
            <w:r w:rsidRPr="00F270DB">
              <w:t xml:space="preserve">7 </w:t>
            </w:r>
          </w:p>
        </w:tc>
        <w:tc>
          <w:tcPr>
            <w:tcW w:w="1134" w:type="dxa"/>
          </w:tcPr>
          <w:p w14:paraId="3701F120" w14:textId="77777777" w:rsidR="0096461D" w:rsidRPr="00F270DB" w:rsidRDefault="0096461D" w:rsidP="0041747F">
            <w:pPr>
              <w:spacing w:line="360" w:lineRule="auto"/>
              <w:jc w:val="both"/>
              <w:cnfStyle w:val="000000100000" w:firstRow="0" w:lastRow="0" w:firstColumn="0" w:lastColumn="0" w:oddVBand="0" w:evenVBand="0" w:oddHBand="1" w:evenHBand="0" w:firstRowFirstColumn="0" w:firstRowLastColumn="0" w:lastRowFirstColumn="0" w:lastRowLastColumn="0"/>
            </w:pPr>
            <w:r w:rsidRPr="00F270DB">
              <w:t>4,4</w:t>
            </w:r>
          </w:p>
        </w:tc>
      </w:tr>
    </w:tbl>
    <w:p w14:paraId="7C2E3FC5" w14:textId="2A505CD9" w:rsidR="0096461D" w:rsidRPr="00F270DB" w:rsidRDefault="0096461D" w:rsidP="00F270DB">
      <w:pPr>
        <w:jc w:val="center"/>
        <w:rPr>
          <w:lang w:val="en-US"/>
        </w:rPr>
      </w:pPr>
      <w:r w:rsidRPr="00F270DB">
        <w:rPr>
          <w:lang w:val="en-US"/>
        </w:rPr>
        <w:t>*</w:t>
      </w:r>
      <w:r w:rsidRPr="00F270DB">
        <w:rPr>
          <w:i/>
          <w:iCs/>
          <w:lang w:val="en-US"/>
        </w:rPr>
        <w:t xml:space="preserve">First in class </w:t>
      </w:r>
      <w:r w:rsidRPr="00F270DB">
        <w:rPr>
          <w:lang w:val="en-US"/>
        </w:rPr>
        <w:t>– primeira molécula</w:t>
      </w:r>
    </w:p>
    <w:p w14:paraId="155175E2" w14:textId="77777777" w:rsidR="0096461D" w:rsidRPr="00F270DB" w:rsidRDefault="0096461D" w:rsidP="00F270DB">
      <w:pPr>
        <w:spacing w:line="360" w:lineRule="auto"/>
        <w:jc w:val="both"/>
        <w:rPr>
          <w:lang w:val="en-US"/>
        </w:rPr>
      </w:pPr>
    </w:p>
    <w:p w14:paraId="133C6329" w14:textId="71353EDB" w:rsidR="0096461D" w:rsidRPr="009403FF" w:rsidRDefault="0096461D" w:rsidP="00DE084C">
      <w:pPr>
        <w:spacing w:line="360" w:lineRule="auto"/>
        <w:ind w:firstLine="708"/>
        <w:jc w:val="both"/>
      </w:pPr>
      <w:r w:rsidRPr="009403FF">
        <w:t xml:space="preserve">Dos 159 medicamentos elencados no estudo, em relação à natureza do processo de obtenção, 118 (74,2%) eram fármacos químicos e 41(25,8%) biológicos. Com relação ao grau de inovação dos 159 medicamentos, 28 (17,6%) foram classificados como inovação importante, 34 (21,4%) como moderada, 24 (15,1%) como modesta, 66 (41,5%) como farmacológica e 7 (4,4%) como tecnológica (Tabela 1). Quanto ao grau de inovação dos 51 medicamentos </w:t>
      </w:r>
      <w:r w:rsidRPr="009403FF">
        <w:rPr>
          <w:i/>
        </w:rPr>
        <w:t>first in class</w:t>
      </w:r>
      <w:r w:rsidRPr="009403FF">
        <w:t>, 10 (19,6%) foram classificados como inovação importante, 15 (29,4%) como moderada, 10 (19,6%) como modesta, e 16 (31,4%) como farmacológica</w:t>
      </w:r>
      <w:r w:rsidR="00C744FD">
        <w:t xml:space="preserve"> (BOTELHO; MARTINS; REIS, 2018).</w:t>
      </w:r>
    </w:p>
    <w:p w14:paraId="1C8DD69A" w14:textId="6BFAE7F2" w:rsidR="0096461D" w:rsidRPr="00AD55CD" w:rsidRDefault="0096461D" w:rsidP="00DE084C">
      <w:pPr>
        <w:spacing w:line="360" w:lineRule="auto"/>
        <w:ind w:firstLine="708"/>
        <w:jc w:val="both"/>
      </w:pPr>
      <w:r w:rsidRPr="00AD55CD">
        <w:t>Outro estudo realizado por Botelho apresenta um panorama geral dos medicamentos sintéticos regist</w:t>
      </w:r>
      <w:r w:rsidR="00C744FD">
        <w:t>R</w:t>
      </w:r>
      <w:r w:rsidRPr="00AD55CD">
        <w:t xml:space="preserve">ados no Brasil nas categorias de novos/inovadores, genéricos e similares no contexto de avaliar cerca de 20 anos após a criação da Anvisa e da política dos genéricos e após a intensificação da regulação de medicamentos no país. Foram localizados 6.454 processos de registros de medicamentos sintéticos válidos, que correspondem a 7.721 produtos diferentes. A base de dados não permitiu que os processos de registros de medicamentos novos e inovadores fossem separados entre si. </w:t>
      </w:r>
      <w:r w:rsidR="00DE084C" w:rsidRPr="00AD55CD">
        <w:t>Foi</w:t>
      </w:r>
      <w:r w:rsidRPr="00AD55CD">
        <w:t xml:space="preserve"> verificado</w:t>
      </w:r>
      <w:r w:rsidR="00DE084C" w:rsidRPr="00AD55CD">
        <w:t xml:space="preserve"> que </w:t>
      </w:r>
      <w:r w:rsidRPr="00AD55CD">
        <w:t>mais de 18% dos produtos registrados foram medicamentos novos ao longo dos 20 anos de existência da ANVISA, sendo a maioria dos registros de medicamentos genéricos e similares. Este estudo ainda aponta que cerca de 60,0% dos processos de registro ativos (4.112; 63,7%) estão concentrados em 30 empresas. A maioria dessas empresas é de capital nacional. É sabido que a indústria nacional detém grande parte do mercado de medicamentos genéricos e similares. Por fim, este estudo mostrou que identificados 886 princípios ativos isolados diferentes e 371 associações medicamentosas diferentes. Em ambos os casos, verifica-se predominância dos medicamentos de uso esporádico, em especial, dos analgésicos, antitérmicos e antimicrobianos.</w:t>
      </w:r>
    </w:p>
    <w:p w14:paraId="1368CD41" w14:textId="60A9FACA" w:rsidR="0096461D" w:rsidRPr="00C744FD" w:rsidRDefault="0096461D" w:rsidP="00DE084C">
      <w:pPr>
        <w:spacing w:line="360" w:lineRule="auto"/>
        <w:ind w:firstLine="708"/>
        <w:jc w:val="both"/>
      </w:pPr>
      <w:r w:rsidRPr="00C744FD">
        <w:t xml:space="preserve">Este estudo ainda traz um levantamento do número de produtos sintéticos e semissintéticos registrados por forma farmacêutica, como pode ser visto na Figura </w:t>
      </w:r>
      <w:r w:rsidR="00DE084C" w:rsidRPr="00C744FD">
        <w:t>6</w:t>
      </w:r>
      <w:r w:rsidRPr="00C744FD">
        <w:t>. As formas sólidas orais são as predominantes, sendo os comprimidos a grande maioria esmagadora confirmando a importância desta forma farmacêutica no mercado de medicamentos. A seguir, podemos identificar os medicamentos de uso injetável, que são utilizados principalmente em ambiente hospitalar e, embora não possuam todas as comodidades dos produtos de uso oral, por vezes são a alternativa mais adequada, por apresentarem maior velocidade de ação, maior biodisponibilidade e menor susceptibilidade ao metabolismo hepático inicial (efeito de primeira passagem). Em terceiro lugar são encontrados os medicamentos de uso tópico que, em sua maioria, são utilizados para liberação local de ativos.</w:t>
      </w:r>
    </w:p>
    <w:p w14:paraId="3696EEBC" w14:textId="77777777" w:rsidR="0096461D" w:rsidRPr="009403FF" w:rsidRDefault="0096461D" w:rsidP="0096461D">
      <w:pPr>
        <w:jc w:val="both"/>
      </w:pPr>
    </w:p>
    <w:p w14:paraId="1F7232A0" w14:textId="3215D663" w:rsidR="0096461D" w:rsidRPr="009403FF" w:rsidRDefault="0041747F" w:rsidP="0041747F">
      <w:pPr>
        <w:jc w:val="center"/>
      </w:pPr>
      <w:r w:rsidRPr="009403FF">
        <w:rPr>
          <w:noProof/>
        </w:rPr>
        <w:drawing>
          <wp:inline distT="0" distB="0" distL="0" distR="0" wp14:anchorId="16C3E839" wp14:editId="74B07F70">
            <wp:extent cx="4505183" cy="3841845"/>
            <wp:effectExtent l="19050" t="0" r="0" b="0"/>
            <wp:docPr id="30" name="Imagem 30"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Interface gráfica do usuário&#10;&#10;Descrição gerada automaticamente"/>
                    <pic:cNvPicPr>
                      <a:picLocks noChangeAspect="1" noChangeArrowheads="1"/>
                    </pic:cNvPicPr>
                  </pic:nvPicPr>
                  <pic:blipFill>
                    <a:blip r:embed="rId29"/>
                    <a:srcRect l="26409" t="16744" r="27681" b="13736"/>
                    <a:stretch>
                      <a:fillRect/>
                    </a:stretch>
                  </pic:blipFill>
                  <pic:spPr bwMode="auto">
                    <a:xfrm>
                      <a:off x="0" y="0"/>
                      <a:ext cx="4505183" cy="3841845"/>
                    </a:xfrm>
                    <a:prstGeom prst="rect">
                      <a:avLst/>
                    </a:prstGeom>
                    <a:noFill/>
                    <a:ln w="9525">
                      <a:noFill/>
                      <a:miter lim="800000"/>
                      <a:headEnd/>
                      <a:tailEnd/>
                    </a:ln>
                  </pic:spPr>
                </pic:pic>
              </a:graphicData>
            </a:graphic>
          </wp:inline>
        </w:drawing>
      </w:r>
    </w:p>
    <w:p w14:paraId="7B0CD580" w14:textId="13A11A71" w:rsidR="0096461D" w:rsidRDefault="0096461D" w:rsidP="0096461D">
      <w:pPr>
        <w:jc w:val="both"/>
      </w:pPr>
      <w:r w:rsidRPr="00DE084C">
        <w:rPr>
          <w:b/>
          <w:bCs/>
        </w:rPr>
        <w:t xml:space="preserve">Figura </w:t>
      </w:r>
      <w:r w:rsidR="00DE084C" w:rsidRPr="00DE084C">
        <w:rPr>
          <w:b/>
          <w:bCs/>
        </w:rPr>
        <w:t>6 -</w:t>
      </w:r>
      <w:r w:rsidRPr="00DE084C">
        <w:rPr>
          <w:b/>
          <w:bCs/>
        </w:rPr>
        <w:t xml:space="preserve"> Número de produtos sintéticos e semissintéticos registrados por forma farmacêutica.</w:t>
      </w:r>
      <w:r w:rsidRPr="009403FF">
        <w:t xml:space="preserve"> Fonte: Franca et al</w:t>
      </w:r>
      <w:r w:rsidR="00C744FD">
        <w:t>.</w:t>
      </w:r>
      <w:r w:rsidRPr="009403FF">
        <w:t xml:space="preserve"> (2020).</w:t>
      </w:r>
    </w:p>
    <w:p w14:paraId="18CABC7A" w14:textId="77777777" w:rsidR="00DE084C" w:rsidRPr="00DE084C" w:rsidRDefault="00DE084C" w:rsidP="00DE084C">
      <w:pPr>
        <w:spacing w:line="360" w:lineRule="auto"/>
        <w:jc w:val="both"/>
      </w:pPr>
    </w:p>
    <w:p w14:paraId="3667843D" w14:textId="77777777" w:rsidR="0096461D" w:rsidRPr="00DE084C" w:rsidRDefault="0096461D" w:rsidP="00DE084C">
      <w:pPr>
        <w:spacing w:line="360" w:lineRule="auto"/>
        <w:ind w:firstLine="708"/>
        <w:jc w:val="both"/>
      </w:pPr>
      <w:r w:rsidRPr="00DE084C">
        <w:t xml:space="preserve">Como mostrado até agora, os medicamentos novos/inovadores, genéricos e similares compreendem os produtos cujos insumos farmacêuticos ativos são de origem sintética ou semissintética e correspondem à maioria dos produtos regulamentados pela Anvisa. </w:t>
      </w:r>
    </w:p>
    <w:p w14:paraId="3C48F200" w14:textId="77777777" w:rsidR="0096461D" w:rsidRPr="00DE084C" w:rsidRDefault="0096461D" w:rsidP="00DE084C">
      <w:pPr>
        <w:spacing w:line="360" w:lineRule="auto"/>
        <w:ind w:firstLine="708"/>
        <w:jc w:val="both"/>
      </w:pPr>
      <w:r w:rsidRPr="00DE084C">
        <w:t xml:space="preserve">Se no Brasil são a maioria, isso também ocorre mundialmente. Por exemplo, em 2018, 59 medicamentos novos obtiveram </w:t>
      </w:r>
      <w:r w:rsidRPr="00C744FD">
        <w:rPr>
          <w:bCs/>
        </w:rPr>
        <w:t>aprovação regulatória</w:t>
      </w:r>
      <w:r w:rsidRPr="00DE084C">
        <w:t xml:space="preserve"> do FDA dos EUA, dos quais 71% dos medicamentos eram de moléculas sintéticas. </w:t>
      </w:r>
    </w:p>
    <w:p w14:paraId="0D958A32" w14:textId="7369926A" w:rsidR="0096461D" w:rsidRPr="00DE084C" w:rsidRDefault="0096461D" w:rsidP="00DE084C">
      <w:pPr>
        <w:spacing w:line="360" w:lineRule="auto"/>
        <w:ind w:firstLine="708"/>
        <w:jc w:val="both"/>
      </w:pPr>
      <w:r w:rsidRPr="00DE084C">
        <w:t>Essa representatividade na regulação também se reflete no mercado. Dados do ano de 2019 mostram que medicamentos com moléculas sintéticas responderam por até 90% do total das vendas globais de medicamentos. Dentro do mercado global de 2020, ainda foram a maioria representando mais de 65% das receitas</w:t>
      </w:r>
      <w:r w:rsidR="00C75216" w:rsidRPr="00C75216">
        <w:rPr>
          <w:lang w:val="pt-BR"/>
        </w:rPr>
        <w:t xml:space="preserve"> </w:t>
      </w:r>
      <w:r w:rsidR="00C75216">
        <w:rPr>
          <w:lang w:val="pt-BR"/>
        </w:rPr>
        <w:t>(GRAND VIEW RESEARCH, 2020).</w:t>
      </w:r>
      <w:r w:rsidR="00DE084C">
        <w:t xml:space="preserve"> </w:t>
      </w:r>
      <w:r w:rsidRPr="00DE084C">
        <w:t>Os produtos enquadrados nesta categoria são regulamentados pela RDC n° 200/20178 e pela RDC n° 73/2016</w:t>
      </w:r>
      <w:r w:rsidR="00DE084C">
        <w:t>.</w:t>
      </w:r>
      <w:r w:rsidRPr="00DE084C">
        <w:t xml:space="preserve"> Porém, nos últimos anos, os produtos biológicos estão cada vez mais ganhando força demonstrando eficácia promissora para o tratamento de doenças autoimunes e câncer, entre outras. Devido aos investimentos substanciais e abordagens inovadoras, os produtos biológicos estão ganhando atenção significativa. No início de 2020, 7 dos 10 medicamentos mais vendidos no mundo eram biológicos.</w:t>
      </w:r>
    </w:p>
    <w:p w14:paraId="3CE3512B" w14:textId="7AC4007D" w:rsidR="0096461D" w:rsidRPr="00DE084C" w:rsidRDefault="0096461D" w:rsidP="00DE084C">
      <w:pPr>
        <w:spacing w:line="360" w:lineRule="auto"/>
        <w:jc w:val="both"/>
        <w:rPr>
          <w:b/>
          <w:bCs/>
        </w:rPr>
      </w:pPr>
      <w:r w:rsidRPr="00DE084C">
        <w:rPr>
          <w:b/>
          <w:bCs/>
        </w:rPr>
        <w:t>Pesquisa Desenvolvimento e Inovação (P&amp;D&amp;I)</w:t>
      </w:r>
    </w:p>
    <w:p w14:paraId="77ADB084" w14:textId="370DAA7D" w:rsidR="0096461D" w:rsidRPr="00C75216" w:rsidRDefault="0096461D" w:rsidP="00DE084C">
      <w:pPr>
        <w:spacing w:line="360" w:lineRule="auto"/>
        <w:ind w:firstLine="708"/>
        <w:jc w:val="both"/>
        <w:rPr>
          <w:lang w:val="pt-BR"/>
        </w:rPr>
      </w:pPr>
      <w:r w:rsidRPr="00DE084C">
        <w:t>A pesquisa e desenvolvimento de medicamentos novos impulsionam o mercado farmacêutico. Por exemplo, no Brasil, de acordo com o Guia Interfarma 2020, o mercado institucional formado por governos, clínicas e hospitais, cresceu 57,5% desde 2015, muito pela descoberta de medicamentos inovadores, que são indicados para o tratamento de doenças complexas, como câncer, problemas degenerativos e doenças raras</w:t>
      </w:r>
      <w:r w:rsidR="00C75216" w:rsidRPr="00C75216">
        <w:rPr>
          <w:lang w:val="pt-BR"/>
        </w:rPr>
        <w:t xml:space="preserve"> </w:t>
      </w:r>
      <w:r w:rsidR="00C75216">
        <w:rPr>
          <w:lang w:val="pt-BR"/>
        </w:rPr>
        <w:t>(INFARMA, 2020).</w:t>
      </w:r>
    </w:p>
    <w:p w14:paraId="3A75CD5D" w14:textId="66B60A7E" w:rsidR="00AD55CD" w:rsidRPr="00CC729D" w:rsidRDefault="0096461D" w:rsidP="00C75216">
      <w:pPr>
        <w:spacing w:line="360" w:lineRule="auto"/>
        <w:ind w:firstLine="708"/>
        <w:jc w:val="both"/>
        <w:rPr>
          <w:lang w:val="pt-BR"/>
        </w:rPr>
      </w:pPr>
      <w:r w:rsidRPr="00DE084C">
        <w:t>Mais do que qualquer outra indústria, o setor farmacêutico é altamente dependente de pesquisa e desenvolvimento, com algumas empresas investindo cerca de 20% de suas receitas de vendas em projetos de P&amp;D. A descoberta de novos medicamentos é vital para o crescimento contínuo das empresas farmacêuticas, e as vendas de novos medicamentos de marca podem fornecer contribuições consideráveis para as receitas totais. No entanto, a perda da proteção da patente pode ter consequências graves, e a competição de medicamentos genéricos é um grande desafio para as empresas. A expiração de uma patente de produto pode resultar em uma redução significativa nas receitas, conforme experimentado pelo Lipitor da Pfizer a partir de 2012</w:t>
      </w:r>
      <w:r w:rsidR="00CC729D" w:rsidRPr="00CC729D">
        <w:rPr>
          <w:lang w:val="pt-BR"/>
        </w:rPr>
        <w:t xml:space="preserve"> </w:t>
      </w:r>
      <w:r w:rsidR="00CC729D">
        <w:rPr>
          <w:lang w:val="pt-BR"/>
        </w:rPr>
        <w:t>(STATISTA, 2020).</w:t>
      </w:r>
    </w:p>
    <w:p w14:paraId="539F1F3C" w14:textId="56716094" w:rsidR="0096461D" w:rsidRDefault="0096461D" w:rsidP="00586286">
      <w:pPr>
        <w:spacing w:line="360" w:lineRule="auto"/>
        <w:ind w:firstLine="708"/>
        <w:jc w:val="both"/>
      </w:pPr>
      <w:r w:rsidRPr="00AD55CD">
        <w:t xml:space="preserve">Dentre 169 países, o Brasil ocupa a 66ª posição no ranking mundial de inovação, segundo o Global Innovation Index 2019 (GII), um dos mais importantes relatórios do segmento. Comparado a 2018, o País caiu duas posições. Uma classificação ruim, considerando que o Brasil é a 9ª maior economia do mundo, segundo o Fundo Monetário Internacional (FMI). Um dos fatores determinantes para a queda no ranking foi a piora na avaliação de </w:t>
      </w:r>
      <w:r w:rsidRPr="00586286">
        <w:t xml:space="preserve">ações que estimulam a inovação no País, como o incentivo à pesquisa. </w:t>
      </w:r>
    </w:p>
    <w:p w14:paraId="5692EF65" w14:textId="77777777" w:rsidR="00586286" w:rsidRPr="00586286" w:rsidRDefault="00586286" w:rsidP="00586286">
      <w:pPr>
        <w:spacing w:line="360" w:lineRule="auto"/>
        <w:ind w:firstLine="708"/>
        <w:jc w:val="both"/>
      </w:pPr>
    </w:p>
    <w:p w14:paraId="1A7E3011" w14:textId="68E294CC" w:rsidR="0096461D" w:rsidRPr="009403FF" w:rsidRDefault="0096461D" w:rsidP="0096461D">
      <w:pPr>
        <w:jc w:val="both"/>
        <w:rPr>
          <w:b/>
          <w:bCs/>
        </w:rPr>
      </w:pPr>
      <w:r w:rsidRPr="00586286">
        <w:rPr>
          <w:b/>
          <w:bCs/>
        </w:rPr>
        <w:t>P</w:t>
      </w:r>
      <w:r w:rsidR="00AD55CD" w:rsidRPr="00586286">
        <w:rPr>
          <w:b/>
          <w:bCs/>
        </w:rPr>
        <w:t>atentes</w:t>
      </w:r>
    </w:p>
    <w:p w14:paraId="7606CBE6" w14:textId="2DE22902" w:rsidR="0096461D" w:rsidRPr="00AD55CD" w:rsidRDefault="0096461D" w:rsidP="00AD55CD">
      <w:pPr>
        <w:spacing w:line="360" w:lineRule="auto"/>
        <w:ind w:firstLine="708"/>
        <w:jc w:val="both"/>
      </w:pPr>
      <w:r w:rsidRPr="00AD55CD">
        <w:t>Os dez países com mais pedidos para registro de patentes somam 3,3 milhões de inovações em potencial. O Brasil, contudo, registrou pouco menos de 25 mil pedidos no ano. A China lidera mundialmente os pedidos de patentes, com mais de 1,5 milhão de registros em 2018, o que representa um aumento de 11,6% sobre o ano anterior. A criação de um medicamento novo leva, em média, 10 anos</w:t>
      </w:r>
      <w:r w:rsidR="00586286">
        <w:t xml:space="preserve"> (Figura </w:t>
      </w:r>
      <w:r w:rsidR="00CC729D" w:rsidRPr="00CC729D">
        <w:rPr>
          <w:lang w:val="pt-BR"/>
        </w:rPr>
        <w:t>7</w:t>
      </w:r>
      <w:r w:rsidR="00586286">
        <w:t>)</w:t>
      </w:r>
      <w:r w:rsidRPr="00AD55CD">
        <w:t xml:space="preserve">. Os laboratórios chegam a investigar até 10 mil moléculas até que uma seja considerada segura e eficiente. </w:t>
      </w:r>
    </w:p>
    <w:p w14:paraId="7DC91A95" w14:textId="77777777" w:rsidR="0096461D" w:rsidRPr="009403FF" w:rsidRDefault="0096461D" w:rsidP="0096461D">
      <w:pPr>
        <w:jc w:val="both"/>
      </w:pPr>
    </w:p>
    <w:p w14:paraId="270DB2DA" w14:textId="77777777" w:rsidR="0096461D" w:rsidRPr="009403FF" w:rsidRDefault="0096461D" w:rsidP="0096461D">
      <w:pPr>
        <w:jc w:val="both"/>
      </w:pPr>
    </w:p>
    <w:p w14:paraId="53931E40" w14:textId="55796319" w:rsidR="0096461D" w:rsidRDefault="0096461D" w:rsidP="0096461D">
      <w:pPr>
        <w:jc w:val="both"/>
      </w:pPr>
      <w:r w:rsidRPr="009403FF">
        <w:rPr>
          <w:noProof/>
        </w:rPr>
        <w:drawing>
          <wp:inline distT="0" distB="0" distL="0" distR="0" wp14:anchorId="6F5D7D22" wp14:editId="70967989">
            <wp:extent cx="5296753" cy="3650883"/>
            <wp:effectExtent l="19050" t="19050" r="18197" b="25767"/>
            <wp:docPr id="33" name="Imagem 33"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Uma imagem contendo Linha do tempo&#10;&#10;Descrição gerada automaticamente"/>
                    <pic:cNvPicPr>
                      <a:picLocks noChangeAspect="1" noChangeArrowheads="1"/>
                    </pic:cNvPicPr>
                  </pic:nvPicPr>
                  <pic:blipFill>
                    <a:blip r:embed="rId30"/>
                    <a:srcRect l="35492" t="16132" r="4413" b="10152"/>
                    <a:stretch>
                      <a:fillRect/>
                    </a:stretch>
                  </pic:blipFill>
                  <pic:spPr bwMode="auto">
                    <a:xfrm>
                      <a:off x="0" y="0"/>
                      <a:ext cx="5296753" cy="3650883"/>
                    </a:xfrm>
                    <a:prstGeom prst="rect">
                      <a:avLst/>
                    </a:prstGeom>
                    <a:noFill/>
                    <a:ln w="9525">
                      <a:solidFill>
                        <a:schemeClr val="accent1"/>
                      </a:solidFill>
                      <a:miter lim="800000"/>
                      <a:headEnd/>
                      <a:tailEnd/>
                    </a:ln>
                  </pic:spPr>
                </pic:pic>
              </a:graphicData>
            </a:graphic>
          </wp:inline>
        </w:drawing>
      </w:r>
    </w:p>
    <w:p w14:paraId="2CDB9DA2" w14:textId="755C6E43" w:rsidR="00586286" w:rsidRPr="00586286" w:rsidRDefault="00586286" w:rsidP="00CC729D">
      <w:pPr>
        <w:jc w:val="center"/>
        <w:rPr>
          <w:b/>
          <w:bCs/>
        </w:rPr>
      </w:pPr>
      <w:r w:rsidRPr="00586286">
        <w:rPr>
          <w:b/>
          <w:bCs/>
        </w:rPr>
        <w:t xml:space="preserve">Figura </w:t>
      </w:r>
      <w:r w:rsidR="00CC729D" w:rsidRPr="00CC729D">
        <w:rPr>
          <w:b/>
          <w:bCs/>
          <w:lang w:val="pt-BR"/>
        </w:rPr>
        <w:t>7</w:t>
      </w:r>
      <w:r w:rsidRPr="00586286">
        <w:rPr>
          <w:b/>
          <w:bCs/>
        </w:rPr>
        <w:t xml:space="preserve"> – Etapas </w:t>
      </w:r>
      <w:r>
        <w:rPr>
          <w:b/>
          <w:bCs/>
        </w:rPr>
        <w:t xml:space="preserve">e tempo </w:t>
      </w:r>
      <w:r w:rsidRPr="00586286">
        <w:rPr>
          <w:b/>
          <w:bCs/>
        </w:rPr>
        <w:t>envolvid</w:t>
      </w:r>
      <w:r>
        <w:rPr>
          <w:b/>
          <w:bCs/>
        </w:rPr>
        <w:t>o</w:t>
      </w:r>
      <w:r w:rsidRPr="00586286">
        <w:rPr>
          <w:b/>
          <w:bCs/>
        </w:rPr>
        <w:t>s no registro de novo medicamento.</w:t>
      </w:r>
    </w:p>
    <w:p w14:paraId="4DFC5AE9" w14:textId="27FB6EBE" w:rsidR="0096461D" w:rsidRPr="00CC729D" w:rsidRDefault="0096461D" w:rsidP="0096461D">
      <w:pPr>
        <w:jc w:val="both"/>
        <w:rPr>
          <w:lang w:val="en-US"/>
        </w:rPr>
      </w:pPr>
      <w:r w:rsidRPr="009403FF">
        <w:t xml:space="preserve">Fonte: </w:t>
      </w:r>
      <w:r w:rsidR="00CC729D">
        <w:rPr>
          <w:lang w:val="en-US"/>
        </w:rPr>
        <w:t>INFARMA, 2020.</w:t>
      </w:r>
    </w:p>
    <w:p w14:paraId="6538786E" w14:textId="77777777" w:rsidR="0096461D" w:rsidRPr="009403FF" w:rsidRDefault="0096461D" w:rsidP="0096461D">
      <w:pPr>
        <w:jc w:val="both"/>
      </w:pPr>
    </w:p>
    <w:p w14:paraId="4271015B" w14:textId="0F681A7F" w:rsidR="0096461D" w:rsidRPr="00586286" w:rsidRDefault="0096461D" w:rsidP="00586286">
      <w:pPr>
        <w:spacing w:line="360" w:lineRule="auto"/>
        <w:ind w:firstLine="708"/>
        <w:jc w:val="both"/>
      </w:pPr>
      <w:r w:rsidRPr="00586286">
        <w:t xml:space="preserve">A obtenção de patente para a nova entidade farmacêutica é a garantia para a empresa inventora poder explorar comercialmente a sua descoberta com exclusividade. O registro de medicamento é uma autorização sanitária concedida para que os medicamentos industrializados possam ser fabricados e comercializados. A exigênciа do registro sаnitário prévio à comercializаção é umа dаs medidаs fundamentаis e básicas parа а proteção dа sаúde dа populаção. Esta regulação acontece mundialmente, através das аutoridades regulаtórias dos pаíses que regulam os medicаmentos de formаs específicas. Toda a cadeiа de medicamentos é regulada, abrangendo a pesquisа e o desenvolvimento, a produção e o consumo dos produtos farmаcêuticos. O propósito dessа аção é melhorar а disponibilidаde de medicаmentos seguros, eficаzes e de boа quаlidade tornando possível a prática do uso racional. </w:t>
      </w:r>
    </w:p>
    <w:p w14:paraId="044DE165" w14:textId="77777777" w:rsidR="0096461D" w:rsidRPr="00586286" w:rsidRDefault="0096461D" w:rsidP="00586286">
      <w:pPr>
        <w:spacing w:line="360" w:lineRule="auto"/>
        <w:ind w:firstLine="708"/>
        <w:jc w:val="both"/>
      </w:pPr>
      <w:r w:rsidRPr="00586286">
        <w:t xml:space="preserve">Como medidа de sаúde públicа, compete às agências reguladoras averiguar a segurаnça, a eficáciа e a qualidаde dos produtos farmаcêuticos, assim como divulgar dados precisos e importantes a respeito dos medicаmentos. Além disso, deve haver comprometimento na elaboração da legislаção para regulаmentação dos produtos farmаcêuticos, dos ensаios de quаlidade, segurаnça e eficáciа e pelа veracidade dos dados acerca dos medicаmentos. </w:t>
      </w:r>
    </w:p>
    <w:p w14:paraId="3ACC914B" w14:textId="67E8738A" w:rsidR="0096461D" w:rsidRPr="00CC729D" w:rsidRDefault="0096461D" w:rsidP="00586286">
      <w:pPr>
        <w:spacing w:line="360" w:lineRule="auto"/>
        <w:ind w:firstLine="708"/>
        <w:jc w:val="both"/>
        <w:rPr>
          <w:lang w:val="pt-BR"/>
        </w:rPr>
      </w:pPr>
      <w:r w:rsidRPr="00586286">
        <w:t>A concessão do registro de medicamento é um dos instrumentos mais relevantes definidos pelo controle sanitário e pela regulação oficial, pois é permitido ao órgão regulador o acompanhamento, a avaliação e o controle de produtos sob seu regime. O registro constitui base essencial para a realização de uma série de ações de vigilância sanitária, garantindo, assim, a entrada e circulação no mercado de produtos comprovadamente seguros e eficazes</w:t>
      </w:r>
      <w:r w:rsidR="00CC729D" w:rsidRPr="00CC729D">
        <w:rPr>
          <w:lang w:val="pt-BR"/>
        </w:rPr>
        <w:t xml:space="preserve"> </w:t>
      </w:r>
      <w:r w:rsidR="00CC729D">
        <w:rPr>
          <w:lang w:val="pt-BR"/>
        </w:rPr>
        <w:t>(PINHEIRO; RIBEIRO, 2018).</w:t>
      </w:r>
    </w:p>
    <w:p w14:paraId="4D22DE5F" w14:textId="47DC3BCA" w:rsidR="0096461D" w:rsidRPr="00586286" w:rsidRDefault="0096461D" w:rsidP="00CC729D">
      <w:pPr>
        <w:spacing w:line="360" w:lineRule="auto"/>
        <w:ind w:firstLine="708"/>
        <w:jc w:val="both"/>
      </w:pPr>
      <w:r w:rsidRPr="00586286">
        <w:t xml:space="preserve">No Brasil, de acordo com a Lei n° 6.360, de 23 de setembro de 1976, o registro de medicamento é uma “inscrição, em livro próprio após o despacho concessivo do dirigente do órgão do Ministério da Saúde, sob número de ordem, dos produtos de que trata esta Lei, com a indicação do nome, fabricante, da procedência, finalidade e dos outros elementos que os caracterizem”. </w:t>
      </w:r>
    </w:p>
    <w:p w14:paraId="4DB9B994" w14:textId="0DAE8825" w:rsidR="0096461D" w:rsidRPr="00586286" w:rsidRDefault="0096461D" w:rsidP="00586286">
      <w:pPr>
        <w:spacing w:line="360" w:lineRule="auto"/>
        <w:ind w:firstLine="708"/>
        <w:jc w:val="both"/>
      </w:pPr>
      <w:r w:rsidRPr="00586286">
        <w:t xml:space="preserve">A Agência Nacional de Vigilância Sanitária foi instituída por meio da Lei nº 9.782, de 26 de janeiro de 1999, com a finalidade de coordenar o Sistema Nacional de Vigilância Sanitária, destinado a eliminar, diminuir ou prevenir riscos à saúde. A Anvisa foi criada após uma grande crise sanitária no Brasil, no final da década de 1990, causada, dentre outros fatores, pelo crescente número de falsificação de medicamentos, fato que demonstrava a necessidade de um órgão regulatório no país na área </w:t>
      </w:r>
      <w:r w:rsidR="00F20C15">
        <w:t>sanitaria</w:t>
      </w:r>
      <w:r w:rsidR="00F20C15" w:rsidRPr="00F20C15">
        <w:rPr>
          <w:lang w:val="pt-BR"/>
        </w:rPr>
        <w:t xml:space="preserve"> </w:t>
      </w:r>
      <w:r w:rsidR="00F20C15">
        <w:rPr>
          <w:lang w:val="pt-BR"/>
        </w:rPr>
        <w:t>(OLIVEIRA, 2020).</w:t>
      </w:r>
      <w:r w:rsidRPr="00586286">
        <w:t xml:space="preserve"> </w:t>
      </w:r>
    </w:p>
    <w:p w14:paraId="55B09395" w14:textId="77777777" w:rsidR="0096461D" w:rsidRPr="00586286" w:rsidRDefault="0096461D" w:rsidP="00586286">
      <w:pPr>
        <w:spacing w:line="360" w:lineRule="auto"/>
        <w:ind w:firstLine="708"/>
        <w:jc w:val="both"/>
      </w:pPr>
      <w:r w:rsidRPr="00586286">
        <w:t>A Anvisa tem como missão promover a proteção da saúde da população, realizando, para isso, o controle sanitário da produção e da comercialização de produtos sujeitos à vigilância sanitária. É neste contexto que se sustenta a importância de se regular o registro e a sua renovação, tendo em vista o risco sanitário relacionado ao uso de medicamentos.</w:t>
      </w:r>
    </w:p>
    <w:p w14:paraId="721AA1DA" w14:textId="77777777" w:rsidR="0096461D" w:rsidRPr="00586286" w:rsidRDefault="0096461D" w:rsidP="00586286">
      <w:pPr>
        <w:spacing w:line="360" w:lineRule="auto"/>
        <w:ind w:firstLine="708"/>
        <w:jc w:val="both"/>
      </w:pPr>
      <w:r w:rsidRPr="00586286">
        <w:t xml:space="preserve">A Lei nº 6.360, de 23 de setembro de 1976 ainda define que o registro possui um prazo de validade de cinco anos e que, no primeiro semestre do último ano do quinquênio de validade, as empresas detentoras de registro de medicamentos devem submeter à Anvisa a solicitação de renovação de registro. Essa mesma legislação estabelece que a Anvisa deve analisar os pedidos de renovação até o fim do quinquênio de validade do registro. Se esse prazo for descumprido, o registro é revalidado automaticamente. No entanto, em 21 de janeiro de 2020, entrou em vigor a Resolução da Diretoria Colegiada - RDC Nº 317 de 22 de outubro de 2019 que amplia o prazo de validade do registro para 10 anos e também define a documentação necessária para manutenção de sua validade. </w:t>
      </w:r>
    </w:p>
    <w:p w14:paraId="02C02987" w14:textId="77777777" w:rsidR="0096461D" w:rsidRPr="00586286" w:rsidRDefault="0096461D" w:rsidP="00586286">
      <w:pPr>
        <w:spacing w:line="360" w:lineRule="auto"/>
        <w:ind w:firstLine="708"/>
        <w:jc w:val="both"/>
      </w:pPr>
      <w:r w:rsidRPr="00586286">
        <w:t xml:space="preserve">As petições de renovação de registros foram alteradas pela publicação da Resolução da Diretoria Colegiada – RDC nº 200, de 26 de dezembro de 2017, fez com que a análise destas petições se tornasse atividade de menor complexidade.  </w:t>
      </w:r>
    </w:p>
    <w:p w14:paraId="2105C0F0" w14:textId="7BA9B6CC" w:rsidR="0096461D" w:rsidRPr="00F20C15" w:rsidRDefault="0096461D" w:rsidP="00586286">
      <w:pPr>
        <w:spacing w:line="360" w:lineRule="auto"/>
        <w:ind w:firstLine="708"/>
        <w:jc w:val="both"/>
        <w:rPr>
          <w:lang w:val="pt-BR"/>
        </w:rPr>
      </w:pPr>
      <w:r w:rsidRPr="00586286">
        <w:t>A Gerência-geral de Medicamentos e Produtos Biológicos (GGMED) é a área técnica da Anvisa que possui a atribuição de registrar os medicamentos, bem como realizar a renovação desses registros. Atividades estas realizadas por suas áreas subordinadas: Gerência de Avaliação da Qualidade de Medicamentos Sintéticos (GQMED); e Coordenação de Pós-Registro de Medicamentos de Menor Complexidade (CPMEC)</w:t>
      </w:r>
      <w:r w:rsidR="00F20C15" w:rsidRPr="00F20C15">
        <w:rPr>
          <w:lang w:val="pt-BR"/>
        </w:rPr>
        <w:t>.</w:t>
      </w:r>
    </w:p>
    <w:p w14:paraId="74C7870F" w14:textId="1498406B" w:rsidR="0096461D" w:rsidRPr="00586286" w:rsidRDefault="0096461D" w:rsidP="00586286">
      <w:pPr>
        <w:spacing w:line="360" w:lineRule="auto"/>
        <w:ind w:firstLine="708"/>
        <w:jc w:val="both"/>
      </w:pPr>
      <w:r w:rsidRPr="00586286">
        <w:t>De acordo com o relatório publicado pelo Sindusfarma, atualmente a Anvisa é reconhecida como uma das melhores Agências Sanitárias do mundo. A Lei 13.411/16 estabeleceu prazos para aprovação dos registros e pós registros no Brasil, concedendo previsibilidade às empresas farmacêuticas instaladas no país</w:t>
      </w:r>
      <w:r w:rsidR="007404A2" w:rsidRPr="007404A2">
        <w:rPr>
          <w:lang w:val="pt-BR"/>
        </w:rPr>
        <w:t xml:space="preserve"> </w:t>
      </w:r>
      <w:r w:rsidR="007404A2">
        <w:rPr>
          <w:lang w:val="pt-BR"/>
        </w:rPr>
        <w:t>(SINDUSFARMA, 2020).</w:t>
      </w:r>
      <w:r w:rsidRPr="00586286">
        <w:t xml:space="preserve"> O relatório ainda defende que a regulação sanitária deve ser sim um instrumento de garantia de qualidade e segurança dos medicamentos, e de proteção ao consumidor, sem criar limitações desnecessárias à indústria. Para alcançar esse objetivo, os órgãos regulatórios precisam se aparelhar com pessoal e infraestrutura suficientes para desempenhar sua função com abrangência e eficácia.</w:t>
      </w:r>
    </w:p>
    <w:p w14:paraId="11EFD0BD" w14:textId="41633BCE" w:rsidR="0096461D" w:rsidRPr="007404A2" w:rsidRDefault="0096461D" w:rsidP="00586286">
      <w:pPr>
        <w:spacing w:line="360" w:lineRule="auto"/>
        <w:ind w:firstLine="708"/>
        <w:jc w:val="both"/>
        <w:rPr>
          <w:lang w:val="pt-BR"/>
        </w:rPr>
      </w:pPr>
      <w:r w:rsidRPr="00586286">
        <w:t>Em termos de preços de produtos farmacêuticos, a Câmara de Regulação do Mercado Farmacêutico (CMED) impõe um limite de preço para a maioria dos medicamentos após a concessão da autorização de comercialização.</w:t>
      </w:r>
      <w:r w:rsidR="00586286">
        <w:t xml:space="preserve"> </w:t>
      </w:r>
      <w:r w:rsidRPr="00586286">
        <w:t>Não existe legislação supranacional aplicável no Brasil. No entanto, a ANVISA incorpora as regras do Mercosul. Também está gradualmente cumprindo os padrões da Conferência Internacional sobre Harmonização de Requisitos Técnicos para Registro de Produtos Farmacêuticos para Uso Humano (ICH)</w:t>
      </w:r>
      <w:r w:rsidR="007404A2" w:rsidRPr="007404A2">
        <w:rPr>
          <w:lang w:val="pt-BR"/>
        </w:rPr>
        <w:t xml:space="preserve"> </w:t>
      </w:r>
      <w:r w:rsidR="007404A2">
        <w:rPr>
          <w:lang w:val="pt-BR"/>
        </w:rPr>
        <w:t>(</w:t>
      </w:r>
      <w:r w:rsidR="007404A2" w:rsidRPr="007404A2">
        <w:rPr>
          <w:lang w:val="pt-BR"/>
        </w:rPr>
        <w:t>RIBEIRO; VIANNA; ATTORNEYS</w:t>
      </w:r>
      <w:r w:rsidR="007404A2">
        <w:rPr>
          <w:lang w:val="pt-BR"/>
        </w:rPr>
        <w:t>, 2020)</w:t>
      </w:r>
    </w:p>
    <w:p w14:paraId="3827A007" w14:textId="77777777" w:rsidR="0096461D" w:rsidRPr="00586286" w:rsidRDefault="0096461D" w:rsidP="00586286">
      <w:pPr>
        <w:spacing w:line="360" w:lineRule="auto"/>
        <w:ind w:firstLine="720"/>
        <w:jc w:val="both"/>
      </w:pPr>
      <w:r w:rsidRPr="00586286">
        <w:t xml:space="preserve">É a ANVISA que estabelece toda legislação que norteia as atividades de pesquisa e desenvolvimento, produção e comercialização dos medicamentos novos no Brasil, com o objetivo de assegurar sua qualidade, segurança e eficácia.  Segunda a ANVISA, no Brasil em 2018 existiam cerca de 25 mil medicamentos no mercado, sendo que, desses poucos mais de 12 mil foram comercializados no ano anterior. Ou seja, apenas a metade dos produtos registrados pelos laboratórios farmacêuticos foi colocada no mercado no ano de 2017. </w:t>
      </w:r>
    </w:p>
    <w:p w14:paraId="6332FD50" w14:textId="09390842" w:rsidR="0096461D" w:rsidRPr="007404A2" w:rsidRDefault="0096461D" w:rsidP="00586286">
      <w:pPr>
        <w:spacing w:line="360" w:lineRule="auto"/>
        <w:ind w:firstLine="708"/>
        <w:jc w:val="both"/>
        <w:rPr>
          <w:lang w:val="pt-BR"/>
        </w:rPr>
      </w:pPr>
      <w:r w:rsidRPr="00586286">
        <w:t>Como estratégia para garantir acesso da população a medicamentos que trazem mais impacto para a saúde pública, a ANVISA prioriza o registro de medicamentos novos e de genéricos inéditos, pois entende que assim atua aumentando a concorrência de mercado, que puxa os preços para baixo, ou aprovando tratamentos inéditos no país. A aprovação de medicamento novo amplia as opções de tratamento à disposição de médicos e pacientes. O genérico inédito é o genérico concorrente de outro produto que antes estava sozinho no mercado. Ou seja, a Anvisa dá prioridade para o registro de genéricos que vão entrar em mercados onde o consumidor ainda não conta com opções. Seguindo a lei da oferta e da procura, o registro desses produtos força uma concorrência de preços que é benéfica para o consumidor</w:t>
      </w:r>
      <w:r w:rsidR="007404A2" w:rsidRPr="007404A2">
        <w:rPr>
          <w:lang w:val="pt-BR"/>
        </w:rPr>
        <w:t xml:space="preserve"> </w:t>
      </w:r>
      <w:r w:rsidR="007404A2">
        <w:rPr>
          <w:lang w:val="pt-BR"/>
        </w:rPr>
        <w:t>(ANVISA, 2022a)</w:t>
      </w:r>
      <w:r w:rsidRPr="00586286">
        <w:t>.</w:t>
      </w:r>
    </w:p>
    <w:p w14:paraId="362CDEEC" w14:textId="68073BB9" w:rsidR="0096461D" w:rsidRPr="00586286" w:rsidRDefault="0096461D" w:rsidP="00586286">
      <w:pPr>
        <w:spacing w:line="360" w:lineRule="auto"/>
        <w:ind w:firstLine="708"/>
        <w:jc w:val="both"/>
        <w:rPr>
          <w:highlight w:val="yellow"/>
        </w:rPr>
      </w:pPr>
      <w:r w:rsidRPr="00586286">
        <w:t>Somente em 2016, a ANVISA concedeu 882 registros, contra 773 novos produtos registrados em 2015 e 366 no ano de 2014. Dos 882 registros, 61 foram de medicamentos novos e 28 de genéricos inéditos no país</w:t>
      </w:r>
      <w:r w:rsidR="007404A2" w:rsidRPr="007404A2">
        <w:rPr>
          <w:lang w:val="pt-BR"/>
        </w:rPr>
        <w:t xml:space="preserve"> </w:t>
      </w:r>
      <w:r w:rsidR="007404A2">
        <w:rPr>
          <w:lang w:val="pt-BR"/>
        </w:rPr>
        <w:t>(ANVISA, 2022b)</w:t>
      </w:r>
      <w:r w:rsidRPr="00586286">
        <w:t>.</w:t>
      </w:r>
    </w:p>
    <w:p w14:paraId="7A9B022A" w14:textId="77777777" w:rsidR="0096461D" w:rsidRPr="00586286" w:rsidRDefault="0096461D" w:rsidP="0096461D">
      <w:pPr>
        <w:spacing w:line="360" w:lineRule="auto"/>
        <w:jc w:val="both"/>
      </w:pPr>
    </w:p>
    <w:p w14:paraId="27AEF727" w14:textId="77777777" w:rsidR="0096461D" w:rsidRPr="00586286" w:rsidRDefault="0096461D" w:rsidP="0096461D">
      <w:pPr>
        <w:spacing w:line="360" w:lineRule="auto"/>
        <w:jc w:val="both"/>
      </w:pPr>
      <w:r w:rsidRPr="00586286">
        <w:t xml:space="preserve">Veja alguns produtos novos aprovados em 2016, com a principal indicação terapêutica de cada um: </w:t>
      </w:r>
    </w:p>
    <w:tbl>
      <w:tblPr>
        <w:tblStyle w:val="GridTable5Dark-Accent11"/>
        <w:tblW w:w="0" w:type="auto"/>
        <w:tblInd w:w="279" w:type="dxa"/>
        <w:tblLook w:val="04A0" w:firstRow="1" w:lastRow="0" w:firstColumn="1" w:lastColumn="0" w:noHBand="0" w:noVBand="1"/>
      </w:tblPr>
      <w:tblGrid>
        <w:gridCol w:w="3525"/>
        <w:gridCol w:w="4494"/>
      </w:tblGrid>
      <w:tr w:rsidR="00586286" w:rsidRPr="00586286" w14:paraId="6B2EB053" w14:textId="77777777" w:rsidTr="00AC2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hideMark/>
          </w:tcPr>
          <w:p w14:paraId="7E4C4A3D" w14:textId="77777777" w:rsidR="0096461D" w:rsidRPr="00586286" w:rsidRDefault="0096461D" w:rsidP="00A72C7A">
            <w:pPr>
              <w:pStyle w:val="NormalWeb"/>
              <w:spacing w:before="0" w:beforeAutospacing="0" w:after="115" w:afterAutospacing="0" w:line="230" w:lineRule="atLeast"/>
              <w:jc w:val="both"/>
              <w:rPr>
                <w:b w:val="0"/>
                <w:bCs w:val="0"/>
                <w:color w:val="FFFFFF" w:themeColor="background1"/>
              </w:rPr>
            </w:pPr>
            <w:r w:rsidRPr="00586286">
              <w:rPr>
                <w:rStyle w:val="Forte"/>
                <w:b/>
                <w:bCs/>
                <w:color w:val="FFFFFF" w:themeColor="background1"/>
              </w:rPr>
              <w:t>Medicamento</w:t>
            </w:r>
          </w:p>
        </w:tc>
        <w:tc>
          <w:tcPr>
            <w:tcW w:w="4494" w:type="dxa"/>
            <w:hideMark/>
          </w:tcPr>
          <w:p w14:paraId="4FC8F368" w14:textId="77777777" w:rsidR="0096461D" w:rsidRPr="00586286" w:rsidRDefault="0096461D" w:rsidP="00A72C7A">
            <w:pPr>
              <w:pStyle w:val="NormalWeb"/>
              <w:spacing w:before="0" w:beforeAutospacing="0" w:after="115" w:afterAutospacing="0" w:line="230" w:lineRule="atLeast"/>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86286">
              <w:rPr>
                <w:rStyle w:val="Forte"/>
                <w:b/>
                <w:bCs/>
                <w:color w:val="FFFFFF" w:themeColor="background1"/>
              </w:rPr>
              <w:t>Indicação</w:t>
            </w:r>
          </w:p>
        </w:tc>
      </w:tr>
      <w:tr w:rsidR="00586286" w:rsidRPr="00586286" w14:paraId="50CB737D" w14:textId="77777777" w:rsidTr="00AC2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hideMark/>
          </w:tcPr>
          <w:p w14:paraId="792F4E4B" w14:textId="77777777" w:rsidR="0096461D" w:rsidRPr="00586286" w:rsidRDefault="0096461D" w:rsidP="00A72C7A">
            <w:pPr>
              <w:pStyle w:val="NormalWeb"/>
              <w:spacing w:before="0" w:beforeAutospacing="0" w:after="115" w:afterAutospacing="0" w:line="230" w:lineRule="atLeast"/>
              <w:jc w:val="both"/>
              <w:rPr>
                <w:b w:val="0"/>
                <w:bCs w:val="0"/>
                <w:color w:val="FFFFFF" w:themeColor="background1"/>
              </w:rPr>
            </w:pPr>
            <w:r w:rsidRPr="00586286">
              <w:rPr>
                <w:b w:val="0"/>
                <w:bCs w:val="0"/>
                <w:color w:val="FFFFFF" w:themeColor="background1"/>
              </w:rPr>
              <w:t>Praluent® (alirocumabe)</w:t>
            </w:r>
          </w:p>
        </w:tc>
        <w:tc>
          <w:tcPr>
            <w:tcW w:w="4494" w:type="dxa"/>
            <w:hideMark/>
          </w:tcPr>
          <w:p w14:paraId="26DB940D" w14:textId="129E8C60" w:rsidR="0096461D" w:rsidRPr="00586286" w:rsidRDefault="00586286" w:rsidP="00A72C7A">
            <w:pPr>
              <w:pStyle w:val="NormalWeb"/>
              <w:spacing w:before="0" w:beforeAutospacing="0" w:after="115" w:afterAutospacing="0" w:line="230" w:lineRule="atLeas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586286">
              <w:rPr>
                <w:rStyle w:val="Hyperlink"/>
                <w:color w:val="000000" w:themeColor="text1"/>
                <w:u w:val="none"/>
              </w:rPr>
              <w:t>controle do colesterol</w:t>
            </w:r>
          </w:p>
        </w:tc>
      </w:tr>
      <w:tr w:rsidR="00586286" w:rsidRPr="00586286" w14:paraId="5A1DFFBD" w14:textId="77777777" w:rsidTr="00AC27B4">
        <w:tc>
          <w:tcPr>
            <w:cnfStyle w:val="001000000000" w:firstRow="0" w:lastRow="0" w:firstColumn="1" w:lastColumn="0" w:oddVBand="0" w:evenVBand="0" w:oddHBand="0" w:evenHBand="0" w:firstRowFirstColumn="0" w:firstRowLastColumn="0" w:lastRowFirstColumn="0" w:lastRowLastColumn="0"/>
            <w:tcW w:w="3525" w:type="dxa"/>
            <w:hideMark/>
          </w:tcPr>
          <w:p w14:paraId="281A682A" w14:textId="77777777" w:rsidR="0096461D" w:rsidRPr="00586286" w:rsidRDefault="0096461D" w:rsidP="00A72C7A">
            <w:pPr>
              <w:pStyle w:val="NormalWeb"/>
              <w:spacing w:before="0" w:beforeAutospacing="0" w:after="115" w:afterAutospacing="0" w:line="230" w:lineRule="atLeast"/>
              <w:jc w:val="both"/>
              <w:rPr>
                <w:b w:val="0"/>
                <w:bCs w:val="0"/>
                <w:color w:val="FFFFFF" w:themeColor="background1"/>
              </w:rPr>
            </w:pPr>
            <w:r w:rsidRPr="00586286">
              <w:rPr>
                <w:b w:val="0"/>
                <w:bCs w:val="0"/>
                <w:color w:val="FFFFFF" w:themeColor="background1"/>
              </w:rPr>
              <w:t>Eloctate® (alfaefmoroctocogue)</w:t>
            </w:r>
          </w:p>
        </w:tc>
        <w:tc>
          <w:tcPr>
            <w:tcW w:w="4494" w:type="dxa"/>
            <w:hideMark/>
          </w:tcPr>
          <w:p w14:paraId="181AE05D" w14:textId="4269517F" w:rsidR="0096461D" w:rsidRPr="00586286" w:rsidRDefault="00586286" w:rsidP="00A72C7A">
            <w:pPr>
              <w:pStyle w:val="NormalWeb"/>
              <w:spacing w:before="0" w:beforeAutospacing="0" w:after="115" w:afterAutospacing="0" w:line="230" w:lineRule="atLeast"/>
              <w:jc w:val="both"/>
              <w:cnfStyle w:val="000000000000" w:firstRow="0" w:lastRow="0" w:firstColumn="0" w:lastColumn="0" w:oddVBand="0" w:evenVBand="0" w:oddHBand="0" w:evenHBand="0" w:firstRowFirstColumn="0" w:firstRowLastColumn="0" w:lastRowFirstColumn="0" w:lastRowLastColumn="0"/>
              <w:rPr>
                <w:color w:val="000000" w:themeColor="text1"/>
              </w:rPr>
            </w:pPr>
            <w:r>
              <w:rPr>
                <w:rStyle w:val="Hyperlink"/>
                <w:color w:val="000000" w:themeColor="text1"/>
                <w:u w:val="none"/>
              </w:rPr>
              <w:t>controle de hemorragias como substituto do fator VIII</w:t>
            </w:r>
          </w:p>
        </w:tc>
      </w:tr>
      <w:tr w:rsidR="00586286" w:rsidRPr="00586286" w14:paraId="4485EA61" w14:textId="77777777" w:rsidTr="00AC2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hideMark/>
          </w:tcPr>
          <w:p w14:paraId="4BE8D917" w14:textId="77777777" w:rsidR="0096461D" w:rsidRPr="00586286" w:rsidRDefault="0096461D" w:rsidP="00A72C7A">
            <w:pPr>
              <w:pStyle w:val="NormalWeb"/>
              <w:spacing w:before="0" w:beforeAutospacing="0" w:after="115" w:afterAutospacing="0" w:line="230" w:lineRule="atLeast"/>
              <w:jc w:val="both"/>
              <w:rPr>
                <w:b w:val="0"/>
                <w:bCs w:val="0"/>
                <w:color w:val="FFFFFF" w:themeColor="background1"/>
              </w:rPr>
            </w:pPr>
            <w:r w:rsidRPr="00586286">
              <w:rPr>
                <w:b w:val="0"/>
                <w:bCs w:val="0"/>
                <w:color w:val="FFFFFF" w:themeColor="background1"/>
              </w:rPr>
              <w:t>Upelior® (diaspartato de pasireotida)</w:t>
            </w:r>
          </w:p>
        </w:tc>
        <w:tc>
          <w:tcPr>
            <w:tcW w:w="4494" w:type="dxa"/>
            <w:hideMark/>
          </w:tcPr>
          <w:p w14:paraId="3EDD229E" w14:textId="77777777" w:rsidR="0096461D" w:rsidRPr="00586286" w:rsidRDefault="00000000" w:rsidP="00A72C7A">
            <w:pPr>
              <w:pStyle w:val="NormalWeb"/>
              <w:spacing w:before="0" w:beforeAutospacing="0" w:after="115" w:afterAutospacing="0" w:line="230" w:lineRule="atLeast"/>
              <w:jc w:val="both"/>
              <w:cnfStyle w:val="000000100000" w:firstRow="0" w:lastRow="0" w:firstColumn="0" w:lastColumn="0" w:oddVBand="0" w:evenVBand="0" w:oddHBand="1" w:evenHBand="0" w:firstRowFirstColumn="0" w:firstRowLastColumn="0" w:lastRowFirstColumn="0" w:lastRowLastColumn="0"/>
              <w:rPr>
                <w:color w:val="000000" w:themeColor="text1"/>
              </w:rPr>
            </w:pPr>
            <w:hyperlink r:id="rId31" w:history="1">
              <w:r w:rsidR="0096461D" w:rsidRPr="00586286">
                <w:rPr>
                  <w:rStyle w:val="Hyperlink"/>
                  <w:color w:val="000000" w:themeColor="text1"/>
                  <w:u w:val="none"/>
                </w:rPr>
                <w:t>tratamento da doença de Cushing  </w:t>
              </w:r>
            </w:hyperlink>
          </w:p>
        </w:tc>
      </w:tr>
      <w:tr w:rsidR="00586286" w:rsidRPr="00586286" w14:paraId="58678287" w14:textId="77777777" w:rsidTr="00AC27B4">
        <w:tc>
          <w:tcPr>
            <w:cnfStyle w:val="001000000000" w:firstRow="0" w:lastRow="0" w:firstColumn="1" w:lastColumn="0" w:oddVBand="0" w:evenVBand="0" w:oddHBand="0" w:evenHBand="0" w:firstRowFirstColumn="0" w:firstRowLastColumn="0" w:lastRowFirstColumn="0" w:lastRowLastColumn="0"/>
            <w:tcW w:w="3525" w:type="dxa"/>
            <w:hideMark/>
          </w:tcPr>
          <w:p w14:paraId="607D630D" w14:textId="77777777" w:rsidR="0096461D" w:rsidRPr="00586286" w:rsidRDefault="0096461D" w:rsidP="00A72C7A">
            <w:pPr>
              <w:pStyle w:val="NormalWeb"/>
              <w:spacing w:before="0" w:beforeAutospacing="0" w:after="115" w:afterAutospacing="0" w:line="230" w:lineRule="atLeast"/>
              <w:jc w:val="both"/>
              <w:rPr>
                <w:b w:val="0"/>
                <w:bCs w:val="0"/>
                <w:color w:val="FFFFFF" w:themeColor="background1"/>
              </w:rPr>
            </w:pPr>
            <w:r w:rsidRPr="00586286">
              <w:rPr>
                <w:b w:val="0"/>
                <w:bCs w:val="0"/>
                <w:color w:val="FFFFFF" w:themeColor="background1"/>
              </w:rPr>
              <w:t>Repatha® (evolocumabe)</w:t>
            </w:r>
          </w:p>
        </w:tc>
        <w:tc>
          <w:tcPr>
            <w:tcW w:w="4494" w:type="dxa"/>
            <w:hideMark/>
          </w:tcPr>
          <w:p w14:paraId="454DE56E" w14:textId="77777777" w:rsidR="0096461D" w:rsidRPr="00586286" w:rsidRDefault="00000000" w:rsidP="00A72C7A">
            <w:pPr>
              <w:pStyle w:val="NormalWeb"/>
              <w:spacing w:before="0" w:beforeAutospacing="0" w:after="115" w:afterAutospacing="0" w:line="230" w:lineRule="atLeast"/>
              <w:jc w:val="both"/>
              <w:cnfStyle w:val="000000000000" w:firstRow="0" w:lastRow="0" w:firstColumn="0" w:lastColumn="0" w:oddVBand="0" w:evenVBand="0" w:oddHBand="0" w:evenHBand="0" w:firstRowFirstColumn="0" w:firstRowLastColumn="0" w:lastRowFirstColumn="0" w:lastRowLastColumn="0"/>
              <w:rPr>
                <w:color w:val="000000" w:themeColor="text1"/>
              </w:rPr>
            </w:pPr>
            <w:hyperlink r:id="rId32" w:history="1">
              <w:r w:rsidR="0096461D" w:rsidRPr="00586286">
                <w:rPr>
                  <w:rStyle w:val="Hyperlink"/>
                  <w:color w:val="000000" w:themeColor="text1"/>
                  <w:u w:val="none"/>
                </w:rPr>
                <w:t>controle do nível de colesterol</w:t>
              </w:r>
            </w:hyperlink>
            <w:r w:rsidR="0096461D" w:rsidRPr="00586286">
              <w:rPr>
                <w:color w:val="000000" w:themeColor="text1"/>
              </w:rPr>
              <w:t>  </w:t>
            </w:r>
          </w:p>
        </w:tc>
      </w:tr>
      <w:tr w:rsidR="00586286" w:rsidRPr="00586286" w14:paraId="6C7C2A0B" w14:textId="77777777" w:rsidTr="00AC2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hideMark/>
          </w:tcPr>
          <w:p w14:paraId="16075F85" w14:textId="77777777" w:rsidR="0096461D" w:rsidRPr="00586286" w:rsidRDefault="0096461D" w:rsidP="00A72C7A">
            <w:pPr>
              <w:pStyle w:val="NormalWeb"/>
              <w:spacing w:before="0" w:beforeAutospacing="0" w:after="115" w:afterAutospacing="0" w:line="230" w:lineRule="atLeast"/>
              <w:jc w:val="both"/>
              <w:rPr>
                <w:b w:val="0"/>
                <w:bCs w:val="0"/>
                <w:color w:val="FFFFFF" w:themeColor="background1"/>
              </w:rPr>
            </w:pPr>
            <w:r w:rsidRPr="00586286">
              <w:rPr>
                <w:b w:val="0"/>
                <w:bCs w:val="0"/>
                <w:color w:val="FFFFFF" w:themeColor="background1"/>
              </w:rPr>
              <w:t>Inovelon® (rufinamida)</w:t>
            </w:r>
          </w:p>
        </w:tc>
        <w:tc>
          <w:tcPr>
            <w:tcW w:w="4494" w:type="dxa"/>
            <w:hideMark/>
          </w:tcPr>
          <w:p w14:paraId="33E82910" w14:textId="77777777" w:rsidR="0096461D" w:rsidRPr="00586286" w:rsidRDefault="00000000" w:rsidP="00A72C7A">
            <w:pPr>
              <w:pStyle w:val="NormalWeb"/>
              <w:spacing w:before="0" w:beforeAutospacing="0" w:after="115" w:afterAutospacing="0" w:line="230" w:lineRule="atLeast"/>
              <w:jc w:val="both"/>
              <w:cnfStyle w:val="000000100000" w:firstRow="0" w:lastRow="0" w:firstColumn="0" w:lastColumn="0" w:oddVBand="0" w:evenVBand="0" w:oddHBand="1" w:evenHBand="0" w:firstRowFirstColumn="0" w:firstRowLastColumn="0" w:lastRowFirstColumn="0" w:lastRowLastColumn="0"/>
              <w:rPr>
                <w:color w:val="000000" w:themeColor="text1"/>
              </w:rPr>
            </w:pPr>
            <w:hyperlink r:id="rId33" w:history="1">
              <w:r w:rsidR="0096461D" w:rsidRPr="00586286">
                <w:rPr>
                  <w:rStyle w:val="Hyperlink"/>
                  <w:color w:val="000000" w:themeColor="text1"/>
                  <w:u w:val="none"/>
                </w:rPr>
                <w:t>tratamento de convulsões</w:t>
              </w:r>
            </w:hyperlink>
          </w:p>
        </w:tc>
      </w:tr>
      <w:tr w:rsidR="00586286" w:rsidRPr="00586286" w14:paraId="685DB946" w14:textId="77777777" w:rsidTr="00AC27B4">
        <w:tc>
          <w:tcPr>
            <w:cnfStyle w:val="001000000000" w:firstRow="0" w:lastRow="0" w:firstColumn="1" w:lastColumn="0" w:oddVBand="0" w:evenVBand="0" w:oddHBand="0" w:evenHBand="0" w:firstRowFirstColumn="0" w:firstRowLastColumn="0" w:lastRowFirstColumn="0" w:lastRowLastColumn="0"/>
            <w:tcW w:w="3525" w:type="dxa"/>
            <w:hideMark/>
          </w:tcPr>
          <w:p w14:paraId="7265E307" w14:textId="77777777" w:rsidR="0096461D" w:rsidRPr="00586286" w:rsidRDefault="0096461D" w:rsidP="00A72C7A">
            <w:pPr>
              <w:pStyle w:val="NormalWeb"/>
              <w:spacing w:before="0" w:beforeAutospacing="0" w:after="115" w:afterAutospacing="0" w:line="230" w:lineRule="atLeast"/>
              <w:jc w:val="both"/>
              <w:rPr>
                <w:b w:val="0"/>
                <w:bCs w:val="0"/>
                <w:color w:val="FFFFFF" w:themeColor="background1"/>
              </w:rPr>
            </w:pPr>
            <w:r w:rsidRPr="00586286">
              <w:rPr>
                <w:b w:val="0"/>
                <w:bCs w:val="0"/>
                <w:color w:val="FFFFFF" w:themeColor="background1"/>
              </w:rPr>
              <w:t>Zurampic® (lesinurade)</w:t>
            </w:r>
          </w:p>
        </w:tc>
        <w:tc>
          <w:tcPr>
            <w:tcW w:w="4494" w:type="dxa"/>
            <w:hideMark/>
          </w:tcPr>
          <w:p w14:paraId="49C36746" w14:textId="77777777" w:rsidR="0096461D" w:rsidRPr="00586286" w:rsidRDefault="00000000" w:rsidP="00A72C7A">
            <w:pPr>
              <w:pStyle w:val="NormalWeb"/>
              <w:spacing w:before="0" w:beforeAutospacing="0" w:after="115" w:afterAutospacing="0" w:line="230" w:lineRule="atLeast"/>
              <w:jc w:val="both"/>
              <w:cnfStyle w:val="000000000000" w:firstRow="0" w:lastRow="0" w:firstColumn="0" w:lastColumn="0" w:oddVBand="0" w:evenVBand="0" w:oddHBand="0" w:evenHBand="0" w:firstRowFirstColumn="0" w:firstRowLastColumn="0" w:lastRowFirstColumn="0" w:lastRowLastColumn="0"/>
              <w:rPr>
                <w:color w:val="000000" w:themeColor="text1"/>
              </w:rPr>
            </w:pPr>
            <w:hyperlink r:id="rId34" w:history="1">
              <w:r w:rsidR="0096461D" w:rsidRPr="00586286">
                <w:rPr>
                  <w:rStyle w:val="Hyperlink"/>
                  <w:color w:val="000000" w:themeColor="text1"/>
                  <w:u w:val="none"/>
                </w:rPr>
                <w:t>tratamento da gota</w:t>
              </w:r>
            </w:hyperlink>
          </w:p>
        </w:tc>
      </w:tr>
      <w:tr w:rsidR="00586286" w:rsidRPr="00586286" w14:paraId="6EE156B0" w14:textId="77777777" w:rsidTr="00AC2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hideMark/>
          </w:tcPr>
          <w:p w14:paraId="6E99B241" w14:textId="77777777" w:rsidR="0096461D" w:rsidRPr="00586286" w:rsidRDefault="0096461D" w:rsidP="00A72C7A">
            <w:pPr>
              <w:pStyle w:val="NormalWeb"/>
              <w:spacing w:before="0" w:beforeAutospacing="0" w:after="115" w:afterAutospacing="0" w:line="230" w:lineRule="atLeast"/>
              <w:jc w:val="both"/>
              <w:rPr>
                <w:b w:val="0"/>
                <w:bCs w:val="0"/>
                <w:color w:val="FFFFFF" w:themeColor="background1"/>
              </w:rPr>
            </w:pPr>
            <w:r w:rsidRPr="00586286">
              <w:rPr>
                <w:b w:val="0"/>
                <w:bCs w:val="0"/>
                <w:color w:val="FFFFFF" w:themeColor="background1"/>
              </w:rPr>
              <w:t>Entresto® (sacubitril/valsartana)</w:t>
            </w:r>
          </w:p>
        </w:tc>
        <w:tc>
          <w:tcPr>
            <w:tcW w:w="4494" w:type="dxa"/>
            <w:hideMark/>
          </w:tcPr>
          <w:p w14:paraId="1958632C" w14:textId="77777777" w:rsidR="0096461D" w:rsidRPr="00586286" w:rsidRDefault="00000000" w:rsidP="00A72C7A">
            <w:pPr>
              <w:pStyle w:val="NormalWeb"/>
              <w:spacing w:before="0" w:beforeAutospacing="0" w:after="115" w:afterAutospacing="0" w:line="230" w:lineRule="atLeast"/>
              <w:jc w:val="both"/>
              <w:cnfStyle w:val="000000100000" w:firstRow="0" w:lastRow="0" w:firstColumn="0" w:lastColumn="0" w:oddVBand="0" w:evenVBand="0" w:oddHBand="1" w:evenHBand="0" w:firstRowFirstColumn="0" w:firstRowLastColumn="0" w:lastRowFirstColumn="0" w:lastRowLastColumn="0"/>
              <w:rPr>
                <w:color w:val="000000" w:themeColor="text1"/>
              </w:rPr>
            </w:pPr>
            <w:hyperlink r:id="rId35" w:history="1">
              <w:r w:rsidR="0096461D" w:rsidRPr="00586286">
                <w:rPr>
                  <w:rStyle w:val="Hyperlink"/>
                  <w:color w:val="000000" w:themeColor="text1"/>
                  <w:u w:val="none"/>
                </w:rPr>
                <w:t>insuficiência cardíaca crônica sintomática com fração de ejeção reduzida</w:t>
              </w:r>
            </w:hyperlink>
          </w:p>
        </w:tc>
      </w:tr>
    </w:tbl>
    <w:p w14:paraId="55C7979F" w14:textId="77777777" w:rsidR="0096461D" w:rsidRPr="00586286" w:rsidRDefault="0096461D" w:rsidP="00586286">
      <w:pPr>
        <w:spacing w:line="360" w:lineRule="auto"/>
        <w:ind w:firstLine="708"/>
        <w:jc w:val="both"/>
      </w:pPr>
    </w:p>
    <w:p w14:paraId="65108800" w14:textId="77777777" w:rsidR="0096461D" w:rsidRPr="00586286" w:rsidRDefault="0096461D" w:rsidP="00586286">
      <w:pPr>
        <w:spacing w:line="360" w:lineRule="auto"/>
        <w:ind w:firstLine="708"/>
        <w:jc w:val="both"/>
      </w:pPr>
      <w:r w:rsidRPr="00586286">
        <w:t>Por lei, o genérico entra no mercado com um preço, no mínimo, 35%, menor que o valor do medicamento de referência, levando a uma redução geral nos preços dos medicamentos concorrentes. Além dos 28 genéricos inéditos de 2016, a Anvisa aprovou ainda 7 genéricos com concentrações ou formas inéditas.</w:t>
      </w:r>
    </w:p>
    <w:p w14:paraId="1CBFDE93" w14:textId="77777777" w:rsidR="007404A2" w:rsidRDefault="007404A2" w:rsidP="0096461D">
      <w:pPr>
        <w:spacing w:line="360" w:lineRule="auto"/>
        <w:jc w:val="both"/>
        <w:rPr>
          <w:b/>
        </w:rPr>
      </w:pPr>
    </w:p>
    <w:p w14:paraId="463E4EA7" w14:textId="3C4C0060" w:rsidR="0096461D" w:rsidRPr="00F50D68" w:rsidRDefault="00F50D68" w:rsidP="0096461D">
      <w:pPr>
        <w:spacing w:line="360" w:lineRule="auto"/>
        <w:jc w:val="both"/>
        <w:rPr>
          <w:b/>
          <w:lang w:val="pt-BR"/>
        </w:rPr>
      </w:pPr>
      <w:r w:rsidRPr="009403FF">
        <w:rPr>
          <w:b/>
        </w:rPr>
        <w:t>Medicamento industrializado e medicamento magistral</w:t>
      </w:r>
      <w:r w:rsidRPr="00F50D68">
        <w:rPr>
          <w:b/>
          <w:lang w:val="pt-BR"/>
        </w:rPr>
        <w:t>: registro</w:t>
      </w:r>
    </w:p>
    <w:p w14:paraId="5F5C30A9" w14:textId="77777777" w:rsidR="0096461D" w:rsidRPr="009403FF" w:rsidRDefault="0096461D" w:rsidP="0096461D">
      <w:pPr>
        <w:spacing w:line="360" w:lineRule="auto"/>
        <w:ind w:firstLine="720"/>
        <w:jc w:val="both"/>
      </w:pPr>
      <w:r w:rsidRPr="009403FF">
        <w:t>Conforme dito anteriormente para a comercialização de um medicamento industrializado no Brasil, as empresas devem obter autorização sanitária da ANVISA através da solicitação do registro do mesmo neste órgão. No entanto, para os medicamentos preparados em Farmácias Magistrais, a regulamentação sanitária define outras exigências para garantia da qualidade, segurança e eficácia destes produtos.</w:t>
      </w:r>
    </w:p>
    <w:p w14:paraId="6EC3B4FC" w14:textId="59132E9A" w:rsidR="0096461D" w:rsidRDefault="0096461D" w:rsidP="0096461D">
      <w:pPr>
        <w:spacing w:line="360" w:lineRule="auto"/>
        <w:ind w:firstLine="720"/>
        <w:jc w:val="both"/>
      </w:pPr>
    </w:p>
    <w:p w14:paraId="4FEFC0B5" w14:textId="60927EEB" w:rsidR="00F50D68" w:rsidRPr="00F50D68" w:rsidRDefault="00F50D68" w:rsidP="0096461D">
      <w:pPr>
        <w:spacing w:line="360" w:lineRule="auto"/>
        <w:ind w:firstLine="720"/>
        <w:jc w:val="both"/>
        <w:rPr>
          <w:lang w:val="pt-BR"/>
        </w:rPr>
      </w:pPr>
      <w:r w:rsidRPr="00F50D68">
        <w:rPr>
          <w:lang w:val="pt-BR"/>
        </w:rPr>
        <w:t>Abaixo são elencadas as principais diferen</w:t>
      </w:r>
      <w:r>
        <w:rPr>
          <w:lang w:val="pt-BR"/>
        </w:rPr>
        <w:t>ças entre o medicamento industrializado e o magistral.</w:t>
      </w:r>
    </w:p>
    <w:tbl>
      <w:tblPr>
        <w:tblStyle w:val="GridTable4-Accent11"/>
        <w:tblW w:w="0" w:type="auto"/>
        <w:jc w:val="center"/>
        <w:tblLook w:val="04A0" w:firstRow="1" w:lastRow="0" w:firstColumn="1" w:lastColumn="0" w:noHBand="0" w:noVBand="1"/>
      </w:tblPr>
      <w:tblGrid>
        <w:gridCol w:w="3936"/>
        <w:gridCol w:w="3969"/>
      </w:tblGrid>
      <w:tr w:rsidR="0096461D" w:rsidRPr="009403FF" w14:paraId="50CC5DEB" w14:textId="77777777" w:rsidTr="00AC27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tcPr>
          <w:p w14:paraId="65030F78" w14:textId="6F1D52A1" w:rsidR="0096461D" w:rsidRPr="00F50D68" w:rsidRDefault="00F50D68" w:rsidP="00A72C7A">
            <w:pPr>
              <w:spacing w:line="360" w:lineRule="auto"/>
              <w:jc w:val="both"/>
            </w:pPr>
            <w:r w:rsidRPr="00F50D68">
              <w:t>Medicamento industrializado</w:t>
            </w:r>
          </w:p>
        </w:tc>
        <w:tc>
          <w:tcPr>
            <w:tcW w:w="3969" w:type="dxa"/>
          </w:tcPr>
          <w:p w14:paraId="41756C66" w14:textId="09B753B6" w:rsidR="0096461D" w:rsidRPr="009403FF" w:rsidRDefault="00F50D68" w:rsidP="00A72C7A">
            <w:pPr>
              <w:spacing w:line="360" w:lineRule="auto"/>
              <w:jc w:val="both"/>
              <w:cnfStyle w:val="100000000000" w:firstRow="1" w:lastRow="0" w:firstColumn="0" w:lastColumn="0" w:oddVBand="0" w:evenVBand="0" w:oddHBand="0" w:evenHBand="0" w:firstRowFirstColumn="0" w:firstRowLastColumn="0" w:lastRowFirstColumn="0" w:lastRowLastColumn="0"/>
            </w:pPr>
            <w:r w:rsidRPr="009403FF">
              <w:t>Medicamento magistral</w:t>
            </w:r>
          </w:p>
        </w:tc>
      </w:tr>
      <w:tr w:rsidR="0096461D" w:rsidRPr="009403FF" w14:paraId="5C2CEB6F" w14:textId="77777777" w:rsidTr="00AC2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tcPr>
          <w:p w14:paraId="4B3BEA8B" w14:textId="77777777" w:rsidR="0096461D" w:rsidRPr="00F50D68" w:rsidRDefault="0096461D" w:rsidP="00A72C7A">
            <w:pPr>
              <w:spacing w:line="360" w:lineRule="auto"/>
              <w:jc w:val="both"/>
              <w:rPr>
                <w:b w:val="0"/>
                <w:bCs w:val="0"/>
              </w:rPr>
            </w:pPr>
            <w:r w:rsidRPr="00F50D68">
              <w:rPr>
                <w:b w:val="0"/>
                <w:bCs w:val="0"/>
              </w:rPr>
              <w:t>Os medicamentos industrializados devem ser registrados na Agência Nacional de Vigilância Sanitária para serem comercializados.</w:t>
            </w:r>
          </w:p>
        </w:tc>
        <w:tc>
          <w:tcPr>
            <w:tcW w:w="3969" w:type="dxa"/>
          </w:tcPr>
          <w:p w14:paraId="54A1BF18" w14:textId="77777777" w:rsidR="0096461D" w:rsidRPr="009403FF" w:rsidRDefault="0096461D" w:rsidP="00A72C7A">
            <w:pPr>
              <w:spacing w:line="360" w:lineRule="auto"/>
              <w:jc w:val="both"/>
              <w:cnfStyle w:val="000000100000" w:firstRow="0" w:lastRow="0" w:firstColumn="0" w:lastColumn="0" w:oddVBand="0" w:evenVBand="0" w:oddHBand="1" w:evenHBand="0" w:firstRowFirstColumn="0" w:firstRowLastColumn="0" w:lastRowFirstColumn="0" w:lastRowLastColumn="0"/>
            </w:pPr>
            <w:r w:rsidRPr="009403FF">
              <w:t xml:space="preserve">Os manipulados têm as empresas (farmácias de manipulação) certificadas e fiscalizadas pelos serviços de vigilância sanitária dos estados e municípios brasileiros. </w:t>
            </w:r>
          </w:p>
        </w:tc>
      </w:tr>
      <w:tr w:rsidR="0096461D" w:rsidRPr="009403FF" w14:paraId="25CD9A9A" w14:textId="77777777" w:rsidTr="00AC27B4">
        <w:trPr>
          <w:jc w:val="center"/>
        </w:trPr>
        <w:tc>
          <w:tcPr>
            <w:cnfStyle w:val="001000000000" w:firstRow="0" w:lastRow="0" w:firstColumn="1" w:lastColumn="0" w:oddVBand="0" w:evenVBand="0" w:oddHBand="0" w:evenHBand="0" w:firstRowFirstColumn="0" w:firstRowLastColumn="0" w:lastRowFirstColumn="0" w:lastRowLastColumn="0"/>
            <w:tcW w:w="3936" w:type="dxa"/>
          </w:tcPr>
          <w:p w14:paraId="4250FADC" w14:textId="77777777" w:rsidR="0096461D" w:rsidRPr="00F50D68" w:rsidRDefault="0096461D" w:rsidP="00A72C7A">
            <w:pPr>
              <w:spacing w:line="360" w:lineRule="auto"/>
              <w:jc w:val="both"/>
              <w:rPr>
                <w:b w:val="0"/>
                <w:bCs w:val="0"/>
              </w:rPr>
            </w:pPr>
            <w:r w:rsidRPr="00F50D68">
              <w:rPr>
                <w:b w:val="0"/>
                <w:bCs w:val="0"/>
              </w:rPr>
              <w:t>São produzidos em dosagens ou concentrações padronizadas, de modo a serem utilizados por um grande número de pacientes.</w:t>
            </w:r>
          </w:p>
        </w:tc>
        <w:tc>
          <w:tcPr>
            <w:tcW w:w="3969" w:type="dxa"/>
          </w:tcPr>
          <w:p w14:paraId="37B4953A" w14:textId="77777777" w:rsidR="0096461D" w:rsidRPr="009403FF" w:rsidRDefault="0096461D" w:rsidP="00A72C7A">
            <w:pPr>
              <w:spacing w:line="360" w:lineRule="auto"/>
              <w:jc w:val="both"/>
              <w:cnfStyle w:val="000000000000" w:firstRow="0" w:lastRow="0" w:firstColumn="0" w:lastColumn="0" w:oddVBand="0" w:evenVBand="0" w:oddHBand="0" w:evenHBand="0" w:firstRowFirstColumn="0" w:firstRowLastColumn="0" w:lastRowFirstColumn="0" w:lastRowLastColumn="0"/>
            </w:pPr>
            <w:r w:rsidRPr="009403FF">
              <w:t>São prescritos e manipulados numa dosagem ou concentração especifica para cada paciente, sendo, portanto, de uso personalizado.</w:t>
            </w:r>
          </w:p>
        </w:tc>
      </w:tr>
      <w:tr w:rsidR="0096461D" w:rsidRPr="009403FF" w14:paraId="64AE404F" w14:textId="77777777" w:rsidTr="00AC2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tcPr>
          <w:p w14:paraId="5BB0D930" w14:textId="77777777" w:rsidR="0096461D" w:rsidRPr="00F50D68" w:rsidRDefault="0096461D" w:rsidP="00A72C7A">
            <w:pPr>
              <w:spacing w:line="360" w:lineRule="auto"/>
              <w:jc w:val="both"/>
              <w:rPr>
                <w:b w:val="0"/>
                <w:bCs w:val="0"/>
              </w:rPr>
            </w:pPr>
            <w:r w:rsidRPr="00F50D68">
              <w:rPr>
                <w:b w:val="0"/>
                <w:bCs w:val="0"/>
              </w:rPr>
              <w:t>São produzidos nas indústrias em grandes quantidades, utilizando equipamentos que têm capacidade para fabricar lotes de até milhares de unidades.</w:t>
            </w:r>
          </w:p>
        </w:tc>
        <w:tc>
          <w:tcPr>
            <w:tcW w:w="3969" w:type="dxa"/>
          </w:tcPr>
          <w:p w14:paraId="2A88FF13" w14:textId="77777777" w:rsidR="0096461D" w:rsidRPr="009403FF" w:rsidRDefault="0096461D" w:rsidP="00A72C7A">
            <w:pPr>
              <w:spacing w:line="360" w:lineRule="auto"/>
              <w:jc w:val="both"/>
              <w:cnfStyle w:val="000000100000" w:firstRow="0" w:lastRow="0" w:firstColumn="0" w:lastColumn="0" w:oddVBand="0" w:evenVBand="0" w:oddHBand="1" w:evenHBand="0" w:firstRowFirstColumn="0" w:firstRowLastColumn="0" w:lastRowFirstColumn="0" w:lastRowLastColumn="0"/>
            </w:pPr>
            <w:r w:rsidRPr="009403FF">
              <w:t>São manipulados para atender a uma prescrição médica e em quantidade suficiente para atender às necessidades específicas do paciente.</w:t>
            </w:r>
          </w:p>
        </w:tc>
      </w:tr>
      <w:tr w:rsidR="0096461D" w:rsidRPr="009403FF" w14:paraId="64E9BE51" w14:textId="77777777" w:rsidTr="00AC27B4">
        <w:trPr>
          <w:jc w:val="center"/>
        </w:trPr>
        <w:tc>
          <w:tcPr>
            <w:cnfStyle w:val="001000000000" w:firstRow="0" w:lastRow="0" w:firstColumn="1" w:lastColumn="0" w:oddVBand="0" w:evenVBand="0" w:oddHBand="0" w:evenHBand="0" w:firstRowFirstColumn="0" w:firstRowLastColumn="0" w:lastRowFirstColumn="0" w:lastRowLastColumn="0"/>
            <w:tcW w:w="3936" w:type="dxa"/>
          </w:tcPr>
          <w:p w14:paraId="0BE610B0" w14:textId="77777777" w:rsidR="0096461D" w:rsidRPr="00F50D68" w:rsidRDefault="0096461D" w:rsidP="00A72C7A">
            <w:pPr>
              <w:spacing w:line="360" w:lineRule="auto"/>
              <w:jc w:val="both"/>
              <w:rPr>
                <w:b w:val="0"/>
                <w:bCs w:val="0"/>
              </w:rPr>
            </w:pPr>
            <w:r w:rsidRPr="00F50D68">
              <w:rPr>
                <w:b w:val="0"/>
                <w:bCs w:val="0"/>
              </w:rPr>
              <w:t>Devem ser fabricados de acordo com as exigências de boas práticas de fabricação.</w:t>
            </w:r>
          </w:p>
        </w:tc>
        <w:tc>
          <w:tcPr>
            <w:tcW w:w="3969" w:type="dxa"/>
          </w:tcPr>
          <w:p w14:paraId="141AD854" w14:textId="77777777" w:rsidR="0096461D" w:rsidRPr="009403FF" w:rsidRDefault="0096461D" w:rsidP="00A72C7A">
            <w:pPr>
              <w:spacing w:line="360" w:lineRule="auto"/>
              <w:jc w:val="both"/>
              <w:cnfStyle w:val="000000000000" w:firstRow="0" w:lastRow="0" w:firstColumn="0" w:lastColumn="0" w:oddVBand="0" w:evenVBand="0" w:oddHBand="0" w:evenHBand="0" w:firstRowFirstColumn="0" w:firstRowLastColumn="0" w:lastRowFirstColumn="0" w:lastRowLastColumn="0"/>
            </w:pPr>
            <w:r w:rsidRPr="009403FF">
              <w:t>Devem ser fabricados de acordo com as exigências de boas práticas de manipulação</w:t>
            </w:r>
          </w:p>
        </w:tc>
      </w:tr>
      <w:tr w:rsidR="0096461D" w:rsidRPr="009403FF" w14:paraId="190B1BA1" w14:textId="77777777" w:rsidTr="00AC2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tcPr>
          <w:p w14:paraId="76372547" w14:textId="77777777" w:rsidR="0096461D" w:rsidRPr="00F50D68" w:rsidRDefault="0096461D" w:rsidP="00A72C7A">
            <w:pPr>
              <w:spacing w:line="360" w:lineRule="auto"/>
              <w:jc w:val="both"/>
              <w:rPr>
                <w:b w:val="0"/>
                <w:bCs w:val="0"/>
              </w:rPr>
            </w:pPr>
            <w:r w:rsidRPr="00F50D68">
              <w:rPr>
                <w:b w:val="0"/>
                <w:bCs w:val="0"/>
              </w:rPr>
              <w:t>O prazo de validade deve ser definido com base em estudos de estabilidade exigidos pela legislação, que pode ser de 1 a 5 anos.</w:t>
            </w:r>
          </w:p>
        </w:tc>
        <w:tc>
          <w:tcPr>
            <w:tcW w:w="3969" w:type="dxa"/>
          </w:tcPr>
          <w:p w14:paraId="3C9E1EA9" w14:textId="77777777" w:rsidR="0096461D" w:rsidRPr="009403FF" w:rsidRDefault="0096461D" w:rsidP="00A72C7A">
            <w:pPr>
              <w:spacing w:line="360" w:lineRule="auto"/>
              <w:jc w:val="both"/>
              <w:cnfStyle w:val="000000100000" w:firstRow="0" w:lastRow="0" w:firstColumn="0" w:lastColumn="0" w:oddVBand="0" w:evenVBand="0" w:oddHBand="1" w:evenHBand="0" w:firstRowFirstColumn="0" w:firstRowLastColumn="0" w:lastRowFirstColumn="0" w:lastRowLastColumn="0"/>
            </w:pPr>
            <w:r w:rsidRPr="009403FF">
              <w:t>O prazo de validade deve ser definido com base em avaliação técnico-científica exigida pela legislação e normalmente está vinculado ao período de tratamento do paciente.</w:t>
            </w:r>
          </w:p>
        </w:tc>
      </w:tr>
    </w:tbl>
    <w:p w14:paraId="5A2FA7FC" w14:textId="77777777" w:rsidR="0096461D" w:rsidRPr="009403FF" w:rsidRDefault="0096461D" w:rsidP="0096461D">
      <w:pPr>
        <w:spacing w:line="360" w:lineRule="auto"/>
        <w:jc w:val="both"/>
      </w:pPr>
    </w:p>
    <w:p w14:paraId="714C46BC" w14:textId="77777777" w:rsidR="0096461D" w:rsidRPr="00C83D05" w:rsidRDefault="0096461D" w:rsidP="0096461D">
      <w:pPr>
        <w:spacing w:line="360" w:lineRule="auto"/>
        <w:jc w:val="both"/>
        <w:rPr>
          <w:b/>
          <w:bCs/>
        </w:rPr>
      </w:pPr>
      <w:r w:rsidRPr="00C83D05">
        <w:rPr>
          <w:b/>
          <w:bCs/>
        </w:rPr>
        <w:t>Situação atual do registro de medicamentos novos</w:t>
      </w:r>
    </w:p>
    <w:p w14:paraId="1642927C" w14:textId="77777777" w:rsidR="0096461D" w:rsidRPr="009403FF" w:rsidRDefault="0096461D" w:rsidP="0096461D">
      <w:pPr>
        <w:spacing w:line="360" w:lineRule="auto"/>
        <w:ind w:firstLine="720"/>
        <w:jc w:val="both"/>
      </w:pPr>
      <w:r w:rsidRPr="009403FF">
        <w:t>Para solicitação de registro, a empresa interessada deve apresentar uma um dossiê que contempla as seguintes partes:</w:t>
      </w:r>
    </w:p>
    <w:p w14:paraId="12FA6003" w14:textId="4F1E8DAF" w:rsidR="0096461D" w:rsidRPr="009403FF" w:rsidRDefault="0096461D" w:rsidP="0096461D">
      <w:pPr>
        <w:spacing w:line="360" w:lineRule="auto"/>
        <w:ind w:firstLine="720"/>
        <w:jc w:val="both"/>
      </w:pPr>
      <w:r w:rsidRPr="009403FF">
        <w:t>- Parte documental: comprovação da regularidade da empresa</w:t>
      </w:r>
      <w:r w:rsidR="00C83D05">
        <w:t>;</w:t>
      </w:r>
    </w:p>
    <w:p w14:paraId="2A421913" w14:textId="622E4F1C" w:rsidR="0096461D" w:rsidRPr="009403FF" w:rsidRDefault="0096461D" w:rsidP="0096461D">
      <w:pPr>
        <w:spacing w:line="360" w:lineRule="auto"/>
        <w:ind w:firstLine="720"/>
        <w:jc w:val="both"/>
      </w:pPr>
      <w:r w:rsidRPr="009403FF">
        <w:t>- Parte técnica/farmacotécnica, relacionada à qualidade do produto a ser comercializado</w:t>
      </w:r>
      <w:r w:rsidR="00C83D05">
        <w:t>;</w:t>
      </w:r>
    </w:p>
    <w:p w14:paraId="44C8BA67" w14:textId="3195B22A" w:rsidR="0096461D" w:rsidRDefault="0096461D" w:rsidP="0096461D">
      <w:pPr>
        <w:spacing w:line="360" w:lineRule="auto"/>
        <w:ind w:firstLine="720"/>
        <w:jc w:val="both"/>
      </w:pPr>
      <w:r w:rsidRPr="009403FF">
        <w:t>- Relatórios de comprovação de eficácia e segurança obtidos através de estudos</w:t>
      </w:r>
      <w:r w:rsidR="00C83D05">
        <w:t>.</w:t>
      </w:r>
    </w:p>
    <w:p w14:paraId="56E0D0F8" w14:textId="77777777" w:rsidR="00C83D05" w:rsidRPr="009403FF" w:rsidRDefault="00C83D05" w:rsidP="0096461D">
      <w:pPr>
        <w:spacing w:line="360" w:lineRule="auto"/>
        <w:ind w:firstLine="720"/>
        <w:jc w:val="both"/>
      </w:pPr>
    </w:p>
    <w:p w14:paraId="63A3ECB7" w14:textId="77777777" w:rsidR="0096461D" w:rsidRPr="009403FF" w:rsidRDefault="0096461D" w:rsidP="0096461D">
      <w:pPr>
        <w:spacing w:line="360" w:lineRule="auto"/>
        <w:ind w:firstLine="720"/>
        <w:jc w:val="both"/>
      </w:pPr>
      <w:r w:rsidRPr="009403FF">
        <w:t xml:space="preserve">A regulamentação sanitária não é estática, pelo contrário, é uma regulamentação que está em constante evolução e passou por muitas mudanças desde a criação da Lei dos Genéricos em 1999, que configurou um divisor de águas na política nacional e medicamentos. </w:t>
      </w:r>
    </w:p>
    <w:p w14:paraId="22BD0685" w14:textId="77777777" w:rsidR="0096461D" w:rsidRPr="009403FF" w:rsidRDefault="0096461D" w:rsidP="0096461D">
      <w:pPr>
        <w:spacing w:line="360" w:lineRule="auto"/>
        <w:ind w:firstLine="720"/>
        <w:jc w:val="both"/>
      </w:pPr>
      <w:r w:rsidRPr="009403FF">
        <w:t xml:space="preserve">Um marco legal importante após a criação da Lei dos Genéricos aconteceu no ano de 2003, quando a ANVISA apresentou regras mais rígidas e maiores exigências para o registro de medicamentos, em acordo com a Política Nacional de Medicamentos do Ministério da Saúde (ANIVISA, 2004). </w:t>
      </w:r>
    </w:p>
    <w:p w14:paraId="48AFCE38" w14:textId="77777777" w:rsidR="0096461D" w:rsidRPr="009403FF" w:rsidRDefault="0096461D" w:rsidP="0096461D">
      <w:pPr>
        <w:spacing w:line="360" w:lineRule="auto"/>
        <w:ind w:firstLine="720"/>
        <w:jc w:val="both"/>
      </w:pPr>
      <w:r w:rsidRPr="009403FF">
        <w:t xml:space="preserve">Nesta nova política ficou estabelecido o reconhecimento de três categorias principais para o registro de medicamentos: homeopáticos, fitoterápicos e substâncias quimicamente definidas (medicamentos sintéticos e semissintéticos). Cada categoria, por conta de suas especificidades, recebeu legislação própria. </w:t>
      </w:r>
    </w:p>
    <w:p w14:paraId="1B871323" w14:textId="77777777" w:rsidR="0096461D" w:rsidRPr="009403FF" w:rsidRDefault="0096461D" w:rsidP="0096461D">
      <w:pPr>
        <w:spacing w:line="360" w:lineRule="auto"/>
        <w:ind w:firstLine="720"/>
        <w:jc w:val="both"/>
      </w:pPr>
      <w:r w:rsidRPr="009403FF">
        <w:t xml:space="preserve">A Homeopatia afirma que os medicamentos têm propriedades terapêuticas produzidas por uma energia vital proveniente do processo de dinamização de extratos vegetais, animais ou minerais. </w:t>
      </w:r>
    </w:p>
    <w:p w14:paraId="27F5E28F" w14:textId="77777777" w:rsidR="0096461D" w:rsidRPr="009403FF" w:rsidRDefault="0096461D" w:rsidP="0096461D">
      <w:pPr>
        <w:spacing w:line="360" w:lineRule="auto"/>
        <w:ind w:firstLine="720"/>
        <w:jc w:val="both"/>
      </w:pPr>
      <w:r w:rsidRPr="009403FF">
        <w:t xml:space="preserve">A Fitoterapia entende que os extratos vegetais, compostos de substâncias produzidas pela natureza, são tão ou mais seguros e eficazes que os produzidos sinteticamente. </w:t>
      </w:r>
    </w:p>
    <w:p w14:paraId="1F014E4F" w14:textId="77777777" w:rsidR="0096461D" w:rsidRPr="009403FF" w:rsidRDefault="0096461D" w:rsidP="0096461D">
      <w:pPr>
        <w:spacing w:line="360" w:lineRule="auto"/>
        <w:ind w:firstLine="720"/>
        <w:jc w:val="both"/>
        <w:rPr>
          <w:highlight w:val="yellow"/>
        </w:rPr>
      </w:pPr>
      <w:r w:rsidRPr="009403FF">
        <w:t>A produção de medicamentos com substâncias quimicamente definidas faz uso da tecnologia de produção oriunda de sínteses químicas ou biológicas ou do isolamento de substâncias da natureza.</w:t>
      </w:r>
    </w:p>
    <w:p w14:paraId="6E857955" w14:textId="77777777" w:rsidR="00C83D05" w:rsidRDefault="00C83D05" w:rsidP="00C83D05">
      <w:pPr>
        <w:spacing w:line="360" w:lineRule="auto"/>
        <w:jc w:val="both"/>
      </w:pPr>
    </w:p>
    <w:p w14:paraId="1025F5AF" w14:textId="5A6BA428" w:rsidR="0096461D" w:rsidRPr="009403FF" w:rsidRDefault="0096461D" w:rsidP="00C83D05">
      <w:pPr>
        <w:spacing w:line="360" w:lineRule="auto"/>
        <w:jc w:val="both"/>
      </w:pPr>
      <w:r w:rsidRPr="009403FF">
        <w:t>Outros pontos que nortearam as mudanças nas exigências de registro foram:</w:t>
      </w:r>
    </w:p>
    <w:p w14:paraId="1B4EEAE8" w14:textId="77777777" w:rsidR="0096461D" w:rsidRPr="009403FF" w:rsidRDefault="0096461D" w:rsidP="0096461D">
      <w:pPr>
        <w:spacing w:line="360" w:lineRule="auto"/>
        <w:ind w:firstLine="720"/>
        <w:jc w:val="both"/>
      </w:pPr>
      <w:r w:rsidRPr="009403FF">
        <w:t>- Verificação da qualidade quanto à reprodutibilidade (igualdade entre lotes), segurança e eficácia terapêutica dos medicamentos dentro das três categorias, por meio de comprovação laboratorial ou de estudos clínicos;</w:t>
      </w:r>
    </w:p>
    <w:p w14:paraId="3D967FD4" w14:textId="77777777" w:rsidR="0096461D" w:rsidRPr="009403FF" w:rsidRDefault="0096461D" w:rsidP="0096461D">
      <w:pPr>
        <w:spacing w:line="360" w:lineRule="auto"/>
        <w:ind w:firstLine="720"/>
        <w:jc w:val="both"/>
      </w:pPr>
      <w:r w:rsidRPr="009403FF">
        <w:t>-  Controle da matéria-prima;</w:t>
      </w:r>
    </w:p>
    <w:p w14:paraId="51B2AEAC" w14:textId="77777777" w:rsidR="0096461D" w:rsidRPr="009403FF" w:rsidRDefault="0096461D" w:rsidP="0096461D">
      <w:pPr>
        <w:spacing w:line="360" w:lineRule="auto"/>
        <w:ind w:firstLine="720"/>
        <w:jc w:val="both"/>
      </w:pPr>
      <w:r w:rsidRPr="009403FF">
        <w:t xml:space="preserve">- Redefinição das categorias de venda para medicamentos: isentos de prescrição médica, com prescrição médica e controlados; </w:t>
      </w:r>
    </w:p>
    <w:p w14:paraId="4EE3E156" w14:textId="77777777" w:rsidR="0096461D" w:rsidRPr="009403FF" w:rsidRDefault="0096461D" w:rsidP="0096461D">
      <w:pPr>
        <w:spacing w:line="360" w:lineRule="auto"/>
        <w:ind w:firstLine="720"/>
        <w:jc w:val="both"/>
      </w:pPr>
      <w:r w:rsidRPr="009403FF">
        <w:t>- Exigência da certificação de Boas Práticas de Fabricação para a concessão de registro para linha de produção de medicamentos;</w:t>
      </w:r>
    </w:p>
    <w:p w14:paraId="17488CD1" w14:textId="77777777" w:rsidR="0096461D" w:rsidRPr="009403FF" w:rsidRDefault="0096461D" w:rsidP="0096461D">
      <w:pPr>
        <w:spacing w:line="360" w:lineRule="auto"/>
        <w:ind w:firstLine="720"/>
        <w:jc w:val="both"/>
        <w:rPr>
          <w:highlight w:val="yellow"/>
        </w:rPr>
      </w:pPr>
      <w:r w:rsidRPr="009403FF">
        <w:t>- Redução da assimetria de informação (diferenças dos níveis de informação na cadeia prescritor-farmácia-paciente) e aumento do controle sobre o direcionamento e conteúdo adequados da propaganda de medicamentos; as bulas e rótulos são instrumentos de informação sobre medicamentos dirigidos aos pacientes, dispensadores e prescritores por parte da indústria. Estes instrumentos costumavam a ser usados para fins de marketing e não havia controle por parte da Vigilância Sanitária sobre o conteúdo das bulas. Este ano será lançado um Compêndio de Bulas de Medicamentos que suprirá a necessidade de informação para pacientes, dispensadores e prescritores. As informações que estavam presentes nas bulas dos medicamentos em seu país de origem, não poderão ser suprimidas. Similares e genéricos deverão seguir o conteúdo das bulas dos medicamentos de referência.</w:t>
      </w:r>
    </w:p>
    <w:p w14:paraId="554EE8F8" w14:textId="77777777" w:rsidR="0096461D" w:rsidRPr="009403FF" w:rsidRDefault="0096461D" w:rsidP="0096461D">
      <w:pPr>
        <w:spacing w:line="360" w:lineRule="auto"/>
        <w:ind w:firstLine="720"/>
        <w:jc w:val="both"/>
      </w:pPr>
      <w:r w:rsidRPr="009403FF">
        <w:t>-  Aumento do controle da venda de medicamentos de tarja preta;</w:t>
      </w:r>
    </w:p>
    <w:p w14:paraId="4F4C5107" w14:textId="77777777" w:rsidR="0096461D" w:rsidRPr="009403FF" w:rsidRDefault="0096461D" w:rsidP="0096461D">
      <w:pPr>
        <w:spacing w:line="360" w:lineRule="auto"/>
        <w:ind w:firstLine="720"/>
        <w:jc w:val="both"/>
      </w:pPr>
      <w:r w:rsidRPr="009403FF">
        <w:t xml:space="preserve">- Participação nas estratégias que facilitam o acesso a medicamentos pela maioriada população.  A aprovação de um </w:t>
      </w:r>
      <w:r w:rsidRPr="00F50D68">
        <w:rPr>
          <w:bCs/>
        </w:rPr>
        <w:t>medicamento novo</w:t>
      </w:r>
      <w:r w:rsidRPr="009403FF">
        <w:t xml:space="preserve"> no Brasil passou a levar conta dados de preço no mercado internacional, para que o governo possa negociar valores adequados ao consumidor brasileiro. Os medicamentos genéricos, no momento do seu lançamento, são 35% mais baratos que os medicamentos de referência. Os laboratórios oficiais que produzem medicamentos distribuídos pelo SUS, gratuitamente, são isentos das taxas da Anvisa e têm prioridade na análise de seus processos. A execução da política de controle de preços de medicamentos é definida pela Câmara de Medicamentos com participação interministerial.</w:t>
      </w:r>
    </w:p>
    <w:p w14:paraId="3DCD58B4" w14:textId="77777777" w:rsidR="0096461D" w:rsidRPr="009403FF" w:rsidRDefault="0096461D" w:rsidP="0096461D">
      <w:pPr>
        <w:spacing w:line="360" w:lineRule="auto"/>
        <w:ind w:firstLine="720"/>
        <w:jc w:val="both"/>
      </w:pPr>
      <w:r w:rsidRPr="009403FF">
        <w:t>-  Informatização e desburocratização do processo de registro e das alterações pós-registro;</w:t>
      </w:r>
    </w:p>
    <w:p w14:paraId="09D0BF18" w14:textId="77777777" w:rsidR="0096461D" w:rsidRPr="009403FF" w:rsidRDefault="0096461D" w:rsidP="0096461D">
      <w:pPr>
        <w:spacing w:line="360" w:lineRule="auto"/>
        <w:ind w:firstLine="720"/>
        <w:jc w:val="both"/>
      </w:pPr>
      <w:r w:rsidRPr="009403FF">
        <w:t>-  Ampliação do monitoramento da qualidade dos medicamentos em comercialização;</w:t>
      </w:r>
    </w:p>
    <w:p w14:paraId="283FBD0F" w14:textId="77777777" w:rsidR="0096461D" w:rsidRPr="009403FF" w:rsidRDefault="0096461D" w:rsidP="0096461D">
      <w:pPr>
        <w:spacing w:line="360" w:lineRule="auto"/>
        <w:ind w:firstLine="720"/>
        <w:jc w:val="both"/>
      </w:pPr>
      <w:r w:rsidRPr="009403FF">
        <w:t>-  Redução do número de associações irracionais (dois ou mais princípios ativos que possam levar a um aumento da toxicidade sem aumento de eficácia; princípios ativos em quantidade insuficiente para atingir o efeito desejado ou em desacordo com guias de prática clínica);</w:t>
      </w:r>
    </w:p>
    <w:p w14:paraId="3044AAE9" w14:textId="77777777" w:rsidR="0096461D" w:rsidRPr="009403FF" w:rsidRDefault="0096461D" w:rsidP="0096461D">
      <w:pPr>
        <w:spacing w:line="360" w:lineRule="auto"/>
        <w:ind w:firstLine="720"/>
        <w:jc w:val="both"/>
      </w:pPr>
      <w:r w:rsidRPr="009403FF">
        <w:t>- Reforço na fiscalização quanto à utilização de nomes comerciais pelos fabricantes que possam induzir erros de prescrição e automedicação.</w:t>
      </w:r>
    </w:p>
    <w:p w14:paraId="555D8AE7" w14:textId="77777777" w:rsidR="0096461D" w:rsidRPr="009403FF" w:rsidRDefault="0096461D" w:rsidP="0096461D">
      <w:pPr>
        <w:spacing w:line="360" w:lineRule="auto"/>
        <w:ind w:firstLine="720"/>
        <w:jc w:val="both"/>
      </w:pPr>
      <w:r w:rsidRPr="009403FF">
        <w:t xml:space="preserve">Do ano de 2003 até o momento atual, muitas outras questões foram atualizadas e adequadas principalmente no quesito de exigências de realização de estudos e a apresentação de relatórios contendo os resultados que comprovem a segurança e a eficácia do produto. </w:t>
      </w:r>
    </w:p>
    <w:p w14:paraId="0F1EA01D" w14:textId="59382241" w:rsidR="0096461D" w:rsidRPr="009403FF" w:rsidRDefault="0096461D" w:rsidP="00C83D05">
      <w:pPr>
        <w:spacing w:line="360" w:lineRule="auto"/>
        <w:ind w:firstLine="720"/>
        <w:jc w:val="both"/>
      </w:pPr>
      <w:r w:rsidRPr="009403FF">
        <w:t>A legislação em vigor no momento da redação deste capítulo é RDC Nº 200</w:t>
      </w:r>
      <w:r w:rsidR="00F50D68" w:rsidRPr="00F50D68">
        <w:rPr>
          <w:lang w:val="pt-BR"/>
        </w:rPr>
        <w:t xml:space="preserve"> </w:t>
      </w:r>
      <w:r w:rsidR="00F50D68">
        <w:rPr>
          <w:lang w:val="pt-BR"/>
        </w:rPr>
        <w:t>(2017)</w:t>
      </w:r>
      <w:r w:rsidRPr="009403FF">
        <w:t>, que dispõe sobre os critérios para a concessão e renovação do registro de medicamentos com princípios ativos sintéticos e semissintéticos, classificados como novos, genéricos e similares, e dá outras providências. Além da comprovação da segurança e eficácia, as empresas ainda devem possuir a certificação de boas práticas de fabricação concedida também pela ANVISA, sendo essa a parte que irá determinar a qualidade do medicamento comercializado.</w:t>
      </w:r>
    </w:p>
    <w:p w14:paraId="24F139BA" w14:textId="1633F5FC" w:rsidR="0096461D" w:rsidRPr="009403FF" w:rsidRDefault="0096461D" w:rsidP="0096461D">
      <w:pPr>
        <w:spacing w:line="360" w:lineRule="auto"/>
        <w:ind w:firstLine="720"/>
        <w:jc w:val="both"/>
      </w:pPr>
      <w:r w:rsidRPr="009403FF">
        <w:t>Tratando ainda da questão do medicamento novo, é importante diferenciar qual tipo de inovação está sendo utilizada</w:t>
      </w:r>
      <w:r w:rsidR="00C83D05">
        <w:t>:</w:t>
      </w:r>
    </w:p>
    <w:p w14:paraId="55404918" w14:textId="7FD180CC" w:rsidR="0096461D" w:rsidRPr="009403FF" w:rsidRDefault="00C83D05" w:rsidP="0096461D">
      <w:pPr>
        <w:spacing w:line="360" w:lineRule="auto"/>
        <w:ind w:firstLine="720"/>
        <w:jc w:val="both"/>
      </w:pPr>
      <w:r>
        <w:t>I</w:t>
      </w:r>
      <w:r w:rsidR="0096461D" w:rsidRPr="009403FF">
        <w:t>novação radical – desenvolvimento de nova molécula não registrada no país;</w:t>
      </w:r>
    </w:p>
    <w:p w14:paraId="1E410439" w14:textId="252A869E" w:rsidR="0096461D" w:rsidRPr="009403FF" w:rsidRDefault="00C83D05" w:rsidP="0096461D">
      <w:pPr>
        <w:spacing w:line="360" w:lineRule="auto"/>
        <w:ind w:firstLine="720"/>
        <w:jc w:val="both"/>
      </w:pPr>
      <w:r>
        <w:t>I</w:t>
      </w:r>
      <w:r w:rsidR="0096461D" w:rsidRPr="009403FF">
        <w:t xml:space="preserve">novação incremental - desenvolvimento de melhorias em relação a um medicamento já registrado no país; (Redação dada pela Resolução – RDC nº 20, de 13 de maio de 2015). No ano de 2014 foi publicada a Resolução RDC nº 60, de 10 de outubro de 2014/ANVISA, que trazia os critérios para concessão e renovação do registro de medicamentos com princípios ativos sintéticos e semissintéticos, classificados como novos, genéricos e similares. A resolução trouxe maior robustez regulatória no entendimento do que se espera como prova de qualidade e de segurança e eficácia no registro de </w:t>
      </w:r>
      <w:r w:rsidR="0096461D" w:rsidRPr="009403FF">
        <w:rPr>
          <w:b/>
        </w:rPr>
        <w:t>medicamentos sintéticos e semissintéticos</w:t>
      </w:r>
      <w:r w:rsidR="0096461D" w:rsidRPr="009403FF">
        <w:t xml:space="preserve"> em relação às normativas anteriores. </w:t>
      </w:r>
    </w:p>
    <w:p w14:paraId="3F4BC4C4" w14:textId="42BF2353" w:rsidR="0096461D" w:rsidRPr="009403FF" w:rsidRDefault="0096461D" w:rsidP="0096461D">
      <w:pPr>
        <w:spacing w:line="360" w:lineRule="auto"/>
        <w:ind w:firstLine="720"/>
        <w:jc w:val="both"/>
      </w:pPr>
      <w:r w:rsidRPr="009403FF">
        <w:t>Entretanto, as categorias possíveis de registro pela RDC 60/2014 eram: Medicamento Novo, Nova Associação, Nova Associação em Dose Fixa, Nova Forma Farmacêutica, Nova Concentração, Nova Via de Administração, Medicamento com Mesmo(s) IFA(s) de Medicamento Novo já Registrado, Genérico e Similar. Por esta categorização, a RDC nº 60/2014 impossibilitava o enquadramento de alguns medicamentos que traziam uma inovação que não se enquadrava em nenhuma das categorias definidas na resolução, criando um entrave administrativo-regulatório – e não técnico – para a entrada de medicamentos inovadores no mercado nacional. Tal situação era uma demanda constante do setor regulado e trouxe discussão interna sobre a necessidade de ampla revisão da norma</w:t>
      </w:r>
      <w:r w:rsidR="004F3C79" w:rsidRPr="004F3C79">
        <w:rPr>
          <w:lang w:val="pt-BR"/>
        </w:rPr>
        <w:t xml:space="preserve"> </w:t>
      </w:r>
      <w:r w:rsidR="004F3C79">
        <w:rPr>
          <w:lang w:val="pt-BR"/>
        </w:rPr>
        <w:t>(CRF, 2020)</w:t>
      </w:r>
      <w:r w:rsidRPr="009403FF">
        <w:t>.</w:t>
      </w:r>
    </w:p>
    <w:p w14:paraId="58C866AC" w14:textId="77777777" w:rsidR="0096461D" w:rsidRPr="009403FF" w:rsidRDefault="0096461D" w:rsidP="0096461D">
      <w:pPr>
        <w:spacing w:line="360" w:lineRule="auto"/>
        <w:ind w:firstLine="720"/>
        <w:jc w:val="both"/>
        <w:rPr>
          <w:highlight w:val="yellow"/>
        </w:rPr>
      </w:pPr>
      <w:r w:rsidRPr="009403FF">
        <w:t>A revisão da norma resultou na publicação da RDC nº 200/2017, que revogou a RDC nº 60, de 10 de outubro de 2014, e que estabelece os critérios para a concessão e renovação de registro de medicamentos sintéticos e semissintéticos classificados como novos, genéricos e similares. Essa RDC também determina os instrumentos legais de vigilância sanitária e os documentos que as empresas detentoras dos registros devem submeter para a análise dessas renovações. Esse conjunto de documentos é considerado de análise técnico-administrativa e de baixa complexidade.</w:t>
      </w:r>
    </w:p>
    <w:p w14:paraId="1B17BBAA" w14:textId="77777777" w:rsidR="0096461D" w:rsidRPr="009403FF" w:rsidRDefault="0096461D" w:rsidP="0096461D">
      <w:pPr>
        <w:spacing w:line="360" w:lineRule="auto"/>
        <w:ind w:firstLine="720"/>
        <w:jc w:val="both"/>
      </w:pPr>
      <w:r w:rsidRPr="009403FF">
        <w:t xml:space="preserve">Entre outros pontos, essa política é baseada no reconhecimento de três categorias principais para o registro de </w:t>
      </w:r>
      <w:r w:rsidRPr="009403FF">
        <w:rPr>
          <w:b/>
        </w:rPr>
        <w:t>medicamentos sintéticos</w:t>
      </w:r>
      <w:r w:rsidRPr="009403FF">
        <w:t>, a saber: medicamentos novos, genéricos e similares. Posteriormente, os medicamentos novos foram reclassificados em novos e inovadores. As definições dessas quatro categorias de produtos são encontradas atualmente na Resolução da Diretoria Colegiada (RDC) n° 200, de 26 de dezembro de 2017, e estão descritas a seguir:</w:t>
      </w:r>
    </w:p>
    <w:p w14:paraId="4D33C362" w14:textId="77777777" w:rsidR="00B02C5E" w:rsidRDefault="00B02C5E" w:rsidP="00B02C5E">
      <w:pPr>
        <w:spacing w:line="360" w:lineRule="auto"/>
        <w:jc w:val="both"/>
      </w:pPr>
    </w:p>
    <w:p w14:paraId="24AB6943" w14:textId="6B7B105F" w:rsidR="0096461D" w:rsidRPr="009403FF" w:rsidRDefault="0096461D" w:rsidP="00C83D05">
      <w:pPr>
        <w:spacing w:line="360" w:lineRule="auto"/>
        <w:jc w:val="both"/>
        <w:rPr>
          <w:b/>
          <w:bCs/>
        </w:rPr>
      </w:pPr>
      <w:r w:rsidRPr="00B02C5E">
        <w:rPr>
          <w:b/>
          <w:bCs/>
        </w:rPr>
        <w:t>O Registro do medicamento</w:t>
      </w:r>
    </w:p>
    <w:p w14:paraId="5EF1EF1A" w14:textId="77777777" w:rsidR="0096461D" w:rsidRPr="009403FF" w:rsidRDefault="0096461D" w:rsidP="00C83D05">
      <w:pPr>
        <w:spacing w:line="360" w:lineRule="auto"/>
        <w:ind w:firstLine="708"/>
        <w:jc w:val="both"/>
      </w:pPr>
      <w:r w:rsidRPr="009403FF">
        <w:t>O pedido de registro de medicamento novo deverá ser individualizado por forma farmacêutica. A aprovação prévia do desenvolvimento clínico conduzido em território nacional é obrigatória para a utilização dos resultados para fins de registro do medicamento novo.</w:t>
      </w:r>
    </w:p>
    <w:p w14:paraId="026EA864" w14:textId="77777777" w:rsidR="0096461D" w:rsidRPr="009403FF" w:rsidRDefault="0096461D" w:rsidP="0096461D">
      <w:pPr>
        <w:spacing w:line="360" w:lineRule="auto"/>
        <w:jc w:val="both"/>
      </w:pPr>
      <w:r w:rsidRPr="009403FF">
        <w:t>Da Documentação Técnica da Qualidade solicitada para registro de novo:</w:t>
      </w:r>
    </w:p>
    <w:p w14:paraId="6A3EC60A" w14:textId="77777777" w:rsidR="0096461D" w:rsidRPr="009403FF" w:rsidRDefault="0096461D" w:rsidP="0096461D">
      <w:pPr>
        <w:spacing w:line="360" w:lineRule="auto"/>
        <w:jc w:val="both"/>
      </w:pPr>
      <w:r w:rsidRPr="009403FF">
        <w:t xml:space="preserve">i – insumo farmacêutico ativo (IFA) novo: </w:t>
      </w:r>
    </w:p>
    <w:p w14:paraId="054052F1" w14:textId="77777777" w:rsidR="0096461D" w:rsidRPr="009403FF" w:rsidRDefault="0096461D" w:rsidP="0096461D">
      <w:pPr>
        <w:pStyle w:val="PargrafodaLista"/>
        <w:numPr>
          <w:ilvl w:val="0"/>
          <w:numId w:val="3"/>
        </w:numPr>
        <w:spacing w:line="360" w:lineRule="auto"/>
        <w:jc w:val="both"/>
      </w:pPr>
      <w:r w:rsidRPr="009403FF">
        <w:t>nomenclatura: a DCB;</w:t>
      </w:r>
    </w:p>
    <w:p w14:paraId="0FBAA1D9" w14:textId="77777777" w:rsidR="0096461D" w:rsidRPr="009403FF" w:rsidRDefault="0096461D" w:rsidP="0096461D">
      <w:pPr>
        <w:pStyle w:val="PargrafodaLista"/>
        <w:numPr>
          <w:ilvl w:val="0"/>
          <w:numId w:val="3"/>
        </w:numPr>
        <w:spacing w:line="360" w:lineRule="auto"/>
        <w:jc w:val="both"/>
      </w:pPr>
      <w:r w:rsidRPr="009403FF">
        <w:t>estrutura química;</w:t>
      </w:r>
    </w:p>
    <w:p w14:paraId="05DFC173" w14:textId="77777777" w:rsidR="0096461D" w:rsidRPr="009403FF" w:rsidRDefault="0096461D" w:rsidP="0096461D">
      <w:pPr>
        <w:pStyle w:val="PargrafodaLista"/>
        <w:numPr>
          <w:ilvl w:val="0"/>
          <w:numId w:val="3"/>
        </w:numPr>
        <w:spacing w:line="360" w:lineRule="auto"/>
        <w:jc w:val="both"/>
      </w:pPr>
      <w:r w:rsidRPr="009403FF">
        <w:t>propriedade físico-químicas;</w:t>
      </w:r>
    </w:p>
    <w:p w14:paraId="740D146B" w14:textId="77777777" w:rsidR="0096461D" w:rsidRPr="009403FF" w:rsidRDefault="0096461D" w:rsidP="0096461D">
      <w:pPr>
        <w:pStyle w:val="PargrafodaLista"/>
        <w:numPr>
          <w:ilvl w:val="0"/>
          <w:numId w:val="3"/>
        </w:numPr>
        <w:spacing w:line="360" w:lineRule="auto"/>
        <w:jc w:val="both"/>
      </w:pPr>
      <w:r w:rsidRPr="009403FF">
        <w:t>nome, endereço e documento de órgão oficial do fabricante;</w:t>
      </w:r>
    </w:p>
    <w:p w14:paraId="34D53D31" w14:textId="77777777" w:rsidR="0096461D" w:rsidRPr="009403FF" w:rsidRDefault="0096461D" w:rsidP="0096461D">
      <w:pPr>
        <w:pStyle w:val="PargrafodaLista"/>
        <w:numPr>
          <w:ilvl w:val="0"/>
          <w:numId w:val="3"/>
        </w:numPr>
        <w:spacing w:line="360" w:lineRule="auto"/>
        <w:jc w:val="both"/>
      </w:pPr>
      <w:r w:rsidRPr="009403FF">
        <w:t>descrição do processo de síntese;</w:t>
      </w:r>
    </w:p>
    <w:p w14:paraId="73993F10" w14:textId="77777777" w:rsidR="0096461D" w:rsidRPr="009403FF" w:rsidRDefault="0096461D" w:rsidP="0096461D">
      <w:pPr>
        <w:pStyle w:val="PargrafodaLista"/>
        <w:numPr>
          <w:ilvl w:val="0"/>
          <w:numId w:val="3"/>
        </w:numPr>
        <w:spacing w:line="360" w:lineRule="auto"/>
        <w:jc w:val="both"/>
      </w:pPr>
      <w:r w:rsidRPr="009403FF">
        <w:t>elucidação da estrutura e outras características e impurezas;</w:t>
      </w:r>
    </w:p>
    <w:p w14:paraId="591546D7" w14:textId="77777777" w:rsidR="0096461D" w:rsidRPr="009403FF" w:rsidRDefault="0096461D" w:rsidP="0096461D">
      <w:pPr>
        <w:pStyle w:val="PargrafodaLista"/>
        <w:numPr>
          <w:ilvl w:val="0"/>
          <w:numId w:val="3"/>
        </w:numPr>
        <w:spacing w:line="360" w:lineRule="auto"/>
        <w:jc w:val="both"/>
      </w:pPr>
      <w:r w:rsidRPr="009403FF">
        <w:t>controle de qualidade</w:t>
      </w:r>
      <w:r w:rsidRPr="009403FF">
        <w:rPr>
          <w:lang w:val="en-US"/>
        </w:rPr>
        <w:t>;</w:t>
      </w:r>
    </w:p>
    <w:p w14:paraId="204B9407" w14:textId="77777777" w:rsidR="0096461D" w:rsidRPr="009403FF" w:rsidRDefault="0096461D" w:rsidP="0096461D">
      <w:pPr>
        <w:pStyle w:val="PargrafodaLista"/>
        <w:numPr>
          <w:ilvl w:val="0"/>
          <w:numId w:val="3"/>
        </w:numPr>
        <w:spacing w:line="360" w:lineRule="auto"/>
        <w:jc w:val="both"/>
      </w:pPr>
      <w:r w:rsidRPr="009403FF">
        <w:t>estabilidade</w:t>
      </w:r>
      <w:r w:rsidRPr="009403FF">
        <w:rPr>
          <w:lang w:val="en-US"/>
        </w:rPr>
        <w:t>.</w:t>
      </w:r>
    </w:p>
    <w:p w14:paraId="0E7A95EE" w14:textId="77777777" w:rsidR="0096461D" w:rsidRPr="009403FF" w:rsidRDefault="0096461D" w:rsidP="0096461D">
      <w:pPr>
        <w:spacing w:line="360" w:lineRule="auto"/>
        <w:jc w:val="both"/>
      </w:pPr>
      <w:r w:rsidRPr="009403FF">
        <w:t>ii - desenvolvimento da formulação:</w:t>
      </w:r>
    </w:p>
    <w:p w14:paraId="0FD68695" w14:textId="77777777" w:rsidR="0096461D" w:rsidRPr="009403FF" w:rsidRDefault="0096461D" w:rsidP="0096461D">
      <w:pPr>
        <w:pStyle w:val="PargrafodaLista"/>
        <w:numPr>
          <w:ilvl w:val="0"/>
          <w:numId w:val="4"/>
        </w:numPr>
        <w:spacing w:line="360" w:lineRule="auto"/>
        <w:jc w:val="both"/>
        <w:rPr>
          <w:lang w:val="en-US"/>
        </w:rPr>
      </w:pPr>
      <w:r w:rsidRPr="009403FF">
        <w:t>resumo sobre o desenvolvimento</w:t>
      </w:r>
      <w:r w:rsidRPr="009403FF">
        <w:rPr>
          <w:lang w:val="en-US"/>
        </w:rPr>
        <w:t>;</w:t>
      </w:r>
    </w:p>
    <w:p w14:paraId="33F5C1AB" w14:textId="77777777" w:rsidR="0096461D" w:rsidRPr="009403FF" w:rsidRDefault="0096461D" w:rsidP="0096461D">
      <w:pPr>
        <w:pStyle w:val="PargrafodaLista"/>
        <w:numPr>
          <w:ilvl w:val="0"/>
          <w:numId w:val="4"/>
        </w:numPr>
        <w:spacing w:line="360" w:lineRule="auto"/>
        <w:jc w:val="both"/>
      </w:pPr>
      <w:r w:rsidRPr="009403FF">
        <w:t>informações sobre a compatibilidade do IFA com os excipientes;</w:t>
      </w:r>
    </w:p>
    <w:p w14:paraId="76139828" w14:textId="77777777" w:rsidR="0096461D" w:rsidRPr="009403FF" w:rsidRDefault="0096461D" w:rsidP="0096461D">
      <w:pPr>
        <w:pStyle w:val="PargrafodaLista"/>
        <w:numPr>
          <w:ilvl w:val="0"/>
          <w:numId w:val="4"/>
        </w:numPr>
        <w:spacing w:line="360" w:lineRule="auto"/>
        <w:jc w:val="both"/>
      </w:pPr>
      <w:r w:rsidRPr="009403FF">
        <w:t>documentos com os detalhes de fabricação, caracterização e controles;</w:t>
      </w:r>
    </w:p>
    <w:p w14:paraId="68C12AF8" w14:textId="77777777" w:rsidR="0096461D" w:rsidRPr="009403FF" w:rsidRDefault="0096461D" w:rsidP="0096461D">
      <w:pPr>
        <w:pStyle w:val="PargrafodaLista"/>
        <w:numPr>
          <w:ilvl w:val="0"/>
          <w:numId w:val="4"/>
        </w:numPr>
        <w:spacing w:line="360" w:lineRule="auto"/>
        <w:jc w:val="both"/>
      </w:pPr>
      <w:r w:rsidRPr="009403FF">
        <w:t>dados e discussão sobre a avaliação de eficácia do sistema conservante utilizado;</w:t>
      </w:r>
    </w:p>
    <w:p w14:paraId="559A506C" w14:textId="77777777" w:rsidR="0096461D" w:rsidRPr="009403FF" w:rsidRDefault="0096461D" w:rsidP="0096461D">
      <w:pPr>
        <w:spacing w:line="360" w:lineRule="auto"/>
        <w:jc w:val="both"/>
      </w:pPr>
      <w:r w:rsidRPr="009403FF">
        <w:t>iii – produto terminado:</w:t>
      </w:r>
    </w:p>
    <w:p w14:paraId="1C0C2165" w14:textId="77777777" w:rsidR="0096461D" w:rsidRPr="009403FF" w:rsidRDefault="0096461D" w:rsidP="0096461D">
      <w:pPr>
        <w:pStyle w:val="PargrafodaLista"/>
        <w:numPr>
          <w:ilvl w:val="0"/>
          <w:numId w:val="5"/>
        </w:numPr>
        <w:spacing w:line="360" w:lineRule="auto"/>
        <w:jc w:val="both"/>
      </w:pPr>
      <w:r w:rsidRPr="009403FF">
        <w:t>descrição detalhada sobre a fórmula completa;</w:t>
      </w:r>
    </w:p>
    <w:p w14:paraId="1869D139" w14:textId="77777777" w:rsidR="0096461D" w:rsidRPr="009403FF" w:rsidRDefault="0096461D" w:rsidP="0096461D">
      <w:pPr>
        <w:pStyle w:val="PargrafodaLista"/>
        <w:numPr>
          <w:ilvl w:val="0"/>
          <w:numId w:val="5"/>
        </w:numPr>
        <w:spacing w:line="360" w:lineRule="auto"/>
        <w:jc w:val="both"/>
      </w:pPr>
      <w:r w:rsidRPr="009403FF">
        <w:t>informação sobre a quantidade de cada componente da fórmula e suas respectivas funções;</w:t>
      </w:r>
    </w:p>
    <w:p w14:paraId="2E8C2DA8" w14:textId="77777777" w:rsidR="0096461D" w:rsidRPr="009403FF" w:rsidRDefault="0096461D" w:rsidP="0096461D">
      <w:pPr>
        <w:pStyle w:val="PargrafodaLista"/>
        <w:numPr>
          <w:ilvl w:val="0"/>
          <w:numId w:val="5"/>
        </w:numPr>
        <w:spacing w:line="360" w:lineRule="auto"/>
        <w:jc w:val="both"/>
      </w:pPr>
      <w:r w:rsidRPr="009403FF">
        <w:t>descrição detalhada sobre a proporção qualitativa e quantitativa dos produtos intermediários utilizados na fórmula do produto terminado;</w:t>
      </w:r>
    </w:p>
    <w:p w14:paraId="52C0577A" w14:textId="77777777" w:rsidR="0096461D" w:rsidRPr="009403FF" w:rsidRDefault="0096461D" w:rsidP="0096461D">
      <w:pPr>
        <w:pStyle w:val="PargrafodaLista"/>
        <w:numPr>
          <w:ilvl w:val="0"/>
          <w:numId w:val="5"/>
        </w:numPr>
        <w:spacing w:line="360" w:lineRule="auto"/>
        <w:jc w:val="both"/>
      </w:pPr>
      <w:r w:rsidRPr="009403FF">
        <w:t>justificativa quanto à presença de sulco no comprimido com os devidos testes.</w:t>
      </w:r>
    </w:p>
    <w:p w14:paraId="37E8CE2B" w14:textId="77777777" w:rsidR="0096461D" w:rsidRPr="009403FF" w:rsidRDefault="0096461D" w:rsidP="0096461D">
      <w:pPr>
        <w:spacing w:line="360" w:lineRule="auto"/>
        <w:jc w:val="both"/>
      </w:pPr>
      <w:r w:rsidRPr="009403FF">
        <w:t>iv – produção do produto terminado:</w:t>
      </w:r>
    </w:p>
    <w:p w14:paraId="793A2235" w14:textId="77777777" w:rsidR="0096461D" w:rsidRPr="009403FF" w:rsidRDefault="0096461D" w:rsidP="0096461D">
      <w:pPr>
        <w:pStyle w:val="PargrafodaLista"/>
        <w:numPr>
          <w:ilvl w:val="0"/>
          <w:numId w:val="6"/>
        </w:numPr>
        <w:spacing w:line="360" w:lineRule="auto"/>
        <w:jc w:val="both"/>
      </w:pPr>
      <w:r w:rsidRPr="009403FF">
        <w:t>dossiê de produção referente a 1 (um) lote;</w:t>
      </w:r>
    </w:p>
    <w:p w14:paraId="463F3C3F" w14:textId="77777777" w:rsidR="0096461D" w:rsidRPr="009403FF" w:rsidRDefault="0096461D" w:rsidP="0096461D">
      <w:pPr>
        <w:pStyle w:val="PargrafodaLista"/>
        <w:numPr>
          <w:ilvl w:val="0"/>
          <w:numId w:val="6"/>
        </w:numPr>
        <w:spacing w:line="360" w:lineRule="auto"/>
        <w:jc w:val="both"/>
      </w:pPr>
      <w:r w:rsidRPr="009403FF">
        <w:t>nome e responsabilidade de cada fabricante;</w:t>
      </w:r>
    </w:p>
    <w:p w14:paraId="02F7136F" w14:textId="77777777" w:rsidR="0096461D" w:rsidRPr="009403FF" w:rsidRDefault="0096461D" w:rsidP="0096461D">
      <w:pPr>
        <w:pStyle w:val="PargrafodaLista"/>
        <w:numPr>
          <w:ilvl w:val="0"/>
          <w:numId w:val="6"/>
        </w:numPr>
        <w:spacing w:line="360" w:lineRule="auto"/>
        <w:jc w:val="both"/>
      </w:pPr>
      <w:r w:rsidRPr="009403FF">
        <w:t>fluxograma com as etapas do processo de fabricação;</w:t>
      </w:r>
    </w:p>
    <w:p w14:paraId="5BB134EE" w14:textId="77777777" w:rsidR="0096461D" w:rsidRPr="009403FF" w:rsidRDefault="0096461D" w:rsidP="0096461D">
      <w:pPr>
        <w:pStyle w:val="PargrafodaLista"/>
        <w:numPr>
          <w:ilvl w:val="0"/>
          <w:numId w:val="6"/>
        </w:numPr>
        <w:spacing w:line="360" w:lineRule="auto"/>
        <w:jc w:val="both"/>
      </w:pPr>
      <w:r w:rsidRPr="009403FF">
        <w:t>informação sobre tamanhos de lotes do produto terminado;</w:t>
      </w:r>
    </w:p>
    <w:p w14:paraId="384883BA" w14:textId="77777777" w:rsidR="0096461D" w:rsidRPr="009403FF" w:rsidRDefault="0096461D" w:rsidP="0096461D">
      <w:pPr>
        <w:pStyle w:val="PargrafodaLista"/>
        <w:numPr>
          <w:ilvl w:val="0"/>
          <w:numId w:val="6"/>
        </w:numPr>
        <w:spacing w:line="360" w:lineRule="auto"/>
        <w:jc w:val="both"/>
      </w:pPr>
      <w:r w:rsidRPr="009403FF">
        <w:t>lista dos equipamentos envolvidos na produção;</w:t>
      </w:r>
    </w:p>
    <w:p w14:paraId="50F24B50" w14:textId="77777777" w:rsidR="0096461D" w:rsidRPr="009403FF" w:rsidRDefault="0096461D" w:rsidP="0096461D">
      <w:pPr>
        <w:pStyle w:val="PargrafodaLista"/>
        <w:numPr>
          <w:ilvl w:val="0"/>
          <w:numId w:val="6"/>
        </w:numPr>
        <w:spacing w:line="360" w:lineRule="auto"/>
        <w:jc w:val="both"/>
      </w:pPr>
      <w:r w:rsidRPr="009403FF">
        <w:t>controle das etapas críticas;</w:t>
      </w:r>
    </w:p>
    <w:p w14:paraId="7A40269B" w14:textId="77777777" w:rsidR="0096461D" w:rsidRPr="009403FF" w:rsidRDefault="0096461D" w:rsidP="0096461D">
      <w:pPr>
        <w:pStyle w:val="PargrafodaLista"/>
        <w:numPr>
          <w:ilvl w:val="0"/>
          <w:numId w:val="6"/>
        </w:numPr>
        <w:spacing w:line="360" w:lineRule="auto"/>
        <w:jc w:val="both"/>
      </w:pPr>
      <w:r w:rsidRPr="009403FF">
        <w:t>relatório sumário da validação do processo de fabricação.</w:t>
      </w:r>
    </w:p>
    <w:p w14:paraId="0A1613C1" w14:textId="77777777" w:rsidR="0096461D" w:rsidRPr="009403FF" w:rsidRDefault="0096461D" w:rsidP="0096461D">
      <w:pPr>
        <w:spacing w:line="360" w:lineRule="auto"/>
        <w:jc w:val="both"/>
      </w:pPr>
      <w:r w:rsidRPr="009403FF">
        <w:t>v - controle de qualidade das matérias-primas:</w:t>
      </w:r>
    </w:p>
    <w:p w14:paraId="0C0087F1" w14:textId="77777777" w:rsidR="0096461D" w:rsidRPr="009403FF" w:rsidRDefault="0096461D" w:rsidP="0096461D">
      <w:pPr>
        <w:pStyle w:val="PargrafodaLista"/>
        <w:numPr>
          <w:ilvl w:val="0"/>
          <w:numId w:val="7"/>
        </w:numPr>
        <w:spacing w:line="360" w:lineRule="auto"/>
        <w:jc w:val="both"/>
      </w:pPr>
      <w:r w:rsidRPr="009403FF">
        <w:t>especificações, métodos analíticos e laudo analítico para os excipientes;</w:t>
      </w:r>
    </w:p>
    <w:p w14:paraId="0B6BDE34" w14:textId="77777777" w:rsidR="0096461D" w:rsidRPr="009403FF" w:rsidRDefault="0096461D" w:rsidP="0096461D">
      <w:pPr>
        <w:pStyle w:val="PargrafodaLista"/>
        <w:numPr>
          <w:ilvl w:val="0"/>
          <w:numId w:val="7"/>
        </w:numPr>
        <w:spacing w:line="360" w:lineRule="auto"/>
        <w:jc w:val="both"/>
      </w:pPr>
      <w:r w:rsidRPr="009403FF">
        <w:t>informações adicionais para os excipientes de origem animal;</w:t>
      </w:r>
    </w:p>
    <w:p w14:paraId="44382677" w14:textId="77777777" w:rsidR="0096461D" w:rsidRPr="009403FF" w:rsidRDefault="0096461D" w:rsidP="0096461D">
      <w:pPr>
        <w:pStyle w:val="PargrafodaLista"/>
        <w:numPr>
          <w:ilvl w:val="0"/>
          <w:numId w:val="7"/>
        </w:numPr>
        <w:spacing w:line="360" w:lineRule="auto"/>
        <w:jc w:val="both"/>
      </w:pPr>
      <w:r w:rsidRPr="009403FF">
        <w:t>especificações, métodos analíticos e laudo analítico para o insumo farmacêutico ativo;</w:t>
      </w:r>
    </w:p>
    <w:p w14:paraId="39287833" w14:textId="77777777" w:rsidR="0096461D" w:rsidRPr="009403FF" w:rsidRDefault="0096461D" w:rsidP="0096461D">
      <w:pPr>
        <w:spacing w:line="360" w:lineRule="auto"/>
        <w:jc w:val="both"/>
      </w:pPr>
      <w:r w:rsidRPr="009403FF">
        <w:t>vi – controle de qualidade do produto terminado:</w:t>
      </w:r>
    </w:p>
    <w:p w14:paraId="6098159E" w14:textId="77777777" w:rsidR="0096461D" w:rsidRPr="009403FF" w:rsidRDefault="0096461D" w:rsidP="0096461D">
      <w:pPr>
        <w:pStyle w:val="PargrafodaLista"/>
        <w:numPr>
          <w:ilvl w:val="0"/>
          <w:numId w:val="8"/>
        </w:numPr>
        <w:spacing w:line="360" w:lineRule="auto"/>
        <w:jc w:val="both"/>
      </w:pPr>
      <w:r w:rsidRPr="009403FF">
        <w:t>especificações, métodos analíticos e laudo de análise;</w:t>
      </w:r>
    </w:p>
    <w:p w14:paraId="4582271D" w14:textId="77777777" w:rsidR="0096461D" w:rsidRPr="009403FF" w:rsidRDefault="0096461D" w:rsidP="0096461D">
      <w:pPr>
        <w:pStyle w:val="PargrafodaLista"/>
        <w:numPr>
          <w:ilvl w:val="0"/>
          <w:numId w:val="8"/>
        </w:numPr>
        <w:spacing w:line="360" w:lineRule="auto"/>
        <w:jc w:val="both"/>
      </w:pPr>
      <w:r w:rsidRPr="009403FF">
        <w:t>gráfico do perfil de dissolução, quando aplicável.</w:t>
      </w:r>
    </w:p>
    <w:p w14:paraId="2D235FC6" w14:textId="77777777" w:rsidR="0096461D" w:rsidRPr="009403FF" w:rsidRDefault="0096461D" w:rsidP="0096461D">
      <w:pPr>
        <w:spacing w:line="360" w:lineRule="auto"/>
        <w:jc w:val="both"/>
      </w:pPr>
      <w:r w:rsidRPr="009403FF">
        <w:t>vii – a embalagem primária e a secundária funcional:</w:t>
      </w:r>
    </w:p>
    <w:p w14:paraId="411DF969" w14:textId="77777777" w:rsidR="0096461D" w:rsidRPr="009403FF" w:rsidRDefault="0096461D" w:rsidP="0096461D">
      <w:pPr>
        <w:pStyle w:val="PargrafodaLista"/>
        <w:numPr>
          <w:ilvl w:val="0"/>
          <w:numId w:val="9"/>
        </w:numPr>
        <w:spacing w:line="360" w:lineRule="auto"/>
        <w:jc w:val="both"/>
      </w:pPr>
      <w:r w:rsidRPr="009403FF">
        <w:t>descrição do material de embalagem;</w:t>
      </w:r>
    </w:p>
    <w:p w14:paraId="35F5F9C0" w14:textId="77777777" w:rsidR="0096461D" w:rsidRPr="009403FF" w:rsidRDefault="0096461D" w:rsidP="0096461D">
      <w:pPr>
        <w:pStyle w:val="PargrafodaLista"/>
        <w:numPr>
          <w:ilvl w:val="0"/>
          <w:numId w:val="9"/>
        </w:numPr>
        <w:spacing w:line="360" w:lineRule="auto"/>
        <w:jc w:val="both"/>
      </w:pPr>
      <w:r w:rsidRPr="009403FF">
        <w:t>relatório com especificações;</w:t>
      </w:r>
    </w:p>
    <w:p w14:paraId="387B14F7" w14:textId="77777777" w:rsidR="0096461D" w:rsidRPr="009403FF" w:rsidRDefault="0096461D" w:rsidP="0096461D">
      <w:pPr>
        <w:spacing w:line="360" w:lineRule="auto"/>
        <w:jc w:val="both"/>
      </w:pPr>
      <w:r w:rsidRPr="009403FF">
        <w:t>viii – estudos de estabilidade do produto terminado:</w:t>
      </w:r>
    </w:p>
    <w:p w14:paraId="64E015E1" w14:textId="77777777" w:rsidR="0096461D" w:rsidRPr="009403FF" w:rsidRDefault="0096461D" w:rsidP="0096461D">
      <w:pPr>
        <w:pStyle w:val="PargrafodaLista"/>
        <w:numPr>
          <w:ilvl w:val="0"/>
          <w:numId w:val="10"/>
        </w:numPr>
        <w:spacing w:line="360" w:lineRule="auto"/>
        <w:jc w:val="both"/>
      </w:pPr>
      <w:r w:rsidRPr="009403FF">
        <w:t>relatório com os resultados dos estudos de estabilidade acelerada e de longa duração conduzidos com 3 (três) lotes;</w:t>
      </w:r>
    </w:p>
    <w:p w14:paraId="03B443E4" w14:textId="77777777" w:rsidR="0096461D" w:rsidRPr="009403FF" w:rsidRDefault="0096461D" w:rsidP="0096461D">
      <w:pPr>
        <w:pStyle w:val="PargrafodaLista"/>
        <w:numPr>
          <w:ilvl w:val="0"/>
          <w:numId w:val="10"/>
        </w:numPr>
        <w:spacing w:line="360" w:lineRule="auto"/>
        <w:jc w:val="both"/>
      </w:pPr>
      <w:r w:rsidRPr="009403FF">
        <w:t>resultados de estudos de estabilidade para medicamentos que, após abertos ou preparados, possam sofrer alteração no seu prazo de validade original ou cuidado de conservação original;</w:t>
      </w:r>
    </w:p>
    <w:p w14:paraId="359D2B90" w14:textId="77777777" w:rsidR="0096461D" w:rsidRPr="009403FF" w:rsidRDefault="0096461D" w:rsidP="0096461D">
      <w:pPr>
        <w:pStyle w:val="PargrafodaLista"/>
        <w:numPr>
          <w:ilvl w:val="0"/>
          <w:numId w:val="10"/>
        </w:numPr>
        <w:spacing w:line="360" w:lineRule="auto"/>
        <w:jc w:val="both"/>
      </w:pPr>
      <w:r w:rsidRPr="009403FF">
        <w:t>resultados do estudo de fotoestabilidade ou justificativa técnica para a isenção do estudo;</w:t>
      </w:r>
    </w:p>
    <w:p w14:paraId="699D13D1" w14:textId="77777777" w:rsidR="0096461D" w:rsidRPr="009403FF" w:rsidRDefault="0096461D" w:rsidP="0096461D">
      <w:pPr>
        <w:spacing w:line="360" w:lineRule="auto"/>
        <w:jc w:val="both"/>
      </w:pPr>
      <w:r w:rsidRPr="009403FF">
        <w:t>ix - relatório de segurança e eficácia, contendo:</w:t>
      </w:r>
    </w:p>
    <w:p w14:paraId="4A0E3754" w14:textId="77777777" w:rsidR="0096461D" w:rsidRPr="009403FF" w:rsidRDefault="0096461D" w:rsidP="0096461D">
      <w:pPr>
        <w:pStyle w:val="PargrafodaLista"/>
        <w:numPr>
          <w:ilvl w:val="0"/>
          <w:numId w:val="11"/>
        </w:numPr>
        <w:spacing w:line="360" w:lineRule="auto"/>
        <w:jc w:val="both"/>
      </w:pPr>
      <w:r w:rsidRPr="009403FF">
        <w:t>relatório de ensaios não-clínicos;</w:t>
      </w:r>
    </w:p>
    <w:p w14:paraId="1E6D7BC4" w14:textId="77777777" w:rsidR="0096461D" w:rsidRPr="009403FF" w:rsidRDefault="0096461D" w:rsidP="0096461D">
      <w:pPr>
        <w:pStyle w:val="PargrafodaLista"/>
        <w:numPr>
          <w:ilvl w:val="0"/>
          <w:numId w:val="11"/>
        </w:numPr>
        <w:spacing w:line="360" w:lineRule="auto"/>
        <w:jc w:val="both"/>
      </w:pPr>
      <w:r w:rsidRPr="009403FF">
        <w:t>relatório de ensaios clínicos fase I, II e III.</w:t>
      </w:r>
    </w:p>
    <w:p w14:paraId="6931D768" w14:textId="77777777" w:rsidR="0096461D" w:rsidRPr="009403FF" w:rsidRDefault="0096461D" w:rsidP="0096461D">
      <w:pPr>
        <w:spacing w:line="360" w:lineRule="auto"/>
        <w:jc w:val="both"/>
      </w:pPr>
      <w:r w:rsidRPr="009403FF">
        <w:t>x - plano de Farmacovigilância.</w:t>
      </w:r>
    </w:p>
    <w:p w14:paraId="38219C61" w14:textId="77777777" w:rsidR="0096461D" w:rsidRPr="009403FF" w:rsidRDefault="0096461D" w:rsidP="0096461D">
      <w:pPr>
        <w:jc w:val="both"/>
      </w:pPr>
    </w:p>
    <w:p w14:paraId="5427F8B5" w14:textId="2AB7EE8A" w:rsidR="004F3C79" w:rsidRPr="00F2053B" w:rsidRDefault="0096461D" w:rsidP="0096461D">
      <w:pPr>
        <w:jc w:val="both"/>
        <w:rPr>
          <w:b/>
          <w:bCs/>
        </w:rPr>
      </w:pPr>
      <w:r w:rsidRPr="009403FF">
        <w:rPr>
          <w:b/>
          <w:bCs/>
        </w:rPr>
        <w:t>Referências</w:t>
      </w:r>
    </w:p>
    <w:p w14:paraId="7AA17D22" w14:textId="5438E8FD" w:rsidR="004F3C79" w:rsidRPr="009403FF" w:rsidRDefault="004F3C79" w:rsidP="004F3C79">
      <w:pPr>
        <w:spacing w:before="100" w:beforeAutospacing="1" w:after="100" w:afterAutospacing="1"/>
        <w:jc w:val="both"/>
      </w:pPr>
      <w:r>
        <w:rPr>
          <w:lang w:val="en-US"/>
        </w:rPr>
        <w:t>ANVISA</w:t>
      </w:r>
      <w:r w:rsidRPr="009403FF">
        <w:t xml:space="preserve">. </w:t>
      </w:r>
      <w:r w:rsidRPr="009403FF">
        <w:rPr>
          <w:b/>
          <w:bCs/>
        </w:rPr>
        <w:t>Política Vigente para a Regulamentação de Medicamentos no Brasil.</w:t>
      </w:r>
      <w:r w:rsidRPr="004F3C79">
        <w:rPr>
          <w:b/>
          <w:bCs/>
          <w:lang w:val="pt-BR"/>
        </w:rPr>
        <w:t xml:space="preserve"> </w:t>
      </w:r>
      <w:r w:rsidRPr="009403FF">
        <w:t>Brasília, DF: Ministério da Saúde, 2004.</w:t>
      </w:r>
    </w:p>
    <w:p w14:paraId="204A6E13" w14:textId="65340CA1" w:rsidR="004F3C79" w:rsidRPr="009403FF" w:rsidRDefault="004F3C79" w:rsidP="004F3C79">
      <w:pPr>
        <w:spacing w:before="100" w:beforeAutospacing="1" w:after="100" w:afterAutospacing="1"/>
        <w:jc w:val="both"/>
      </w:pPr>
      <w:r>
        <w:rPr>
          <w:lang w:val="en-US"/>
        </w:rPr>
        <w:t>ANVISA</w:t>
      </w:r>
      <w:r w:rsidRPr="009403FF">
        <w:t xml:space="preserve">. </w:t>
      </w:r>
      <w:r w:rsidRPr="00C83D05">
        <w:rPr>
          <w:b/>
          <w:bCs/>
        </w:rPr>
        <w:t>Resolução RDC Nº 200, de 26 de dezembro de 2017.</w:t>
      </w:r>
      <w:r w:rsidRPr="009403FF">
        <w:t xml:space="preserve"> Dispõe sobre os critérios para a concessão e renovação do registro de medicamentos com princípios ativos sintéticos e semissintéticos, classificados como novos, genéricos e similares, e dá outras providências. Diário Oficial União. 28 dez 2017.</w:t>
      </w:r>
    </w:p>
    <w:p w14:paraId="626D97F5" w14:textId="426D6F88" w:rsidR="004F3C79" w:rsidRPr="009403FF" w:rsidRDefault="004F3C79" w:rsidP="004F3C79">
      <w:pPr>
        <w:spacing w:before="100" w:beforeAutospacing="1" w:after="100" w:afterAutospacing="1"/>
        <w:jc w:val="both"/>
      </w:pPr>
      <w:r w:rsidRPr="004F3C79">
        <w:rPr>
          <w:lang w:val="pt-BR"/>
        </w:rPr>
        <w:t>ANVISA.</w:t>
      </w:r>
      <w:r>
        <w:t xml:space="preserve"> </w:t>
      </w:r>
      <w:r w:rsidRPr="0041747F">
        <w:rPr>
          <w:b/>
          <w:bCs/>
        </w:rPr>
        <w:t xml:space="preserve">Resolução RDC Nº 60, de 10 de outubro de 2014. </w:t>
      </w:r>
      <w:r w:rsidRPr="009403FF">
        <w:t>Dispõe sobre os critérios para a concessão e renovação do registro de medicamentos com princípios ativos sintéticos e semissintéticos, classificados como novos, genéricos e similares, e dá outras providências. Diário Oficial União. 13 out 2014.</w:t>
      </w:r>
    </w:p>
    <w:p w14:paraId="216B6FAB" w14:textId="59C4B4E2" w:rsidR="004F3C79" w:rsidRPr="009403FF" w:rsidRDefault="004F3C79" w:rsidP="004F3C79">
      <w:pPr>
        <w:spacing w:before="100" w:beforeAutospacing="1" w:after="100" w:afterAutospacing="1"/>
        <w:jc w:val="both"/>
      </w:pPr>
      <w:r>
        <w:rPr>
          <w:lang w:val="en-US"/>
        </w:rPr>
        <w:t>ANVISA</w:t>
      </w:r>
      <w:r w:rsidRPr="009403FF">
        <w:t>.</w:t>
      </w:r>
      <w:r w:rsidRPr="004F3C79">
        <w:rPr>
          <w:lang w:val="pt-BR"/>
        </w:rPr>
        <w:t xml:space="preserve"> </w:t>
      </w:r>
      <w:r w:rsidRPr="009403FF">
        <w:rPr>
          <w:b/>
          <w:bCs/>
        </w:rPr>
        <w:t>Resolução da Diretoria Colegiada n</w:t>
      </w:r>
      <w:r w:rsidRPr="009403FF">
        <w:rPr>
          <w:b/>
          <w:bCs/>
          <w:vertAlign w:val="superscript"/>
        </w:rPr>
        <w:t>o</w:t>
      </w:r>
      <w:r w:rsidRPr="009403FF">
        <w:rPr>
          <w:b/>
          <w:bCs/>
        </w:rPr>
        <w:t xml:space="preserve"> 20, de 10 de abril de 2013. </w:t>
      </w:r>
      <w:r w:rsidRPr="009403FF">
        <w:t>Dispõe sobre o processo eletrônico de registro de medicamentos novos. Brasília, DF: Ministério da Saúde, 2013.</w:t>
      </w:r>
    </w:p>
    <w:p w14:paraId="31A7A88C" w14:textId="77777777" w:rsidR="004F3C79" w:rsidRDefault="004F3C79" w:rsidP="004F3C79">
      <w:pPr>
        <w:spacing w:before="100" w:beforeAutospacing="1" w:after="100" w:afterAutospacing="1"/>
        <w:jc w:val="both"/>
        <w:rPr>
          <w:lang w:val="pt-BR"/>
        </w:rPr>
      </w:pPr>
      <w:r w:rsidRPr="007404A2">
        <w:rPr>
          <w:lang w:val="pt-BR"/>
        </w:rPr>
        <w:t>ANVISA.</w:t>
      </w:r>
      <w:r>
        <w:rPr>
          <w:lang w:val="pt-BR"/>
        </w:rPr>
        <w:t xml:space="preserve"> 2022a.</w:t>
      </w:r>
      <w:r w:rsidRPr="007404A2">
        <w:rPr>
          <w:lang w:val="pt-BR"/>
        </w:rPr>
        <w:t xml:space="preserve"> Disponível em: </w:t>
      </w:r>
      <w:hyperlink r:id="rId36" w:history="1">
        <w:r w:rsidRPr="00620015">
          <w:rPr>
            <w:rStyle w:val="Hyperlink"/>
            <w:lang w:val="pt-BR"/>
          </w:rPr>
          <w:t>https://www.gov.br/anvisa/pt-br/assuntos/noticias-anvisa/2018/medicamentos-inovadores-sao-prioridade-para-registro</w:t>
        </w:r>
      </w:hyperlink>
    </w:p>
    <w:p w14:paraId="07F9C9E5" w14:textId="77777777" w:rsidR="004F3C79" w:rsidRDefault="004F3C79" w:rsidP="004F3C79">
      <w:pPr>
        <w:spacing w:before="100" w:beforeAutospacing="1" w:after="100" w:afterAutospacing="1"/>
        <w:jc w:val="both"/>
        <w:rPr>
          <w:lang w:val="pt-BR"/>
        </w:rPr>
      </w:pPr>
      <w:r>
        <w:rPr>
          <w:lang w:val="pt-BR"/>
        </w:rPr>
        <w:t xml:space="preserve">ANVISA. 2022b. Disponível em: </w:t>
      </w:r>
      <w:hyperlink r:id="rId37" w:history="1">
        <w:r w:rsidRPr="00620015">
          <w:rPr>
            <w:rStyle w:val="Hyperlink"/>
            <w:lang w:val="pt-BR"/>
          </w:rPr>
          <w:t>https://www.gov.br/anvisa/pt-br/assuntos/noticias-anvisa/2018/anvisa-tem-registro-recorde-de-medicamentos</w:t>
        </w:r>
      </w:hyperlink>
      <w:r>
        <w:rPr>
          <w:lang w:val="pt-BR"/>
        </w:rPr>
        <w:t xml:space="preserve"> </w:t>
      </w:r>
    </w:p>
    <w:p w14:paraId="14C3112A" w14:textId="233633DE" w:rsidR="004F3C79" w:rsidRDefault="004F3C79" w:rsidP="004F3C79">
      <w:pPr>
        <w:spacing w:before="100" w:beforeAutospacing="1" w:after="100" w:afterAutospacing="1"/>
        <w:jc w:val="both"/>
        <w:rPr>
          <w:color w:val="222222"/>
          <w:shd w:val="clear" w:color="auto" w:fill="FFFFFF"/>
        </w:rPr>
      </w:pPr>
      <w:r w:rsidRPr="00C744FD">
        <w:rPr>
          <w:color w:val="222222"/>
          <w:shd w:val="clear" w:color="auto" w:fill="FFFFFF"/>
        </w:rPr>
        <w:t>BOTELHO, S</w:t>
      </w:r>
      <w:r w:rsidRPr="004F3C79">
        <w:rPr>
          <w:color w:val="222222"/>
          <w:shd w:val="clear" w:color="auto" w:fill="FFFFFF"/>
          <w:lang w:val="pt-BR"/>
        </w:rPr>
        <w:t>.</w:t>
      </w:r>
      <w:r w:rsidRPr="00C744FD">
        <w:rPr>
          <w:color w:val="222222"/>
          <w:shd w:val="clear" w:color="auto" w:fill="FFFFFF"/>
        </w:rPr>
        <w:t xml:space="preserve"> F</w:t>
      </w:r>
      <w:r w:rsidRPr="004F3C79">
        <w:rPr>
          <w:color w:val="222222"/>
          <w:shd w:val="clear" w:color="auto" w:fill="FFFFFF"/>
          <w:lang w:val="pt-BR"/>
        </w:rPr>
        <w:t>.</w:t>
      </w:r>
      <w:r w:rsidRPr="00C744FD">
        <w:rPr>
          <w:color w:val="222222"/>
          <w:shd w:val="clear" w:color="auto" w:fill="FFFFFF"/>
        </w:rPr>
        <w:t>; MARTINS, M</w:t>
      </w:r>
      <w:r w:rsidRPr="004F3C79">
        <w:rPr>
          <w:color w:val="222222"/>
          <w:shd w:val="clear" w:color="auto" w:fill="FFFFFF"/>
          <w:lang w:val="pt-BR"/>
        </w:rPr>
        <w:t xml:space="preserve">. </w:t>
      </w:r>
      <w:r w:rsidRPr="00C744FD">
        <w:rPr>
          <w:color w:val="222222"/>
          <w:shd w:val="clear" w:color="auto" w:fill="FFFFFF"/>
        </w:rPr>
        <w:t>A</w:t>
      </w:r>
      <w:r w:rsidRPr="004F3C79">
        <w:rPr>
          <w:color w:val="222222"/>
          <w:shd w:val="clear" w:color="auto" w:fill="FFFFFF"/>
          <w:lang w:val="pt-BR"/>
        </w:rPr>
        <w:t>.</w:t>
      </w:r>
      <w:r w:rsidRPr="00C744FD">
        <w:rPr>
          <w:color w:val="222222"/>
          <w:shd w:val="clear" w:color="auto" w:fill="FFFFFF"/>
        </w:rPr>
        <w:t xml:space="preserve"> P</w:t>
      </w:r>
      <w:r w:rsidRPr="004F3C79">
        <w:rPr>
          <w:color w:val="222222"/>
          <w:shd w:val="clear" w:color="auto" w:fill="FFFFFF"/>
          <w:lang w:val="pt-BR"/>
        </w:rPr>
        <w:t>.</w:t>
      </w:r>
      <w:r w:rsidRPr="00C744FD">
        <w:rPr>
          <w:color w:val="222222"/>
          <w:shd w:val="clear" w:color="auto" w:fill="FFFFFF"/>
        </w:rPr>
        <w:t>; REIS, A</w:t>
      </w:r>
      <w:r w:rsidRPr="004F3C79">
        <w:rPr>
          <w:color w:val="222222"/>
          <w:shd w:val="clear" w:color="auto" w:fill="FFFFFF"/>
          <w:lang w:val="pt-BR"/>
        </w:rPr>
        <w:t>.</w:t>
      </w:r>
      <w:r w:rsidRPr="00C744FD">
        <w:rPr>
          <w:color w:val="222222"/>
          <w:shd w:val="clear" w:color="auto" w:fill="FFFFFF"/>
        </w:rPr>
        <w:t xml:space="preserve"> M</w:t>
      </w:r>
      <w:r w:rsidRPr="004F3C79">
        <w:rPr>
          <w:color w:val="222222"/>
          <w:shd w:val="clear" w:color="auto" w:fill="FFFFFF"/>
          <w:lang w:val="pt-BR"/>
        </w:rPr>
        <w:t>.</w:t>
      </w:r>
      <w:r w:rsidRPr="00C744FD">
        <w:rPr>
          <w:color w:val="222222"/>
          <w:shd w:val="clear" w:color="auto" w:fill="FFFFFF"/>
        </w:rPr>
        <w:t xml:space="preserve"> M</w:t>
      </w:r>
      <w:r w:rsidRPr="004F3C79">
        <w:rPr>
          <w:color w:val="222222"/>
          <w:shd w:val="clear" w:color="auto" w:fill="FFFFFF"/>
          <w:lang w:val="pt-BR"/>
        </w:rPr>
        <w:t>.</w:t>
      </w:r>
      <w:r w:rsidRPr="00C744FD">
        <w:rPr>
          <w:color w:val="222222"/>
          <w:shd w:val="clear" w:color="auto" w:fill="FFFFFF"/>
        </w:rPr>
        <w:t>. Análise de medicamentos novos registrados no Brasil na perspectiva do Sistema Único de Saúde e da carga de doença. </w:t>
      </w:r>
      <w:r w:rsidRPr="00C744FD">
        <w:rPr>
          <w:b/>
          <w:bCs/>
          <w:color w:val="222222"/>
          <w:shd w:val="clear" w:color="auto" w:fill="FFFFFF"/>
        </w:rPr>
        <w:t>Ciência &amp; Saúde Coletiva</w:t>
      </w:r>
      <w:r w:rsidRPr="00C744FD">
        <w:rPr>
          <w:color w:val="222222"/>
          <w:shd w:val="clear" w:color="auto" w:fill="FFFFFF"/>
        </w:rPr>
        <w:t>, v. 23, p. 215-228, 2018.</w:t>
      </w:r>
    </w:p>
    <w:p w14:paraId="1A7629DD" w14:textId="77777777" w:rsidR="004F3C79" w:rsidRPr="009403FF" w:rsidRDefault="004F3C79" w:rsidP="004F3C79">
      <w:pPr>
        <w:spacing w:before="100" w:beforeAutospacing="1" w:after="100" w:afterAutospacing="1"/>
        <w:jc w:val="both"/>
      </w:pPr>
      <w:r>
        <w:t xml:space="preserve">BRASIL. </w:t>
      </w:r>
      <w:r w:rsidRPr="0041747F">
        <w:rPr>
          <w:b/>
          <w:bCs/>
        </w:rPr>
        <w:t>Lei Federal nº 6.360 de 23 de setembro de 1976.</w:t>
      </w:r>
      <w:r>
        <w:t xml:space="preserve"> </w:t>
      </w:r>
      <w:r w:rsidRPr="009403FF">
        <w:t>Regula a produção, comercialização, publicidade, rotulagem, inspeção, controle de qualidade, penalidades, importação e aprovação de comercialização de medicamentos, drogas, princípios ativos e dispositivos médicos. É regulamentado pelo Decreto nº 8.077 de 2013.</w:t>
      </w:r>
    </w:p>
    <w:p w14:paraId="4230C034" w14:textId="77777777" w:rsidR="004F3C79" w:rsidRPr="00C83D05" w:rsidRDefault="004F3C79" w:rsidP="004F3C79">
      <w:pPr>
        <w:spacing w:before="100" w:beforeAutospacing="1" w:after="100" w:afterAutospacing="1"/>
        <w:jc w:val="both"/>
      </w:pPr>
      <w:r w:rsidRPr="009403FF">
        <w:t xml:space="preserve">BRASIL. </w:t>
      </w:r>
      <w:r w:rsidRPr="009403FF">
        <w:rPr>
          <w:b/>
          <w:bCs/>
        </w:rPr>
        <w:t>Lei n° 9.782, de 26 de janeiro de 1999</w:t>
      </w:r>
      <w:r w:rsidRPr="009403FF">
        <w:t>. Define o Sistema Nacional de Vigilância Sanitária, cria a Agência Nacional de Vigilância Sanitária, e dá outras providências. Brasília, DF: Congresso Nacional, 1999.</w:t>
      </w:r>
    </w:p>
    <w:p w14:paraId="634A5837" w14:textId="77777777" w:rsidR="004F3C79" w:rsidRPr="009403FF" w:rsidRDefault="004F3C79" w:rsidP="004F3C79">
      <w:pPr>
        <w:spacing w:before="100" w:beforeAutospacing="1" w:after="100" w:afterAutospacing="1"/>
        <w:jc w:val="both"/>
      </w:pPr>
      <w:r>
        <w:t xml:space="preserve">BRASIL. </w:t>
      </w:r>
      <w:r w:rsidRPr="0041747F">
        <w:rPr>
          <w:b/>
          <w:bCs/>
        </w:rPr>
        <w:t xml:space="preserve">Lei nº 5.991, de 17 de dezembro de 1973, alterada pela Lei nº 13.097, de 19 de janeiro de 2015. </w:t>
      </w:r>
      <w:r>
        <w:t>E</w:t>
      </w:r>
      <w:r w:rsidRPr="009403FF">
        <w:t>stabelece o controle sanitário do comércio de drogas, medicamentos, insumos farmacêuticos e dispositivos médicos.</w:t>
      </w:r>
    </w:p>
    <w:p w14:paraId="36272134" w14:textId="77777777" w:rsidR="004F3C79" w:rsidRPr="009403FF" w:rsidRDefault="004F3C79" w:rsidP="004F3C79">
      <w:pPr>
        <w:spacing w:before="100" w:beforeAutospacing="1" w:after="100" w:afterAutospacing="1"/>
        <w:jc w:val="both"/>
      </w:pPr>
      <w:r>
        <w:t xml:space="preserve">BRASIL. </w:t>
      </w:r>
      <w:r w:rsidRPr="0041747F">
        <w:rPr>
          <w:b/>
          <w:bCs/>
        </w:rPr>
        <w:t xml:space="preserve">Lei nº 6.437, de 20 de agosto de 1977. </w:t>
      </w:r>
      <w:r>
        <w:t>E</w:t>
      </w:r>
      <w:r w:rsidRPr="009403FF">
        <w:t>stabelece as penalidades para quem infringir as leis federais sanitárias e regulamentos correspondentes, incluindo sanções penais.</w:t>
      </w:r>
    </w:p>
    <w:p w14:paraId="16319EF6" w14:textId="77777777" w:rsidR="004F3C79" w:rsidRDefault="004F3C79" w:rsidP="004F3C79">
      <w:pPr>
        <w:spacing w:before="100" w:beforeAutospacing="1" w:after="100" w:afterAutospacing="1"/>
        <w:jc w:val="both"/>
      </w:pPr>
      <w:r>
        <w:t xml:space="preserve">BRASIL. </w:t>
      </w:r>
      <w:r w:rsidRPr="0041747F">
        <w:rPr>
          <w:b/>
          <w:bCs/>
        </w:rPr>
        <w:t>Lei nº 9.294 de 1996.</w:t>
      </w:r>
      <w:r w:rsidRPr="009403FF">
        <w:t xml:space="preserve"> </w:t>
      </w:r>
      <w:r>
        <w:t>I</w:t>
      </w:r>
      <w:r w:rsidRPr="009403FF">
        <w:t>mpõe restrições ao uso e publicidade de produtos fumígenos, bebidas alcoólicas, medicamentos, terapias e pesticidas agrícolas. É regulamentado pelo Decreto nº 2.018 de 1996.</w:t>
      </w:r>
    </w:p>
    <w:p w14:paraId="08ABF965" w14:textId="77777777" w:rsidR="004F3C79" w:rsidRPr="004F3C79" w:rsidRDefault="004F3C79" w:rsidP="004F3C79">
      <w:pPr>
        <w:spacing w:before="100" w:beforeAutospacing="1" w:after="100" w:afterAutospacing="1"/>
        <w:jc w:val="both"/>
        <w:rPr>
          <w:lang w:val="pt-BR"/>
        </w:rPr>
      </w:pPr>
      <w:r w:rsidRPr="004F3C79">
        <w:rPr>
          <w:lang w:val="en-US"/>
        </w:rPr>
        <w:t>CRF. 2020.</w:t>
      </w:r>
      <w:r>
        <w:rPr>
          <w:lang w:val="en-US"/>
        </w:rPr>
        <w:t xml:space="preserve"> </w:t>
      </w:r>
      <w:r w:rsidRPr="004F3C79">
        <w:rPr>
          <w:lang w:val="pt-BR"/>
        </w:rPr>
        <w:t>Di</w:t>
      </w:r>
      <w:r>
        <w:rPr>
          <w:lang w:val="pt-BR"/>
        </w:rPr>
        <w:t>sponível em:</w:t>
      </w:r>
      <w:r w:rsidRPr="004F3C79">
        <w:rPr>
          <w:lang w:val="pt-BR"/>
        </w:rPr>
        <w:t xml:space="preserve"> </w:t>
      </w:r>
      <w:hyperlink r:id="rId38" w:history="1">
        <w:r w:rsidRPr="00586E84">
          <w:rPr>
            <w:rStyle w:val="Hyperlink"/>
          </w:rPr>
          <w:t>http://www.crfsp.org.br/noticias/11507-princ%C3%ADpios-ativos-sint%C3%A9ticos-e-semissint%C3%A9ticos.html</w:t>
        </w:r>
      </w:hyperlink>
    </w:p>
    <w:p w14:paraId="488B49BE" w14:textId="77777777" w:rsidR="004F3C79" w:rsidRPr="00C744FD" w:rsidRDefault="004F3C79" w:rsidP="004F3C79">
      <w:pPr>
        <w:spacing w:before="100" w:beforeAutospacing="1" w:after="100" w:afterAutospacing="1"/>
        <w:jc w:val="both"/>
        <w:rPr>
          <w:lang w:val="pt-BR"/>
        </w:rPr>
      </w:pPr>
      <w:r>
        <w:t>FRANCA</w:t>
      </w:r>
      <w:r w:rsidRPr="00C744FD">
        <w:rPr>
          <w:lang w:val="pt-BR"/>
        </w:rPr>
        <w:t>, J. R.</w:t>
      </w:r>
      <w:r>
        <w:rPr>
          <w:lang w:val="pt-BR"/>
        </w:rPr>
        <w:t xml:space="preserve">; </w:t>
      </w:r>
      <w:r w:rsidRPr="00C744FD">
        <w:rPr>
          <w:lang w:val="pt-BR"/>
        </w:rPr>
        <w:t>C</w:t>
      </w:r>
      <w:r>
        <w:rPr>
          <w:lang w:val="pt-BR"/>
        </w:rPr>
        <w:t xml:space="preserve">ARMO, A. C. M.; </w:t>
      </w:r>
      <w:r>
        <w:t>PEREIRA</w:t>
      </w:r>
      <w:r w:rsidRPr="00C744FD">
        <w:rPr>
          <w:lang w:val="pt-BR"/>
        </w:rPr>
        <w:t xml:space="preserve">, R. </w:t>
      </w:r>
      <w:r>
        <w:rPr>
          <w:lang w:val="pt-BR"/>
        </w:rPr>
        <w:t xml:space="preserve">S. </w:t>
      </w:r>
      <w:r>
        <w:t>Painel de registro de medicamentos sintéticos e semissintéticos no Brasil</w:t>
      </w:r>
      <w:r>
        <w:rPr>
          <w:lang w:val="pt-BR"/>
        </w:rPr>
        <w:t xml:space="preserve">. </w:t>
      </w:r>
      <w:r w:rsidRPr="00C744FD">
        <w:rPr>
          <w:b/>
          <w:bCs/>
        </w:rPr>
        <w:t>Vigilância Sanitária em Debate</w:t>
      </w:r>
      <w:r>
        <w:t>, v. 9, n. 3, p. 23-31, 2021</w:t>
      </w:r>
      <w:r w:rsidRPr="00C744FD">
        <w:rPr>
          <w:lang w:val="pt-BR"/>
        </w:rPr>
        <w:t>.</w:t>
      </w:r>
    </w:p>
    <w:p w14:paraId="2298E4C1" w14:textId="77777777" w:rsidR="004F3C79" w:rsidRDefault="004F3C79" w:rsidP="004F3C79">
      <w:pPr>
        <w:spacing w:before="100" w:beforeAutospacing="1" w:after="100" w:afterAutospacing="1"/>
        <w:jc w:val="both"/>
        <w:rPr>
          <w:sz w:val="22"/>
          <w:szCs w:val="22"/>
          <w:lang w:val="pt-BR"/>
        </w:rPr>
      </w:pPr>
      <w:r>
        <w:rPr>
          <w:sz w:val="22"/>
          <w:szCs w:val="22"/>
          <w:lang w:val="en-US"/>
        </w:rPr>
        <w:t xml:space="preserve">GRAND VIEW RESEARCH. </w:t>
      </w:r>
      <w:r w:rsidRPr="00C744FD">
        <w:rPr>
          <w:sz w:val="22"/>
          <w:szCs w:val="22"/>
        </w:rPr>
        <w:t>Pharmaceutical Manufacturing Market Size Report, 2021-2028</w:t>
      </w:r>
      <w:r>
        <w:rPr>
          <w:sz w:val="22"/>
          <w:szCs w:val="22"/>
          <w:lang w:val="en-US"/>
        </w:rPr>
        <w:t xml:space="preserve">. </w:t>
      </w:r>
      <w:r w:rsidRPr="00C744FD">
        <w:rPr>
          <w:sz w:val="22"/>
          <w:szCs w:val="22"/>
          <w:lang w:val="pt-BR"/>
        </w:rPr>
        <w:t xml:space="preserve">Disponível em: </w:t>
      </w:r>
      <w:hyperlink r:id="rId39" w:anchor=":~:text=The%20global%20pharmaceutical%20manufacturing%20market%20size%20was%20estimated%20at%20USD,USD%20486.62%20billion%20in%202021.&amp;text=The%20global%20pharmaceutical%20manufacturing%20market%20is%20expected%20to%20grow%20at,USD%20957.59%20billion%20by%202028" w:history="1">
        <w:r w:rsidRPr="00620015">
          <w:rPr>
            <w:rStyle w:val="Hyperlink"/>
            <w:sz w:val="22"/>
            <w:szCs w:val="22"/>
            <w:lang w:val="pt-BR"/>
          </w:rPr>
          <w:t>https://www.grandviewresearch.com/industry-analysis/pharmaceutical-manufacturing-market#:~:text=The%20global%20pharmaceutical%20manufacturing%20market%20size%20was%20estimated%20at%20USD,USD%20486.62%20billion%20in%202021.&amp;text=The%20global%20pharmaceutical%20manufacturing%20market%20is%20expected%20to%20grow%20at,USD%20957.59%20billion%20by%202028</w:t>
        </w:r>
      </w:hyperlink>
      <w:r w:rsidRPr="00C744FD">
        <w:rPr>
          <w:sz w:val="22"/>
          <w:szCs w:val="22"/>
          <w:lang w:val="pt-BR"/>
        </w:rPr>
        <w:t>.</w:t>
      </w:r>
    </w:p>
    <w:p w14:paraId="5E8C74B6" w14:textId="77777777" w:rsidR="004F3C79" w:rsidRDefault="004F3C79" w:rsidP="004F3C79">
      <w:pPr>
        <w:spacing w:before="100" w:beforeAutospacing="1" w:after="100" w:afterAutospacing="1"/>
        <w:jc w:val="both"/>
        <w:rPr>
          <w:sz w:val="22"/>
          <w:szCs w:val="22"/>
          <w:lang w:val="pt-BR"/>
        </w:rPr>
      </w:pPr>
      <w:r>
        <w:rPr>
          <w:sz w:val="22"/>
          <w:szCs w:val="22"/>
          <w:lang w:val="pt-BR"/>
        </w:rPr>
        <w:t xml:space="preserve">INFARMA. Disponível em: </w:t>
      </w:r>
      <w:hyperlink r:id="rId40" w:history="1">
        <w:r w:rsidRPr="00620015">
          <w:rPr>
            <w:rStyle w:val="Hyperlink"/>
            <w:sz w:val="22"/>
            <w:szCs w:val="22"/>
            <w:lang w:val="pt-BR"/>
          </w:rPr>
          <w:t>https://www.interfarma.org.br/app/uploads/2021/04/guia-2020.pdf</w:t>
        </w:r>
      </w:hyperlink>
      <w:r>
        <w:rPr>
          <w:sz w:val="22"/>
          <w:szCs w:val="22"/>
          <w:lang w:val="pt-BR"/>
        </w:rPr>
        <w:t xml:space="preserve"> </w:t>
      </w:r>
    </w:p>
    <w:p w14:paraId="4D665796" w14:textId="77777777" w:rsidR="004F3C79" w:rsidRDefault="004F3C79" w:rsidP="004F3C79">
      <w:pPr>
        <w:spacing w:before="100" w:beforeAutospacing="1" w:after="100" w:afterAutospacing="1"/>
        <w:jc w:val="both"/>
        <w:rPr>
          <w:lang w:val="pt-BR"/>
        </w:rPr>
      </w:pPr>
      <w:r w:rsidRPr="00F20C15">
        <w:rPr>
          <w:lang w:val="pt-BR"/>
        </w:rPr>
        <w:t>OLIVEIRA, Henrique Mansano Rosa. Análise do cenário regulatório da renovação de registro de medicamentos genéricos e similares na Agência Nacional de Vigilância Sanitária: subsídio à regulação sanitária do pós-registro de medicamentos. Vigilância Sanitária em Debate: Sociedade, Ciência &amp; Tecnologia (Health Surveillance under Debate: Society, Science &amp; Technology)–Visa em Debate, v. 8, n. 1, p. 4-9, 2020</w:t>
      </w:r>
      <w:r>
        <w:rPr>
          <w:lang w:val="pt-BR"/>
        </w:rPr>
        <w:t>.</w:t>
      </w:r>
    </w:p>
    <w:p w14:paraId="6A3AFDCA" w14:textId="77777777" w:rsidR="004F3C79" w:rsidRDefault="004F3C79" w:rsidP="004F3C79">
      <w:pPr>
        <w:spacing w:before="100" w:beforeAutospacing="1" w:after="100" w:afterAutospacing="1"/>
        <w:jc w:val="both"/>
        <w:rPr>
          <w:lang w:val="pt-BR"/>
        </w:rPr>
      </w:pPr>
      <w:r w:rsidRPr="00CC729D">
        <w:rPr>
          <w:lang w:val="pt-BR"/>
        </w:rPr>
        <w:t>PINHEIRO, M</w:t>
      </w:r>
      <w:r>
        <w:rPr>
          <w:lang w:val="pt-BR"/>
        </w:rPr>
        <w:t>.</w:t>
      </w:r>
      <w:r w:rsidRPr="00CC729D">
        <w:rPr>
          <w:lang w:val="pt-BR"/>
        </w:rPr>
        <w:t>; RIBEIRO, A</w:t>
      </w:r>
      <w:r>
        <w:rPr>
          <w:lang w:val="pt-BR"/>
        </w:rPr>
        <w:t>.</w:t>
      </w:r>
      <w:r w:rsidRPr="00CC729D">
        <w:rPr>
          <w:lang w:val="pt-BR"/>
        </w:rPr>
        <w:t xml:space="preserve"> G. Registro de medicamentos novos: principais agências reguladoras mundiais. </w:t>
      </w:r>
      <w:r w:rsidRPr="00CC729D">
        <w:rPr>
          <w:b/>
          <w:bCs/>
          <w:lang w:val="pt-BR"/>
        </w:rPr>
        <w:t>Revista Acadêmica Oswaldo Cruz</w:t>
      </w:r>
      <w:r>
        <w:rPr>
          <w:lang w:val="pt-BR"/>
        </w:rPr>
        <w:t>,</w:t>
      </w:r>
      <w:r w:rsidRPr="00CC729D">
        <w:rPr>
          <w:lang w:val="pt-BR"/>
        </w:rPr>
        <w:t xml:space="preserve"> ano 5, n.18</w:t>
      </w:r>
      <w:r>
        <w:rPr>
          <w:lang w:val="pt-BR"/>
        </w:rPr>
        <w:t xml:space="preserve">, </w:t>
      </w:r>
      <w:r w:rsidRPr="00CC729D">
        <w:rPr>
          <w:lang w:val="pt-BR"/>
        </w:rPr>
        <w:t>2018</w:t>
      </w:r>
      <w:r>
        <w:rPr>
          <w:lang w:val="pt-BR"/>
        </w:rPr>
        <w:t>.</w:t>
      </w:r>
    </w:p>
    <w:p w14:paraId="74272897" w14:textId="77777777" w:rsidR="004F3C79" w:rsidRPr="00C744FD" w:rsidRDefault="004F3C79" w:rsidP="004F3C79">
      <w:pPr>
        <w:spacing w:before="100" w:beforeAutospacing="1" w:after="100" w:afterAutospacing="1"/>
        <w:jc w:val="both"/>
      </w:pPr>
      <w:r w:rsidRPr="00871073">
        <w:t>QUINTANS, R. Mercado farma mundial: em que posição o Brasil está? Revista da Farmácia. 2021. Disponível em: https://revistadafarmacia.com.br/mercado/mercado-farma-mundial-em-</w:t>
      </w:r>
      <w:r w:rsidRPr="00C744FD">
        <w:t>que-posicao-o-brasil-esta/. Acessado em 26/08/2021</w:t>
      </w:r>
    </w:p>
    <w:p w14:paraId="1D4D0C83" w14:textId="77777777" w:rsidR="004F3C79" w:rsidRDefault="004F3C79" w:rsidP="004F3C79">
      <w:pPr>
        <w:spacing w:before="100" w:beforeAutospacing="1" w:after="100" w:afterAutospacing="1"/>
        <w:jc w:val="both"/>
        <w:rPr>
          <w:lang w:val="en-US"/>
        </w:rPr>
      </w:pPr>
      <w:r w:rsidRPr="007404A2">
        <w:rPr>
          <w:lang w:val="en-US"/>
        </w:rPr>
        <w:t xml:space="preserve">RIBEIRO, A.; VIANNA, J. L.; ATTORNEYS, J. L. </w:t>
      </w:r>
      <w:r w:rsidRPr="004F3C79">
        <w:rPr>
          <w:b/>
          <w:bCs/>
          <w:lang w:val="en-US"/>
        </w:rPr>
        <w:t>Medicinal product regulation and product liability in Brazil: overview.</w:t>
      </w:r>
      <w:r w:rsidRPr="007404A2">
        <w:rPr>
          <w:lang w:val="en-US"/>
        </w:rPr>
        <w:t xml:space="preserve"> </w:t>
      </w:r>
      <w:r>
        <w:rPr>
          <w:lang w:val="en-US"/>
        </w:rPr>
        <w:t>Practical Law Home, 2020.</w:t>
      </w:r>
    </w:p>
    <w:p w14:paraId="2FE5C78C" w14:textId="324631C3" w:rsidR="004F3C79" w:rsidRDefault="004F3C79" w:rsidP="004F3C79">
      <w:pPr>
        <w:spacing w:before="100" w:beforeAutospacing="1" w:after="100" w:afterAutospacing="1"/>
        <w:jc w:val="both"/>
        <w:rPr>
          <w:lang w:val="pt-BR"/>
        </w:rPr>
      </w:pPr>
      <w:r>
        <w:rPr>
          <w:lang w:val="pt-BR"/>
        </w:rPr>
        <w:t xml:space="preserve">SINDUSFARMA. 2020. Disponível em: </w:t>
      </w:r>
      <w:hyperlink r:id="rId41" w:history="1">
        <w:r w:rsidRPr="00620015">
          <w:rPr>
            <w:rStyle w:val="Hyperlink"/>
            <w:lang w:val="pt-BR"/>
          </w:rPr>
          <w:t>https://sindusfarma.org.br/uploads/Publicacoes/Perfil_IF2020_PORT.pdf</w:t>
        </w:r>
      </w:hyperlink>
      <w:r>
        <w:rPr>
          <w:lang w:val="pt-BR"/>
        </w:rPr>
        <w:t xml:space="preserve"> </w:t>
      </w:r>
    </w:p>
    <w:p w14:paraId="1D25040D" w14:textId="6C409196" w:rsidR="004F3C79" w:rsidRDefault="004F3C79" w:rsidP="004F3C79">
      <w:pPr>
        <w:spacing w:before="100" w:beforeAutospacing="1" w:after="100" w:afterAutospacing="1"/>
        <w:jc w:val="both"/>
        <w:rPr>
          <w:sz w:val="22"/>
          <w:szCs w:val="22"/>
          <w:lang w:val="pt-BR"/>
        </w:rPr>
      </w:pPr>
      <w:r>
        <w:rPr>
          <w:sz w:val="22"/>
          <w:szCs w:val="22"/>
          <w:lang w:val="pt-BR"/>
        </w:rPr>
        <w:t xml:space="preserve">STATISTA. 2020. Disponível em: </w:t>
      </w:r>
      <w:hyperlink r:id="rId42" w:history="1">
        <w:r w:rsidRPr="00620015">
          <w:rPr>
            <w:rStyle w:val="Hyperlink"/>
            <w:sz w:val="22"/>
            <w:szCs w:val="22"/>
            <w:lang w:val="pt-BR"/>
          </w:rPr>
          <w:t>https://www.statista.com/topics/1764/global-pharmaceutical-industry/</w:t>
        </w:r>
      </w:hyperlink>
      <w:r>
        <w:rPr>
          <w:sz w:val="22"/>
          <w:szCs w:val="22"/>
          <w:lang w:val="pt-BR"/>
        </w:rPr>
        <w:t xml:space="preserve"> </w:t>
      </w:r>
    </w:p>
    <w:sectPr w:rsidR="004F3C79" w:rsidSect="000F5415">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A655" w14:textId="77777777" w:rsidR="001C0C4B" w:rsidRDefault="001C0C4B" w:rsidP="00FA5F5F">
      <w:r>
        <w:separator/>
      </w:r>
    </w:p>
  </w:endnote>
  <w:endnote w:type="continuationSeparator" w:id="0">
    <w:p w14:paraId="1E446C4E" w14:textId="77777777" w:rsidR="001C0C4B" w:rsidRDefault="001C0C4B" w:rsidP="00FA5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56837221"/>
      <w:docPartObj>
        <w:docPartGallery w:val="Page Numbers (Bottom of Page)"/>
        <w:docPartUnique/>
      </w:docPartObj>
    </w:sdtPr>
    <w:sdtContent>
      <w:p w14:paraId="44176D01" w14:textId="73D318BB" w:rsidR="00AD33A6" w:rsidRDefault="00AD33A6" w:rsidP="00AD33A6">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664622F" w14:textId="77777777" w:rsidR="00AD33A6" w:rsidRDefault="00AD33A6" w:rsidP="00E879B4">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64060591"/>
      <w:docPartObj>
        <w:docPartGallery w:val="Page Numbers (Bottom of Page)"/>
        <w:docPartUnique/>
      </w:docPartObj>
    </w:sdtPr>
    <w:sdtContent>
      <w:p w14:paraId="28FC4D24" w14:textId="48AF21AA" w:rsidR="00AD33A6" w:rsidRDefault="00AD33A6" w:rsidP="00AD33A6">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171F5B3F" w14:textId="77777777" w:rsidR="00AD33A6" w:rsidRDefault="00AD33A6" w:rsidP="00E879B4">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13D15" w14:textId="77777777" w:rsidR="001C0C4B" w:rsidRDefault="001C0C4B" w:rsidP="00FA5F5F">
      <w:r>
        <w:separator/>
      </w:r>
    </w:p>
  </w:footnote>
  <w:footnote w:type="continuationSeparator" w:id="0">
    <w:p w14:paraId="68ECFF39" w14:textId="77777777" w:rsidR="001C0C4B" w:rsidRDefault="001C0C4B" w:rsidP="00FA5F5F">
      <w:r>
        <w:continuationSeparator/>
      </w:r>
    </w:p>
  </w:footnote>
  <w:footnote w:id="1">
    <w:p w14:paraId="0B209B0A" w14:textId="51F6B318" w:rsidR="00AD33A6" w:rsidRDefault="00AD33A6" w:rsidP="0096461D">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07BD1" w14:textId="77777777" w:rsidR="00AD33A6" w:rsidRPr="00FA5F5F" w:rsidRDefault="00AD33A6" w:rsidP="00FA5F5F">
    <w:pPr>
      <w:pStyle w:val="Cabealho"/>
      <w:tabs>
        <w:tab w:val="clear" w:pos="4252"/>
        <w:tab w:val="clear" w:pos="8504"/>
        <w:tab w:val="left" w:pos="987"/>
      </w:tabs>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21E"/>
    <w:multiLevelType w:val="hybridMultilevel"/>
    <w:tmpl w:val="174881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6345F"/>
    <w:multiLevelType w:val="hybridMultilevel"/>
    <w:tmpl w:val="B82884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54F4B"/>
    <w:multiLevelType w:val="hybridMultilevel"/>
    <w:tmpl w:val="878215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80629"/>
    <w:multiLevelType w:val="hybridMultilevel"/>
    <w:tmpl w:val="D09C8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B46FE"/>
    <w:multiLevelType w:val="hybridMultilevel"/>
    <w:tmpl w:val="21E6B8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F362A"/>
    <w:multiLevelType w:val="multilevel"/>
    <w:tmpl w:val="113C66A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84006B"/>
    <w:multiLevelType w:val="hybridMultilevel"/>
    <w:tmpl w:val="C128B2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B0A15A7"/>
    <w:multiLevelType w:val="hybridMultilevel"/>
    <w:tmpl w:val="C7024E9C"/>
    <w:lvl w:ilvl="0" w:tplc="04160001">
      <w:start w:val="1"/>
      <w:numFmt w:val="bullet"/>
      <w:lvlText w:val=""/>
      <w:lvlJc w:val="left"/>
      <w:pPr>
        <w:ind w:left="720" w:hanging="360"/>
      </w:pPr>
      <w:rPr>
        <w:rFonts w:ascii="Symbol" w:hAnsi="Symbol" w:hint="default"/>
      </w:rPr>
    </w:lvl>
    <w:lvl w:ilvl="1" w:tplc="3E2A3EFC">
      <w:numFmt w:val="bullet"/>
      <w:lvlText w:val="•"/>
      <w:lvlJc w:val="left"/>
      <w:pPr>
        <w:ind w:left="1440" w:hanging="360"/>
      </w:pPr>
      <w:rPr>
        <w:rFonts w:ascii="Times New Roman" w:eastAsiaTheme="minorHAnsi" w:hAnsi="Times New Roman"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6333F61"/>
    <w:multiLevelType w:val="hybridMultilevel"/>
    <w:tmpl w:val="6DA0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A23114"/>
    <w:multiLevelType w:val="hybridMultilevel"/>
    <w:tmpl w:val="005284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36381F"/>
    <w:multiLevelType w:val="hybridMultilevel"/>
    <w:tmpl w:val="9B14B64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6A3120"/>
    <w:multiLevelType w:val="hybridMultilevel"/>
    <w:tmpl w:val="27E27DE0"/>
    <w:lvl w:ilvl="0" w:tplc="627A3D26">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1103E7"/>
    <w:multiLevelType w:val="multilevel"/>
    <w:tmpl w:val="AAD6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4F1675"/>
    <w:multiLevelType w:val="hybridMultilevel"/>
    <w:tmpl w:val="4C2A7B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12DA8"/>
    <w:multiLevelType w:val="hybridMultilevel"/>
    <w:tmpl w:val="937C7D30"/>
    <w:lvl w:ilvl="0" w:tplc="3E2A3EF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AE7666"/>
    <w:multiLevelType w:val="hybridMultilevel"/>
    <w:tmpl w:val="335CBB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219B2"/>
    <w:multiLevelType w:val="hybridMultilevel"/>
    <w:tmpl w:val="E50CA3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9937B5B"/>
    <w:multiLevelType w:val="hybridMultilevel"/>
    <w:tmpl w:val="53404BFA"/>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E215CF"/>
    <w:multiLevelType w:val="hybridMultilevel"/>
    <w:tmpl w:val="9202C2F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56345DFD"/>
    <w:multiLevelType w:val="hybridMultilevel"/>
    <w:tmpl w:val="961E8846"/>
    <w:lvl w:ilvl="0" w:tplc="99B073DE">
      <w:start w:val="6"/>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564907DA"/>
    <w:multiLevelType w:val="hybridMultilevel"/>
    <w:tmpl w:val="F0FC9918"/>
    <w:lvl w:ilvl="0" w:tplc="0416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1AE296D"/>
    <w:multiLevelType w:val="hybridMultilevel"/>
    <w:tmpl w:val="4460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AD6CDD"/>
    <w:multiLevelType w:val="hybridMultilevel"/>
    <w:tmpl w:val="016E5972"/>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AE47549"/>
    <w:multiLevelType w:val="hybridMultilevel"/>
    <w:tmpl w:val="78725068"/>
    <w:lvl w:ilvl="0" w:tplc="3E2A3EF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014020"/>
    <w:multiLevelType w:val="hybridMultilevel"/>
    <w:tmpl w:val="AC82632E"/>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73ED0F94"/>
    <w:multiLevelType w:val="hybridMultilevel"/>
    <w:tmpl w:val="1B7E082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977C9E"/>
    <w:multiLevelType w:val="multilevel"/>
    <w:tmpl w:val="1AAE0D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71F315B"/>
    <w:multiLevelType w:val="hybridMultilevel"/>
    <w:tmpl w:val="6914B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371EA6"/>
    <w:multiLevelType w:val="hybridMultilevel"/>
    <w:tmpl w:val="9398BA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F642A0"/>
    <w:multiLevelType w:val="hybridMultilevel"/>
    <w:tmpl w:val="8EE0CF18"/>
    <w:lvl w:ilvl="0" w:tplc="3E2A3EF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FA64D81"/>
    <w:multiLevelType w:val="hybridMultilevel"/>
    <w:tmpl w:val="557872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23600285">
    <w:abstractNumId w:val="12"/>
  </w:num>
  <w:num w:numId="2" w16cid:durableId="1988239522">
    <w:abstractNumId w:val="24"/>
  </w:num>
  <w:num w:numId="3" w16cid:durableId="1421100503">
    <w:abstractNumId w:val="1"/>
  </w:num>
  <w:num w:numId="4" w16cid:durableId="1165319001">
    <w:abstractNumId w:val="0"/>
  </w:num>
  <w:num w:numId="5" w16cid:durableId="1601141071">
    <w:abstractNumId w:val="13"/>
  </w:num>
  <w:num w:numId="6" w16cid:durableId="520361626">
    <w:abstractNumId w:val="2"/>
  </w:num>
  <w:num w:numId="7" w16cid:durableId="1046946707">
    <w:abstractNumId w:val="11"/>
  </w:num>
  <w:num w:numId="8" w16cid:durableId="52315224">
    <w:abstractNumId w:val="21"/>
  </w:num>
  <w:num w:numId="9" w16cid:durableId="1419785971">
    <w:abstractNumId w:val="4"/>
  </w:num>
  <w:num w:numId="10" w16cid:durableId="222525856">
    <w:abstractNumId w:val="28"/>
  </w:num>
  <w:num w:numId="11" w16cid:durableId="1904294096">
    <w:abstractNumId w:val="15"/>
  </w:num>
  <w:num w:numId="12" w16cid:durableId="1297837888">
    <w:abstractNumId w:val="5"/>
  </w:num>
  <w:num w:numId="13" w16cid:durableId="1619488219">
    <w:abstractNumId w:val="25"/>
  </w:num>
  <w:num w:numId="14" w16cid:durableId="2025745508">
    <w:abstractNumId w:val="18"/>
  </w:num>
  <w:num w:numId="15" w16cid:durableId="1660647847">
    <w:abstractNumId w:val="10"/>
  </w:num>
  <w:num w:numId="16" w16cid:durableId="531766692">
    <w:abstractNumId w:val="26"/>
  </w:num>
  <w:num w:numId="17" w16cid:durableId="1507792958">
    <w:abstractNumId w:val="30"/>
  </w:num>
  <w:num w:numId="18" w16cid:durableId="1584686218">
    <w:abstractNumId w:val="27"/>
  </w:num>
  <w:num w:numId="19" w16cid:durableId="755442565">
    <w:abstractNumId w:val="9"/>
  </w:num>
  <w:num w:numId="20" w16cid:durableId="196820239">
    <w:abstractNumId w:val="7"/>
  </w:num>
  <w:num w:numId="21" w16cid:durableId="1871068826">
    <w:abstractNumId w:val="6"/>
  </w:num>
  <w:num w:numId="22" w16cid:durableId="1600983284">
    <w:abstractNumId w:val="16"/>
  </w:num>
  <w:num w:numId="23" w16cid:durableId="699865714">
    <w:abstractNumId w:val="19"/>
  </w:num>
  <w:num w:numId="24" w16cid:durableId="1981685312">
    <w:abstractNumId w:val="22"/>
  </w:num>
  <w:num w:numId="25" w16cid:durableId="703095132">
    <w:abstractNumId w:val="3"/>
  </w:num>
  <w:num w:numId="26" w16cid:durableId="875240209">
    <w:abstractNumId w:val="8"/>
  </w:num>
  <w:num w:numId="27" w16cid:durableId="1057708423">
    <w:abstractNumId w:val="23"/>
  </w:num>
  <w:num w:numId="28" w16cid:durableId="274018447">
    <w:abstractNumId w:val="20"/>
  </w:num>
  <w:num w:numId="29" w16cid:durableId="1912621444">
    <w:abstractNumId w:val="17"/>
  </w:num>
  <w:num w:numId="30" w16cid:durableId="1629552807">
    <w:abstractNumId w:val="14"/>
  </w:num>
  <w:num w:numId="31" w16cid:durableId="116412236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F5F"/>
    <w:rsid w:val="0003636C"/>
    <w:rsid w:val="00053FB8"/>
    <w:rsid w:val="0006112A"/>
    <w:rsid w:val="00072ADA"/>
    <w:rsid w:val="00073A47"/>
    <w:rsid w:val="0008622F"/>
    <w:rsid w:val="0009395A"/>
    <w:rsid w:val="000C1E7E"/>
    <w:rsid w:val="000D07EB"/>
    <w:rsid w:val="000D38BA"/>
    <w:rsid w:val="000D390F"/>
    <w:rsid w:val="000F5415"/>
    <w:rsid w:val="0010174A"/>
    <w:rsid w:val="00165C34"/>
    <w:rsid w:val="00192C27"/>
    <w:rsid w:val="00193168"/>
    <w:rsid w:val="001977A1"/>
    <w:rsid w:val="001977C8"/>
    <w:rsid w:val="001B4C4B"/>
    <w:rsid w:val="001C0C4B"/>
    <w:rsid w:val="001C7F62"/>
    <w:rsid w:val="001E017C"/>
    <w:rsid w:val="001E0712"/>
    <w:rsid w:val="001E5759"/>
    <w:rsid w:val="002179A9"/>
    <w:rsid w:val="00227794"/>
    <w:rsid w:val="00234D3E"/>
    <w:rsid w:val="00235704"/>
    <w:rsid w:val="002451E9"/>
    <w:rsid w:val="00245E54"/>
    <w:rsid w:val="00246A3F"/>
    <w:rsid w:val="00293B27"/>
    <w:rsid w:val="002A2591"/>
    <w:rsid w:val="002D25D6"/>
    <w:rsid w:val="002D6B88"/>
    <w:rsid w:val="002F789F"/>
    <w:rsid w:val="003407E0"/>
    <w:rsid w:val="00346E6A"/>
    <w:rsid w:val="003617C7"/>
    <w:rsid w:val="00364EE1"/>
    <w:rsid w:val="00373721"/>
    <w:rsid w:val="00375C2F"/>
    <w:rsid w:val="00382A7F"/>
    <w:rsid w:val="003A4942"/>
    <w:rsid w:val="003B1364"/>
    <w:rsid w:val="003B5158"/>
    <w:rsid w:val="003D6BAF"/>
    <w:rsid w:val="003F2A39"/>
    <w:rsid w:val="0041747F"/>
    <w:rsid w:val="00432D28"/>
    <w:rsid w:val="00466258"/>
    <w:rsid w:val="004974DB"/>
    <w:rsid w:val="004B2111"/>
    <w:rsid w:val="004C1FDA"/>
    <w:rsid w:val="004D2E6A"/>
    <w:rsid w:val="004D4FDA"/>
    <w:rsid w:val="004F3C79"/>
    <w:rsid w:val="004F4665"/>
    <w:rsid w:val="004F72B9"/>
    <w:rsid w:val="00514536"/>
    <w:rsid w:val="00545FB7"/>
    <w:rsid w:val="005629B7"/>
    <w:rsid w:val="0056669E"/>
    <w:rsid w:val="0057159F"/>
    <w:rsid w:val="00586286"/>
    <w:rsid w:val="00587DF6"/>
    <w:rsid w:val="005909F4"/>
    <w:rsid w:val="005C29D6"/>
    <w:rsid w:val="005D3909"/>
    <w:rsid w:val="005D499A"/>
    <w:rsid w:val="00647AD0"/>
    <w:rsid w:val="00647C4E"/>
    <w:rsid w:val="00652128"/>
    <w:rsid w:val="00670D46"/>
    <w:rsid w:val="00671118"/>
    <w:rsid w:val="006714A5"/>
    <w:rsid w:val="00673B47"/>
    <w:rsid w:val="0068021B"/>
    <w:rsid w:val="006A0566"/>
    <w:rsid w:val="006A1DB0"/>
    <w:rsid w:val="006A39EF"/>
    <w:rsid w:val="006A604B"/>
    <w:rsid w:val="006C1B1F"/>
    <w:rsid w:val="006D5680"/>
    <w:rsid w:val="00703FC3"/>
    <w:rsid w:val="007169A5"/>
    <w:rsid w:val="00727AE6"/>
    <w:rsid w:val="007404A2"/>
    <w:rsid w:val="007422E9"/>
    <w:rsid w:val="00745388"/>
    <w:rsid w:val="00753F50"/>
    <w:rsid w:val="00783E74"/>
    <w:rsid w:val="00786947"/>
    <w:rsid w:val="00787381"/>
    <w:rsid w:val="007B7632"/>
    <w:rsid w:val="007D0992"/>
    <w:rsid w:val="007E0F49"/>
    <w:rsid w:val="007E47CB"/>
    <w:rsid w:val="007F5E97"/>
    <w:rsid w:val="007F69D0"/>
    <w:rsid w:val="00802060"/>
    <w:rsid w:val="008320E6"/>
    <w:rsid w:val="00837FD7"/>
    <w:rsid w:val="00861B84"/>
    <w:rsid w:val="00871073"/>
    <w:rsid w:val="00890010"/>
    <w:rsid w:val="00896D42"/>
    <w:rsid w:val="008A1549"/>
    <w:rsid w:val="008C1BF3"/>
    <w:rsid w:val="008D6BB1"/>
    <w:rsid w:val="008E6BF3"/>
    <w:rsid w:val="0092220A"/>
    <w:rsid w:val="00925149"/>
    <w:rsid w:val="00926FE7"/>
    <w:rsid w:val="0093288F"/>
    <w:rsid w:val="009403FF"/>
    <w:rsid w:val="00940B82"/>
    <w:rsid w:val="0096461D"/>
    <w:rsid w:val="00967B99"/>
    <w:rsid w:val="00972C18"/>
    <w:rsid w:val="00980AE9"/>
    <w:rsid w:val="00984552"/>
    <w:rsid w:val="009E0A07"/>
    <w:rsid w:val="00A1209C"/>
    <w:rsid w:val="00A24828"/>
    <w:rsid w:val="00A420C9"/>
    <w:rsid w:val="00A62A39"/>
    <w:rsid w:val="00A6358D"/>
    <w:rsid w:val="00A66D9B"/>
    <w:rsid w:val="00A72C7A"/>
    <w:rsid w:val="00A92816"/>
    <w:rsid w:val="00AC27B4"/>
    <w:rsid w:val="00AD33A6"/>
    <w:rsid w:val="00AD55CD"/>
    <w:rsid w:val="00AF1745"/>
    <w:rsid w:val="00AF3B5F"/>
    <w:rsid w:val="00B02C5E"/>
    <w:rsid w:val="00B04273"/>
    <w:rsid w:val="00B14A22"/>
    <w:rsid w:val="00B354E3"/>
    <w:rsid w:val="00B36BF6"/>
    <w:rsid w:val="00B477C1"/>
    <w:rsid w:val="00B65E66"/>
    <w:rsid w:val="00B80BCF"/>
    <w:rsid w:val="00BB0E43"/>
    <w:rsid w:val="00C10C18"/>
    <w:rsid w:val="00C16E46"/>
    <w:rsid w:val="00C251F1"/>
    <w:rsid w:val="00C3280A"/>
    <w:rsid w:val="00C36A0F"/>
    <w:rsid w:val="00C744FD"/>
    <w:rsid w:val="00C75216"/>
    <w:rsid w:val="00C8072F"/>
    <w:rsid w:val="00C83D05"/>
    <w:rsid w:val="00C86C81"/>
    <w:rsid w:val="00CC2899"/>
    <w:rsid w:val="00CC729D"/>
    <w:rsid w:val="00CE6D13"/>
    <w:rsid w:val="00D10FF3"/>
    <w:rsid w:val="00D145F4"/>
    <w:rsid w:val="00D266FC"/>
    <w:rsid w:val="00D274C1"/>
    <w:rsid w:val="00D31BF0"/>
    <w:rsid w:val="00D44B98"/>
    <w:rsid w:val="00DB09C5"/>
    <w:rsid w:val="00DB0F2B"/>
    <w:rsid w:val="00DB77AB"/>
    <w:rsid w:val="00DC3F7D"/>
    <w:rsid w:val="00DC433B"/>
    <w:rsid w:val="00DC7FCE"/>
    <w:rsid w:val="00DD2A75"/>
    <w:rsid w:val="00DE084C"/>
    <w:rsid w:val="00DE1B70"/>
    <w:rsid w:val="00DF6B65"/>
    <w:rsid w:val="00E053D9"/>
    <w:rsid w:val="00E06DEB"/>
    <w:rsid w:val="00E21F91"/>
    <w:rsid w:val="00E30105"/>
    <w:rsid w:val="00E77AB9"/>
    <w:rsid w:val="00E879B4"/>
    <w:rsid w:val="00EA0253"/>
    <w:rsid w:val="00EA6E0B"/>
    <w:rsid w:val="00ED4788"/>
    <w:rsid w:val="00EE0CE3"/>
    <w:rsid w:val="00F07550"/>
    <w:rsid w:val="00F2053B"/>
    <w:rsid w:val="00F20C15"/>
    <w:rsid w:val="00F270DB"/>
    <w:rsid w:val="00F3053D"/>
    <w:rsid w:val="00F314C2"/>
    <w:rsid w:val="00F34F01"/>
    <w:rsid w:val="00F44C91"/>
    <w:rsid w:val="00F50D68"/>
    <w:rsid w:val="00F54FE2"/>
    <w:rsid w:val="00F959D9"/>
    <w:rsid w:val="00FA5F5F"/>
    <w:rsid w:val="00FB6DC9"/>
    <w:rsid w:val="00FD44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A7354"/>
  <w15:docId w15:val="{701947EF-F147-4357-B63B-E91F5477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4FD"/>
    <w:pPr>
      <w:spacing w:after="0" w:line="240" w:lineRule="auto"/>
    </w:pPr>
    <w:rPr>
      <w:rFonts w:ascii="Times New Roman" w:eastAsia="Times New Roman" w:hAnsi="Times New Roman" w:cs="Times New Roman"/>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A5F5F"/>
    <w:pPr>
      <w:tabs>
        <w:tab w:val="center" w:pos="4252"/>
        <w:tab w:val="right" w:pos="8504"/>
      </w:tabs>
    </w:pPr>
  </w:style>
  <w:style w:type="character" w:customStyle="1" w:styleId="CabealhoChar">
    <w:name w:val="Cabeçalho Char"/>
    <w:basedOn w:val="Fontepargpadro"/>
    <w:link w:val="Cabealho"/>
    <w:uiPriority w:val="99"/>
    <w:rsid w:val="00FA5F5F"/>
  </w:style>
  <w:style w:type="paragraph" w:styleId="Rodap">
    <w:name w:val="footer"/>
    <w:basedOn w:val="Normal"/>
    <w:link w:val="RodapChar"/>
    <w:uiPriority w:val="99"/>
    <w:unhideWhenUsed/>
    <w:rsid w:val="00FA5F5F"/>
    <w:pPr>
      <w:tabs>
        <w:tab w:val="center" w:pos="4252"/>
        <w:tab w:val="right" w:pos="8504"/>
      </w:tabs>
    </w:pPr>
  </w:style>
  <w:style w:type="character" w:customStyle="1" w:styleId="RodapChar">
    <w:name w:val="Rodapé Char"/>
    <w:basedOn w:val="Fontepargpadro"/>
    <w:link w:val="Rodap"/>
    <w:uiPriority w:val="99"/>
    <w:rsid w:val="00FA5F5F"/>
  </w:style>
  <w:style w:type="paragraph" w:styleId="NormalWeb">
    <w:name w:val="Normal (Web)"/>
    <w:basedOn w:val="Normal"/>
    <w:uiPriority w:val="99"/>
    <w:unhideWhenUsed/>
    <w:rsid w:val="008C1BF3"/>
    <w:pPr>
      <w:spacing w:before="100" w:beforeAutospacing="1" w:after="100" w:afterAutospacing="1"/>
    </w:pPr>
  </w:style>
  <w:style w:type="character" w:customStyle="1" w:styleId="apple-converted-space">
    <w:name w:val="apple-converted-space"/>
    <w:basedOn w:val="Fontepargpadro"/>
    <w:rsid w:val="008C1BF3"/>
  </w:style>
  <w:style w:type="character" w:styleId="Hyperlink">
    <w:name w:val="Hyperlink"/>
    <w:basedOn w:val="Fontepargpadro"/>
    <w:uiPriority w:val="99"/>
    <w:unhideWhenUsed/>
    <w:rsid w:val="006714A5"/>
    <w:rPr>
      <w:color w:val="0000FF"/>
      <w:u w:val="single"/>
    </w:rPr>
  </w:style>
  <w:style w:type="paragraph" w:styleId="Textodebalo">
    <w:name w:val="Balloon Text"/>
    <w:basedOn w:val="Normal"/>
    <w:link w:val="TextodebaloChar"/>
    <w:uiPriority w:val="99"/>
    <w:semiHidden/>
    <w:unhideWhenUsed/>
    <w:rsid w:val="00CC2899"/>
    <w:rPr>
      <w:rFonts w:ascii="Tahoma" w:hAnsi="Tahoma" w:cs="Tahoma"/>
      <w:sz w:val="16"/>
      <w:szCs w:val="16"/>
    </w:rPr>
  </w:style>
  <w:style w:type="character" w:customStyle="1" w:styleId="TextodebaloChar">
    <w:name w:val="Texto de balão Char"/>
    <w:basedOn w:val="Fontepargpadro"/>
    <w:link w:val="Textodebalo"/>
    <w:uiPriority w:val="99"/>
    <w:semiHidden/>
    <w:rsid w:val="00CC2899"/>
    <w:rPr>
      <w:rFonts w:ascii="Tahoma" w:hAnsi="Tahoma" w:cs="Tahoma"/>
      <w:sz w:val="16"/>
      <w:szCs w:val="16"/>
    </w:rPr>
  </w:style>
  <w:style w:type="paragraph" w:styleId="PargrafodaLista">
    <w:name w:val="List Paragraph"/>
    <w:basedOn w:val="Normal"/>
    <w:uiPriority w:val="34"/>
    <w:qFormat/>
    <w:rsid w:val="004B2111"/>
    <w:pPr>
      <w:ind w:left="720"/>
      <w:contextualSpacing/>
    </w:pPr>
  </w:style>
  <w:style w:type="paragraph" w:customStyle="1" w:styleId="artigo">
    <w:name w:val="artigo"/>
    <w:basedOn w:val="Normal"/>
    <w:rsid w:val="004B2111"/>
    <w:pPr>
      <w:spacing w:before="100" w:beforeAutospacing="1" w:after="100" w:afterAutospacing="1"/>
    </w:pPr>
  </w:style>
  <w:style w:type="character" w:styleId="MenoPendente">
    <w:name w:val="Unresolved Mention"/>
    <w:basedOn w:val="Fontepargpadro"/>
    <w:uiPriority w:val="99"/>
    <w:semiHidden/>
    <w:unhideWhenUsed/>
    <w:rsid w:val="0008622F"/>
    <w:rPr>
      <w:color w:val="605E5C"/>
      <w:shd w:val="clear" w:color="auto" w:fill="E1DFDD"/>
    </w:rPr>
  </w:style>
  <w:style w:type="table" w:styleId="Tabelacomgrade">
    <w:name w:val="Table Grid"/>
    <w:basedOn w:val="Tabelanormal"/>
    <w:uiPriority w:val="39"/>
    <w:rsid w:val="00DB0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3-nfase1">
    <w:name w:val="Grid Table 3 Accent 1"/>
    <w:basedOn w:val="Tabelanormal"/>
    <w:uiPriority w:val="48"/>
    <w:rsid w:val="00DB09C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deGrade1Clara-nfase5">
    <w:name w:val="Grid Table 1 Light Accent 5"/>
    <w:basedOn w:val="Tabelanormal"/>
    <w:uiPriority w:val="46"/>
    <w:rsid w:val="00DB09C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deGrade4-nfase1">
    <w:name w:val="Grid Table 4 Accent 1"/>
    <w:basedOn w:val="Tabelanormal"/>
    <w:uiPriority w:val="49"/>
    <w:rsid w:val="00DB09C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style01">
    <w:name w:val="fontstyle01"/>
    <w:basedOn w:val="Fontepargpadro"/>
    <w:rsid w:val="00D266FC"/>
    <w:rPr>
      <w:rFonts w:ascii="Times New Roman" w:hAnsi="Times New Roman" w:cs="Times New Roman" w:hint="default"/>
      <w:b w:val="0"/>
      <w:bCs w:val="0"/>
      <w:i w:val="0"/>
      <w:iCs w:val="0"/>
      <w:color w:val="000000"/>
      <w:sz w:val="24"/>
      <w:szCs w:val="24"/>
    </w:rPr>
  </w:style>
  <w:style w:type="character" w:customStyle="1" w:styleId="fontstyle21">
    <w:name w:val="fontstyle21"/>
    <w:basedOn w:val="Fontepargpadro"/>
    <w:rsid w:val="00D266FC"/>
    <w:rPr>
      <w:rFonts w:ascii="Times New Roman" w:hAnsi="Times New Roman" w:cs="Times New Roman" w:hint="default"/>
      <w:b w:val="0"/>
      <w:bCs w:val="0"/>
      <w:i/>
      <w:iCs/>
      <w:color w:val="000000"/>
      <w:sz w:val="24"/>
      <w:szCs w:val="24"/>
    </w:rPr>
  </w:style>
  <w:style w:type="table" w:customStyle="1" w:styleId="PlainTable21">
    <w:name w:val="Plain Table 21"/>
    <w:basedOn w:val="Tabelanormal"/>
    <w:uiPriority w:val="42"/>
    <w:rsid w:val="00D266FC"/>
    <w:pPr>
      <w:spacing w:after="0" w:line="240" w:lineRule="auto"/>
    </w:pPr>
    <w:rPr>
      <w:rFonts w:eastAsiaTheme="minorHAnsi"/>
      <w:sz w:val="24"/>
      <w:szCs w:val="24"/>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rio">
    <w:name w:val="annotation reference"/>
    <w:basedOn w:val="Fontepargpadro"/>
    <w:uiPriority w:val="99"/>
    <w:semiHidden/>
    <w:unhideWhenUsed/>
    <w:rsid w:val="00D266FC"/>
    <w:rPr>
      <w:sz w:val="16"/>
      <w:szCs w:val="16"/>
    </w:rPr>
  </w:style>
  <w:style w:type="paragraph" w:styleId="Textodecomentrio">
    <w:name w:val="annotation text"/>
    <w:basedOn w:val="Normal"/>
    <w:link w:val="TextodecomentrioChar"/>
    <w:uiPriority w:val="99"/>
    <w:semiHidden/>
    <w:unhideWhenUsed/>
    <w:rsid w:val="00D266FC"/>
    <w:rPr>
      <w:rFonts w:eastAsiaTheme="minorHAnsi"/>
      <w:sz w:val="20"/>
      <w:szCs w:val="20"/>
    </w:rPr>
  </w:style>
  <w:style w:type="character" w:customStyle="1" w:styleId="TextodecomentrioChar">
    <w:name w:val="Texto de comentário Char"/>
    <w:basedOn w:val="Fontepargpadro"/>
    <w:link w:val="Textodecomentrio"/>
    <w:uiPriority w:val="99"/>
    <w:semiHidden/>
    <w:rsid w:val="00D266FC"/>
    <w:rPr>
      <w:rFonts w:eastAsiaTheme="minorHAnsi"/>
      <w:sz w:val="20"/>
      <w:szCs w:val="20"/>
      <w:lang w:eastAsia="en-US"/>
    </w:rPr>
  </w:style>
  <w:style w:type="paragraph" w:styleId="Textodenotaderodap">
    <w:name w:val="footnote text"/>
    <w:basedOn w:val="Normal"/>
    <w:link w:val="TextodenotaderodapChar"/>
    <w:uiPriority w:val="99"/>
    <w:semiHidden/>
    <w:unhideWhenUsed/>
    <w:rsid w:val="00D266FC"/>
    <w:rPr>
      <w:rFonts w:eastAsiaTheme="minorHAnsi"/>
      <w:sz w:val="20"/>
      <w:szCs w:val="20"/>
    </w:rPr>
  </w:style>
  <w:style w:type="character" w:customStyle="1" w:styleId="TextodenotaderodapChar">
    <w:name w:val="Texto de nota de rodapé Char"/>
    <w:basedOn w:val="Fontepargpadro"/>
    <w:link w:val="Textodenotaderodap"/>
    <w:uiPriority w:val="99"/>
    <w:semiHidden/>
    <w:rsid w:val="00D266FC"/>
    <w:rPr>
      <w:rFonts w:eastAsiaTheme="minorHAnsi"/>
      <w:sz w:val="20"/>
      <w:szCs w:val="20"/>
      <w:lang w:eastAsia="en-US"/>
    </w:rPr>
  </w:style>
  <w:style w:type="character" w:styleId="Refdenotaderodap">
    <w:name w:val="footnote reference"/>
    <w:basedOn w:val="Fontepargpadro"/>
    <w:uiPriority w:val="99"/>
    <w:semiHidden/>
    <w:unhideWhenUsed/>
    <w:rsid w:val="00D266FC"/>
    <w:rPr>
      <w:vertAlign w:val="superscript"/>
    </w:rPr>
  </w:style>
  <w:style w:type="character" w:styleId="Forte">
    <w:name w:val="Strong"/>
    <w:basedOn w:val="Fontepargpadro"/>
    <w:uiPriority w:val="22"/>
    <w:qFormat/>
    <w:rsid w:val="00D266FC"/>
    <w:rPr>
      <w:b/>
      <w:bCs/>
    </w:rPr>
  </w:style>
  <w:style w:type="paragraph" w:customStyle="1" w:styleId="Normal1">
    <w:name w:val="Normal1"/>
    <w:rsid w:val="00647C4E"/>
    <w:pPr>
      <w:spacing w:after="0"/>
    </w:pPr>
    <w:rPr>
      <w:rFonts w:ascii="Arial" w:eastAsia="Arial" w:hAnsi="Arial" w:cs="Arial"/>
    </w:rPr>
  </w:style>
  <w:style w:type="character" w:customStyle="1" w:styleId="ref-title">
    <w:name w:val="ref-title"/>
    <w:basedOn w:val="Fontepargpadro"/>
    <w:rsid w:val="00647C4E"/>
  </w:style>
  <w:style w:type="character" w:customStyle="1" w:styleId="ref-journal">
    <w:name w:val="ref-journal"/>
    <w:basedOn w:val="Fontepargpadro"/>
    <w:rsid w:val="00647C4E"/>
  </w:style>
  <w:style w:type="character" w:customStyle="1" w:styleId="ref-vol">
    <w:name w:val="ref-vol"/>
    <w:basedOn w:val="Fontepargpadro"/>
    <w:rsid w:val="00647C4E"/>
  </w:style>
  <w:style w:type="paragraph" w:styleId="Corpodetexto">
    <w:name w:val="Body Text"/>
    <w:basedOn w:val="Normal"/>
    <w:link w:val="CorpodetextoChar"/>
    <w:uiPriority w:val="1"/>
    <w:unhideWhenUsed/>
    <w:qFormat/>
    <w:rsid w:val="00647C4E"/>
    <w:pPr>
      <w:widowControl w:val="0"/>
      <w:autoSpaceDE w:val="0"/>
      <w:autoSpaceDN w:val="0"/>
    </w:pPr>
    <w:rPr>
      <w:rFonts w:ascii="Arial" w:eastAsia="Arial" w:hAnsi="Arial" w:cs="Arial"/>
      <w:lang w:val="pt-PT"/>
    </w:rPr>
  </w:style>
  <w:style w:type="character" w:customStyle="1" w:styleId="CorpodetextoChar">
    <w:name w:val="Corpo de texto Char"/>
    <w:basedOn w:val="Fontepargpadro"/>
    <w:link w:val="Corpodetexto"/>
    <w:uiPriority w:val="1"/>
    <w:rsid w:val="00647C4E"/>
    <w:rPr>
      <w:rFonts w:ascii="Arial" w:eastAsia="Arial" w:hAnsi="Arial" w:cs="Arial"/>
      <w:sz w:val="24"/>
      <w:szCs w:val="24"/>
      <w:lang w:val="pt-PT" w:eastAsia="en-US"/>
    </w:rPr>
  </w:style>
  <w:style w:type="character" w:customStyle="1" w:styleId="mixed-citation">
    <w:name w:val="mixed-citation"/>
    <w:basedOn w:val="Fontepargpadro"/>
    <w:rsid w:val="00647C4E"/>
  </w:style>
  <w:style w:type="table" w:styleId="TabeladeLista4-nfase1">
    <w:name w:val="List Table 4 Accent 1"/>
    <w:basedOn w:val="Tabelanormal"/>
    <w:uiPriority w:val="49"/>
    <w:rsid w:val="00AF3B5F"/>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Grade4-nfase5">
    <w:name w:val="Grid Table 4 Accent 5"/>
    <w:basedOn w:val="Tabelanormal"/>
    <w:uiPriority w:val="49"/>
    <w:rsid w:val="007E0F4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Semlista"/>
    <w:uiPriority w:val="99"/>
    <w:semiHidden/>
    <w:unhideWhenUsed/>
    <w:rsid w:val="00FB6DC9"/>
  </w:style>
  <w:style w:type="character" w:customStyle="1" w:styleId="FollowedHyperlink1">
    <w:name w:val="FollowedHyperlink1"/>
    <w:basedOn w:val="Fontepargpadro"/>
    <w:uiPriority w:val="99"/>
    <w:semiHidden/>
    <w:unhideWhenUsed/>
    <w:rsid w:val="00FB6DC9"/>
    <w:rPr>
      <w:color w:val="954F72"/>
      <w:u w:val="single"/>
    </w:rPr>
  </w:style>
  <w:style w:type="table" w:customStyle="1" w:styleId="TableGrid1">
    <w:name w:val="Table Grid1"/>
    <w:basedOn w:val="Tabelanormal"/>
    <w:next w:val="Tabelacomgrade"/>
    <w:uiPriority w:val="39"/>
    <w:rsid w:val="00FB6DC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elanormal"/>
    <w:next w:val="TabeladeGrade2-nfase1"/>
    <w:uiPriority w:val="47"/>
    <w:rsid w:val="00FB6DC9"/>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elanormal"/>
    <w:next w:val="TabeladeGrade4-nfase1"/>
    <w:uiPriority w:val="49"/>
    <w:rsid w:val="00FB6DC9"/>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elanormal"/>
    <w:next w:val="TabeladeGrade5Escura-nfase1"/>
    <w:uiPriority w:val="50"/>
    <w:rsid w:val="00FB6DC9"/>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1">
    <w:name w:val="Grid Table 5 Dark - Accent 51"/>
    <w:basedOn w:val="Tabelanormal"/>
    <w:next w:val="TabeladeGrade5Escura-nfase5"/>
    <w:uiPriority w:val="50"/>
    <w:rsid w:val="00FB6DC9"/>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
    <w:name w:val="List Table 3 - Accent 11"/>
    <w:basedOn w:val="Tabelanormal"/>
    <w:next w:val="TabeladeLista3-nfase1"/>
    <w:uiPriority w:val="48"/>
    <w:rsid w:val="00FB6DC9"/>
    <w:pPr>
      <w:spacing w:after="0" w:line="240" w:lineRule="auto"/>
    </w:pPr>
    <w:rPr>
      <w:rFonts w:eastAsia="Calibri"/>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HiperlinkVisitado">
    <w:name w:val="FollowedHyperlink"/>
    <w:basedOn w:val="Fontepargpadro"/>
    <w:uiPriority w:val="99"/>
    <w:semiHidden/>
    <w:unhideWhenUsed/>
    <w:rsid w:val="00FB6DC9"/>
    <w:rPr>
      <w:color w:val="800080" w:themeColor="followedHyperlink"/>
      <w:u w:val="single"/>
    </w:rPr>
  </w:style>
  <w:style w:type="table" w:styleId="TabeladeGrade2-nfase1">
    <w:name w:val="Grid Table 2 Accent 1"/>
    <w:basedOn w:val="Tabelanormal"/>
    <w:uiPriority w:val="47"/>
    <w:rsid w:val="00FB6DC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Grade5Escura-nfase1">
    <w:name w:val="Grid Table 5 Dark Accent 1"/>
    <w:basedOn w:val="Tabelanormal"/>
    <w:uiPriority w:val="50"/>
    <w:rsid w:val="00FB6D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deGrade5Escura-nfase5">
    <w:name w:val="Grid Table 5 Dark Accent 5"/>
    <w:basedOn w:val="Tabelanormal"/>
    <w:uiPriority w:val="50"/>
    <w:rsid w:val="00FB6D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deLista3-nfase1">
    <w:name w:val="List Table 3 Accent 1"/>
    <w:basedOn w:val="Tabelanormal"/>
    <w:uiPriority w:val="48"/>
    <w:rsid w:val="00FB6DC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nombre">
    <w:name w:val="nombre"/>
    <w:basedOn w:val="Fontepargpadro"/>
    <w:rsid w:val="00C744FD"/>
  </w:style>
  <w:style w:type="character" w:customStyle="1" w:styleId="apellidos">
    <w:name w:val="apellidos"/>
    <w:basedOn w:val="Fontepargpadro"/>
    <w:rsid w:val="00C744FD"/>
  </w:style>
  <w:style w:type="character" w:customStyle="1" w:styleId="institucion">
    <w:name w:val="institucion"/>
    <w:basedOn w:val="Fontepargpadro"/>
    <w:rsid w:val="00C744FD"/>
  </w:style>
  <w:style w:type="character" w:customStyle="1" w:styleId="pais">
    <w:name w:val="pais"/>
    <w:basedOn w:val="Fontepargpadro"/>
    <w:rsid w:val="00C744FD"/>
  </w:style>
  <w:style w:type="paragraph" w:customStyle="1" w:styleId="art-title">
    <w:name w:val="art-title"/>
    <w:basedOn w:val="Normal"/>
    <w:rsid w:val="00C744FD"/>
    <w:pPr>
      <w:spacing w:before="100" w:beforeAutospacing="1" w:after="100" w:afterAutospacing="1"/>
    </w:pPr>
  </w:style>
  <w:style w:type="paragraph" w:customStyle="1" w:styleId="numero">
    <w:name w:val="numero"/>
    <w:basedOn w:val="Normal"/>
    <w:rsid w:val="00C744FD"/>
    <w:pPr>
      <w:spacing w:before="100" w:beforeAutospacing="1" w:after="100" w:afterAutospacing="1"/>
    </w:pPr>
  </w:style>
  <w:style w:type="character" w:customStyle="1" w:styleId="journal">
    <w:name w:val="journal"/>
    <w:basedOn w:val="Fontepargpadro"/>
    <w:rsid w:val="00C744FD"/>
  </w:style>
  <w:style w:type="character" w:customStyle="1" w:styleId="issue">
    <w:name w:val="issue"/>
    <w:basedOn w:val="Fontepargpadro"/>
    <w:rsid w:val="00C744FD"/>
  </w:style>
  <w:style w:type="character" w:customStyle="1" w:styleId="volume">
    <w:name w:val="volume"/>
    <w:basedOn w:val="Fontepargpadro"/>
    <w:rsid w:val="00C744FD"/>
  </w:style>
  <w:style w:type="character" w:customStyle="1" w:styleId="year">
    <w:name w:val="year"/>
    <w:basedOn w:val="Fontepargpadro"/>
    <w:rsid w:val="00C744FD"/>
  </w:style>
  <w:style w:type="character" w:styleId="Nmerodepgina">
    <w:name w:val="page number"/>
    <w:basedOn w:val="Fontepargpadro"/>
    <w:uiPriority w:val="99"/>
    <w:semiHidden/>
    <w:unhideWhenUsed/>
    <w:rsid w:val="00E87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4075">
      <w:bodyDiv w:val="1"/>
      <w:marLeft w:val="0"/>
      <w:marRight w:val="0"/>
      <w:marTop w:val="0"/>
      <w:marBottom w:val="0"/>
      <w:divBdr>
        <w:top w:val="none" w:sz="0" w:space="0" w:color="auto"/>
        <w:left w:val="none" w:sz="0" w:space="0" w:color="auto"/>
        <w:bottom w:val="none" w:sz="0" w:space="0" w:color="auto"/>
        <w:right w:val="none" w:sz="0" w:space="0" w:color="auto"/>
      </w:divBdr>
    </w:div>
    <w:div w:id="182403554">
      <w:bodyDiv w:val="1"/>
      <w:marLeft w:val="0"/>
      <w:marRight w:val="0"/>
      <w:marTop w:val="0"/>
      <w:marBottom w:val="0"/>
      <w:divBdr>
        <w:top w:val="none" w:sz="0" w:space="0" w:color="auto"/>
        <w:left w:val="none" w:sz="0" w:space="0" w:color="auto"/>
        <w:bottom w:val="none" w:sz="0" w:space="0" w:color="auto"/>
        <w:right w:val="none" w:sz="0" w:space="0" w:color="auto"/>
      </w:divBdr>
    </w:div>
    <w:div w:id="188616104">
      <w:bodyDiv w:val="1"/>
      <w:marLeft w:val="0"/>
      <w:marRight w:val="0"/>
      <w:marTop w:val="0"/>
      <w:marBottom w:val="0"/>
      <w:divBdr>
        <w:top w:val="none" w:sz="0" w:space="0" w:color="auto"/>
        <w:left w:val="none" w:sz="0" w:space="0" w:color="auto"/>
        <w:bottom w:val="none" w:sz="0" w:space="0" w:color="auto"/>
        <w:right w:val="none" w:sz="0" w:space="0" w:color="auto"/>
      </w:divBdr>
    </w:div>
    <w:div w:id="245265787">
      <w:bodyDiv w:val="1"/>
      <w:marLeft w:val="0"/>
      <w:marRight w:val="0"/>
      <w:marTop w:val="0"/>
      <w:marBottom w:val="0"/>
      <w:divBdr>
        <w:top w:val="none" w:sz="0" w:space="0" w:color="auto"/>
        <w:left w:val="none" w:sz="0" w:space="0" w:color="auto"/>
        <w:bottom w:val="none" w:sz="0" w:space="0" w:color="auto"/>
        <w:right w:val="none" w:sz="0" w:space="0" w:color="auto"/>
      </w:divBdr>
    </w:div>
    <w:div w:id="276065972">
      <w:bodyDiv w:val="1"/>
      <w:marLeft w:val="0"/>
      <w:marRight w:val="0"/>
      <w:marTop w:val="0"/>
      <w:marBottom w:val="0"/>
      <w:divBdr>
        <w:top w:val="none" w:sz="0" w:space="0" w:color="auto"/>
        <w:left w:val="none" w:sz="0" w:space="0" w:color="auto"/>
        <w:bottom w:val="none" w:sz="0" w:space="0" w:color="auto"/>
        <w:right w:val="none" w:sz="0" w:space="0" w:color="auto"/>
      </w:divBdr>
    </w:div>
    <w:div w:id="394548366">
      <w:bodyDiv w:val="1"/>
      <w:marLeft w:val="0"/>
      <w:marRight w:val="0"/>
      <w:marTop w:val="0"/>
      <w:marBottom w:val="0"/>
      <w:divBdr>
        <w:top w:val="none" w:sz="0" w:space="0" w:color="auto"/>
        <w:left w:val="none" w:sz="0" w:space="0" w:color="auto"/>
        <w:bottom w:val="none" w:sz="0" w:space="0" w:color="auto"/>
        <w:right w:val="none" w:sz="0" w:space="0" w:color="auto"/>
      </w:divBdr>
    </w:div>
    <w:div w:id="429542350">
      <w:bodyDiv w:val="1"/>
      <w:marLeft w:val="0"/>
      <w:marRight w:val="0"/>
      <w:marTop w:val="0"/>
      <w:marBottom w:val="0"/>
      <w:divBdr>
        <w:top w:val="none" w:sz="0" w:space="0" w:color="auto"/>
        <w:left w:val="none" w:sz="0" w:space="0" w:color="auto"/>
        <w:bottom w:val="none" w:sz="0" w:space="0" w:color="auto"/>
        <w:right w:val="none" w:sz="0" w:space="0" w:color="auto"/>
      </w:divBdr>
      <w:divsChild>
        <w:div w:id="2088768434">
          <w:marLeft w:val="0"/>
          <w:marRight w:val="0"/>
          <w:marTop w:val="0"/>
          <w:marBottom w:val="0"/>
          <w:divBdr>
            <w:top w:val="none" w:sz="0" w:space="0" w:color="auto"/>
            <w:left w:val="none" w:sz="0" w:space="0" w:color="auto"/>
            <w:bottom w:val="none" w:sz="0" w:space="0" w:color="auto"/>
            <w:right w:val="none" w:sz="0" w:space="0" w:color="auto"/>
          </w:divBdr>
        </w:div>
      </w:divsChild>
    </w:div>
    <w:div w:id="456026299">
      <w:bodyDiv w:val="1"/>
      <w:marLeft w:val="0"/>
      <w:marRight w:val="0"/>
      <w:marTop w:val="0"/>
      <w:marBottom w:val="0"/>
      <w:divBdr>
        <w:top w:val="none" w:sz="0" w:space="0" w:color="auto"/>
        <w:left w:val="none" w:sz="0" w:space="0" w:color="auto"/>
        <w:bottom w:val="none" w:sz="0" w:space="0" w:color="auto"/>
        <w:right w:val="none" w:sz="0" w:space="0" w:color="auto"/>
      </w:divBdr>
    </w:div>
    <w:div w:id="528372080">
      <w:bodyDiv w:val="1"/>
      <w:marLeft w:val="0"/>
      <w:marRight w:val="0"/>
      <w:marTop w:val="0"/>
      <w:marBottom w:val="0"/>
      <w:divBdr>
        <w:top w:val="none" w:sz="0" w:space="0" w:color="auto"/>
        <w:left w:val="none" w:sz="0" w:space="0" w:color="auto"/>
        <w:bottom w:val="none" w:sz="0" w:space="0" w:color="auto"/>
        <w:right w:val="none" w:sz="0" w:space="0" w:color="auto"/>
      </w:divBdr>
    </w:div>
    <w:div w:id="797836416">
      <w:bodyDiv w:val="1"/>
      <w:marLeft w:val="0"/>
      <w:marRight w:val="0"/>
      <w:marTop w:val="0"/>
      <w:marBottom w:val="0"/>
      <w:divBdr>
        <w:top w:val="none" w:sz="0" w:space="0" w:color="auto"/>
        <w:left w:val="none" w:sz="0" w:space="0" w:color="auto"/>
        <w:bottom w:val="none" w:sz="0" w:space="0" w:color="auto"/>
        <w:right w:val="none" w:sz="0" w:space="0" w:color="auto"/>
      </w:divBdr>
    </w:div>
    <w:div w:id="866256867">
      <w:bodyDiv w:val="1"/>
      <w:marLeft w:val="0"/>
      <w:marRight w:val="0"/>
      <w:marTop w:val="0"/>
      <w:marBottom w:val="0"/>
      <w:divBdr>
        <w:top w:val="none" w:sz="0" w:space="0" w:color="auto"/>
        <w:left w:val="none" w:sz="0" w:space="0" w:color="auto"/>
        <w:bottom w:val="none" w:sz="0" w:space="0" w:color="auto"/>
        <w:right w:val="none" w:sz="0" w:space="0" w:color="auto"/>
      </w:divBdr>
      <w:divsChild>
        <w:div w:id="595290353">
          <w:marLeft w:val="0"/>
          <w:marRight w:val="0"/>
          <w:marTop w:val="0"/>
          <w:marBottom w:val="0"/>
          <w:divBdr>
            <w:top w:val="none" w:sz="0" w:space="0" w:color="auto"/>
            <w:left w:val="none" w:sz="0" w:space="0" w:color="auto"/>
            <w:bottom w:val="none" w:sz="0" w:space="0" w:color="auto"/>
            <w:right w:val="none" w:sz="0" w:space="0" w:color="auto"/>
          </w:divBdr>
          <w:divsChild>
            <w:div w:id="2070961025">
              <w:marLeft w:val="0"/>
              <w:marRight w:val="0"/>
              <w:marTop w:val="0"/>
              <w:marBottom w:val="0"/>
              <w:divBdr>
                <w:top w:val="none" w:sz="0" w:space="0" w:color="auto"/>
                <w:left w:val="none" w:sz="0" w:space="0" w:color="auto"/>
                <w:bottom w:val="none" w:sz="0" w:space="0" w:color="auto"/>
                <w:right w:val="none" w:sz="0" w:space="0" w:color="auto"/>
              </w:divBdr>
            </w:div>
            <w:div w:id="267078275">
              <w:marLeft w:val="0"/>
              <w:marRight w:val="0"/>
              <w:marTop w:val="0"/>
              <w:marBottom w:val="0"/>
              <w:divBdr>
                <w:top w:val="none" w:sz="0" w:space="0" w:color="auto"/>
                <w:left w:val="none" w:sz="0" w:space="0" w:color="auto"/>
                <w:bottom w:val="none" w:sz="0" w:space="0" w:color="auto"/>
                <w:right w:val="none" w:sz="0" w:space="0" w:color="auto"/>
              </w:divBdr>
            </w:div>
          </w:divsChild>
        </w:div>
        <w:div w:id="9645360">
          <w:marLeft w:val="0"/>
          <w:marRight w:val="0"/>
          <w:marTop w:val="0"/>
          <w:marBottom w:val="0"/>
          <w:divBdr>
            <w:top w:val="none" w:sz="0" w:space="0" w:color="auto"/>
            <w:left w:val="none" w:sz="0" w:space="0" w:color="auto"/>
            <w:bottom w:val="none" w:sz="0" w:space="0" w:color="auto"/>
            <w:right w:val="none" w:sz="0" w:space="0" w:color="auto"/>
          </w:divBdr>
          <w:divsChild>
            <w:div w:id="39518537">
              <w:marLeft w:val="0"/>
              <w:marRight w:val="0"/>
              <w:marTop w:val="0"/>
              <w:marBottom w:val="0"/>
              <w:divBdr>
                <w:top w:val="none" w:sz="0" w:space="0" w:color="auto"/>
                <w:left w:val="none" w:sz="0" w:space="0" w:color="auto"/>
                <w:bottom w:val="none" w:sz="0" w:space="0" w:color="auto"/>
                <w:right w:val="none" w:sz="0" w:space="0" w:color="auto"/>
              </w:divBdr>
            </w:div>
            <w:div w:id="1579435650">
              <w:marLeft w:val="0"/>
              <w:marRight w:val="0"/>
              <w:marTop w:val="0"/>
              <w:marBottom w:val="0"/>
              <w:divBdr>
                <w:top w:val="none" w:sz="0" w:space="0" w:color="auto"/>
                <w:left w:val="none" w:sz="0" w:space="0" w:color="auto"/>
                <w:bottom w:val="none" w:sz="0" w:space="0" w:color="auto"/>
                <w:right w:val="none" w:sz="0" w:space="0" w:color="auto"/>
              </w:divBdr>
            </w:div>
          </w:divsChild>
        </w:div>
        <w:div w:id="784932364">
          <w:marLeft w:val="0"/>
          <w:marRight w:val="0"/>
          <w:marTop w:val="0"/>
          <w:marBottom w:val="0"/>
          <w:divBdr>
            <w:top w:val="none" w:sz="0" w:space="0" w:color="auto"/>
            <w:left w:val="none" w:sz="0" w:space="0" w:color="auto"/>
            <w:bottom w:val="none" w:sz="0" w:space="0" w:color="auto"/>
            <w:right w:val="none" w:sz="0" w:space="0" w:color="auto"/>
          </w:divBdr>
          <w:divsChild>
            <w:div w:id="225798002">
              <w:marLeft w:val="0"/>
              <w:marRight w:val="0"/>
              <w:marTop w:val="0"/>
              <w:marBottom w:val="0"/>
              <w:divBdr>
                <w:top w:val="none" w:sz="0" w:space="0" w:color="auto"/>
                <w:left w:val="none" w:sz="0" w:space="0" w:color="auto"/>
                <w:bottom w:val="none" w:sz="0" w:space="0" w:color="auto"/>
                <w:right w:val="none" w:sz="0" w:space="0" w:color="auto"/>
              </w:divBdr>
            </w:div>
            <w:div w:id="6158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99089">
      <w:bodyDiv w:val="1"/>
      <w:marLeft w:val="0"/>
      <w:marRight w:val="0"/>
      <w:marTop w:val="0"/>
      <w:marBottom w:val="0"/>
      <w:divBdr>
        <w:top w:val="none" w:sz="0" w:space="0" w:color="auto"/>
        <w:left w:val="none" w:sz="0" w:space="0" w:color="auto"/>
        <w:bottom w:val="none" w:sz="0" w:space="0" w:color="auto"/>
        <w:right w:val="none" w:sz="0" w:space="0" w:color="auto"/>
      </w:divBdr>
    </w:div>
    <w:div w:id="997809967">
      <w:bodyDiv w:val="1"/>
      <w:marLeft w:val="0"/>
      <w:marRight w:val="0"/>
      <w:marTop w:val="0"/>
      <w:marBottom w:val="0"/>
      <w:divBdr>
        <w:top w:val="none" w:sz="0" w:space="0" w:color="auto"/>
        <w:left w:val="none" w:sz="0" w:space="0" w:color="auto"/>
        <w:bottom w:val="none" w:sz="0" w:space="0" w:color="auto"/>
        <w:right w:val="none" w:sz="0" w:space="0" w:color="auto"/>
      </w:divBdr>
    </w:div>
    <w:div w:id="1007825076">
      <w:bodyDiv w:val="1"/>
      <w:marLeft w:val="0"/>
      <w:marRight w:val="0"/>
      <w:marTop w:val="0"/>
      <w:marBottom w:val="0"/>
      <w:divBdr>
        <w:top w:val="none" w:sz="0" w:space="0" w:color="auto"/>
        <w:left w:val="none" w:sz="0" w:space="0" w:color="auto"/>
        <w:bottom w:val="none" w:sz="0" w:space="0" w:color="auto"/>
        <w:right w:val="none" w:sz="0" w:space="0" w:color="auto"/>
      </w:divBdr>
    </w:div>
    <w:div w:id="1019426564">
      <w:bodyDiv w:val="1"/>
      <w:marLeft w:val="0"/>
      <w:marRight w:val="0"/>
      <w:marTop w:val="0"/>
      <w:marBottom w:val="0"/>
      <w:divBdr>
        <w:top w:val="none" w:sz="0" w:space="0" w:color="auto"/>
        <w:left w:val="none" w:sz="0" w:space="0" w:color="auto"/>
        <w:bottom w:val="none" w:sz="0" w:space="0" w:color="auto"/>
        <w:right w:val="none" w:sz="0" w:space="0" w:color="auto"/>
      </w:divBdr>
    </w:div>
    <w:div w:id="1025598052">
      <w:bodyDiv w:val="1"/>
      <w:marLeft w:val="0"/>
      <w:marRight w:val="0"/>
      <w:marTop w:val="0"/>
      <w:marBottom w:val="0"/>
      <w:divBdr>
        <w:top w:val="none" w:sz="0" w:space="0" w:color="auto"/>
        <w:left w:val="none" w:sz="0" w:space="0" w:color="auto"/>
        <w:bottom w:val="none" w:sz="0" w:space="0" w:color="auto"/>
        <w:right w:val="none" w:sz="0" w:space="0" w:color="auto"/>
      </w:divBdr>
    </w:div>
    <w:div w:id="1110587266">
      <w:bodyDiv w:val="1"/>
      <w:marLeft w:val="0"/>
      <w:marRight w:val="0"/>
      <w:marTop w:val="0"/>
      <w:marBottom w:val="0"/>
      <w:divBdr>
        <w:top w:val="none" w:sz="0" w:space="0" w:color="auto"/>
        <w:left w:val="none" w:sz="0" w:space="0" w:color="auto"/>
        <w:bottom w:val="none" w:sz="0" w:space="0" w:color="auto"/>
        <w:right w:val="none" w:sz="0" w:space="0" w:color="auto"/>
      </w:divBdr>
    </w:div>
    <w:div w:id="1293711103">
      <w:bodyDiv w:val="1"/>
      <w:marLeft w:val="0"/>
      <w:marRight w:val="0"/>
      <w:marTop w:val="0"/>
      <w:marBottom w:val="0"/>
      <w:divBdr>
        <w:top w:val="none" w:sz="0" w:space="0" w:color="auto"/>
        <w:left w:val="none" w:sz="0" w:space="0" w:color="auto"/>
        <w:bottom w:val="none" w:sz="0" w:space="0" w:color="auto"/>
        <w:right w:val="none" w:sz="0" w:space="0" w:color="auto"/>
      </w:divBdr>
    </w:div>
    <w:div w:id="1612009412">
      <w:bodyDiv w:val="1"/>
      <w:marLeft w:val="0"/>
      <w:marRight w:val="0"/>
      <w:marTop w:val="0"/>
      <w:marBottom w:val="0"/>
      <w:divBdr>
        <w:top w:val="none" w:sz="0" w:space="0" w:color="auto"/>
        <w:left w:val="none" w:sz="0" w:space="0" w:color="auto"/>
        <w:bottom w:val="none" w:sz="0" w:space="0" w:color="auto"/>
        <w:right w:val="none" w:sz="0" w:space="0" w:color="auto"/>
      </w:divBdr>
    </w:div>
    <w:div w:id="1650816693">
      <w:bodyDiv w:val="1"/>
      <w:marLeft w:val="0"/>
      <w:marRight w:val="0"/>
      <w:marTop w:val="0"/>
      <w:marBottom w:val="0"/>
      <w:divBdr>
        <w:top w:val="none" w:sz="0" w:space="0" w:color="auto"/>
        <w:left w:val="none" w:sz="0" w:space="0" w:color="auto"/>
        <w:bottom w:val="none" w:sz="0" w:space="0" w:color="auto"/>
        <w:right w:val="none" w:sz="0" w:space="0" w:color="auto"/>
      </w:divBdr>
    </w:div>
    <w:div w:id="1734738430">
      <w:bodyDiv w:val="1"/>
      <w:marLeft w:val="0"/>
      <w:marRight w:val="0"/>
      <w:marTop w:val="0"/>
      <w:marBottom w:val="0"/>
      <w:divBdr>
        <w:top w:val="none" w:sz="0" w:space="0" w:color="auto"/>
        <w:left w:val="none" w:sz="0" w:space="0" w:color="auto"/>
        <w:bottom w:val="none" w:sz="0" w:space="0" w:color="auto"/>
        <w:right w:val="none" w:sz="0" w:space="0" w:color="auto"/>
      </w:divBdr>
    </w:div>
    <w:div w:id="1875725636">
      <w:bodyDiv w:val="1"/>
      <w:marLeft w:val="0"/>
      <w:marRight w:val="0"/>
      <w:marTop w:val="0"/>
      <w:marBottom w:val="0"/>
      <w:divBdr>
        <w:top w:val="none" w:sz="0" w:space="0" w:color="auto"/>
        <w:left w:val="none" w:sz="0" w:space="0" w:color="auto"/>
        <w:bottom w:val="none" w:sz="0" w:space="0" w:color="auto"/>
        <w:right w:val="none" w:sz="0" w:space="0" w:color="auto"/>
      </w:divBdr>
    </w:div>
    <w:div w:id="190934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elho.saude.gov.br/comites-de-etica-em-pesquisa-conep?view=default" TargetMode="External"/><Relationship Id="rId18" Type="http://schemas.openxmlformats.org/officeDocument/2006/relationships/hyperlink" Target="https://doi.org/10.17226/24615" TargetMode="External"/><Relationship Id="rId26" Type="http://schemas.openxmlformats.org/officeDocument/2006/relationships/hyperlink" Target="https://www.iqvia.com/-/media/quintilesims/pdfs/accesspoint/quintilesims-rwi-accesspoint-may2017.pdf" TargetMode="External"/><Relationship Id="rId39" Type="http://schemas.openxmlformats.org/officeDocument/2006/relationships/hyperlink" Target="https://www.grandviewresearch.com/industry-analysis/pharmaceutical-manufacturing-market" TargetMode="External"/><Relationship Id="rId21" Type="http://schemas.openxmlformats.org/officeDocument/2006/relationships/hyperlink" Target="https://www.who.int/health-topics/clinical-trials" TargetMode="External"/><Relationship Id="rId34" Type="http://schemas.openxmlformats.org/officeDocument/2006/relationships/hyperlink" Target="http://portal.anvisa.gov.br/resultado-de-busca?p_p_id=101&amp;p_p_lifecycle=0&amp;p_p_state=maximized&amp;p_p_mode=view&amp;p_p_col_id=column-1&amp;p_p_col_count=1&amp;_101_struts_action=%2Fasset_publisher%2Fview_content&amp;_101_assetEntryId=2987647&amp;_101_type=content&amp;_101_groupId=219201&amp;_101_urlTitle=pacientes-com-gota-ganham-novo-tratamento&amp;redirect=http%3A%2F%2Fportal.anvisa.gov.br%2Fresultado-de-busca%3Fp_p_id%3D3%26p_p_lifecycle%3D0%26p_p_state%3Dnormal%26p_p_mode%3Dview%26p_p_col_id%3Dcolumn-1%26p_p_col_count%3D1%26_3_groupId%3D0%26_3_keywords%3Dzurampic%26_3_cur%3D1%26_3_struts_action%3D%252Fsearch%252Fsearch%26_3_format%3D%26_3_formDate%3D1441824476958&amp;inheritRedirect=true" TargetMode="External"/><Relationship Id="rId42" Type="http://schemas.openxmlformats.org/officeDocument/2006/relationships/hyperlink" Target="https://www.statista.com/topics/1764/global-pharmaceutical-industr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s://www.fda.gov/about-fda/fdas-evolving-regulatory-powers/milestones-us-food-and-drug-law-history" TargetMode="External"/><Relationship Id="rId29" Type="http://schemas.openxmlformats.org/officeDocument/2006/relationships/image" Target="media/image6.png"/><Relationship Id="rId41" Type="http://schemas.openxmlformats.org/officeDocument/2006/relationships/hyperlink" Target="https://sindusfarma.org.br/uploads/Publicacoes/Perfil_IF2020_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iqvia.com/-/media/quintilesims/pdfs/qims_breaking_new_ground_with_rwe_whitepaper.pdf" TargetMode="External"/><Relationship Id="rId32" Type="http://schemas.openxmlformats.org/officeDocument/2006/relationships/hyperlink" Target="http://portal.anvisa.gov.br/resultado-de-busca?p_p_id=101&amp;p_p_lifecycle=0&amp;p_p_state=maximized&amp;p_p_mode=view&amp;p_p_col_id=column-1&amp;p_p_col_count=1&amp;_101_struts_action=%2Fasset_publisher%2Fview_content&amp;_101_assetEntryId=2657087&amp;_101_type=content&amp;_101_groupId=219201&amp;_101_urlTitle=anvisa-aprova-novo-antilipemico&amp;redirect=http%3A%2F%2Fportal.anvisa.gov.br%2Fresultado-de-busca%3Fp_p_id%3D3%26p_p_lifecycle%3D0%26p_p_state%3Dnormal%26p_p_mode%3Dview%26p_p_col_id%3Dcolumn-1%26p_p_col_count%3D1%26_3_groupId%3D0%26_3_keywords%3Drepatha%26_3_cur%3D1%26_3_struts_action%3D%252Fsearch%252Fsearch%26_3_format%3D%26_3_formDate%3D1441824476958&amp;inheritRedirect=true" TargetMode="External"/><Relationship Id="rId37" Type="http://schemas.openxmlformats.org/officeDocument/2006/relationships/hyperlink" Target="https://www.gov.br/anvisa/pt-br/assuntos/noticias-anvisa/2018/anvisa-tem-registro-recorde-de-medicamentos" TargetMode="External"/><Relationship Id="rId40" Type="http://schemas.openxmlformats.org/officeDocument/2006/relationships/hyperlink" Target="https://www.interfarma.org.br/app/uploads/2021/04/guia-2020.pdf" TargetMode="External"/><Relationship Id="rId5" Type="http://schemas.openxmlformats.org/officeDocument/2006/relationships/webSettings" Target="webSettings.xml"/><Relationship Id="rId15" Type="http://schemas.openxmlformats.org/officeDocument/2006/relationships/hyperlink" Target="https://plataformabrasil.saude.gov.br/login.jsf" TargetMode="External"/><Relationship Id="rId23" Type="http://schemas.openxmlformats.org/officeDocument/2006/relationships/hyperlink" Target="https://www.fda.gov/regulatory-information/search-fda-guidance-documents/submitting-documents-using-real-world-data-and-real-world-evidence-fda-drugs-and-biologics-guidance" TargetMode="External"/><Relationship Id="rId28" Type="http://schemas.openxmlformats.org/officeDocument/2006/relationships/image" Target="media/image5.png"/><Relationship Id="rId36" Type="http://schemas.openxmlformats.org/officeDocument/2006/relationships/hyperlink" Target="https://www.gov.br/anvisa/pt-br/assuntos/noticias-anvisa/2018/medicamentos-inovadores-sao-prioridade-para-registro" TargetMode="External"/><Relationship Id="rId10" Type="http://schemas.openxmlformats.org/officeDocument/2006/relationships/footer" Target="footer2.xml"/><Relationship Id="rId19" Type="http://schemas.openxmlformats.org/officeDocument/2006/relationships/hyperlink" Target="http://www.clinicaltrials.gov" TargetMode="External"/><Relationship Id="rId31" Type="http://schemas.openxmlformats.org/officeDocument/2006/relationships/hyperlink" Target="http://portal.anvisa.gov.br/resultado-de-busca?p_p_id=101&amp;p_p_lifecycle=0&amp;p_p_state=maximized&amp;p_p_mode=view&amp;p_p_col_id=column-1&amp;p_p_col_count=1&amp;_101_struts_action=%2Fasset_publisher%2Fview_content&amp;_101_assetEntryId=2943832&amp;_101_type=content&amp;_101_groupId=219201&amp;_101_urlTitle=anvisa-autoriza-medicamento-para-doenca-de-cushing&amp;redirect=http%3A%2F%2Fportal.anvisa.gov.br%2Fresultado-de-busca%3Fp_p_id%3D3%26p_p_lifecycle%3D0%26p_p_state%3Dnormal%26p_p_mode%3Dview%26p_p_col_id%3Dcolumn-1%26p_p_col_count%3D1%26_3_groupId%3D0%26_3_keywords%3Dcushing%26_3_cur%3D1%26_3_struts_action%3D%252Fsearch%252Fsearch%26_3_format%3D%26_3_formDate%3D1441824476958&amp;inheritRedirect=tru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onselho.saude.gov.br/comissoes-cns/conep" TargetMode="External"/><Relationship Id="rId22" Type="http://schemas.openxmlformats.org/officeDocument/2006/relationships/hyperlink" Target="https://healthpolicy.duke.edu/sites/default/files/2020-03/rwe_white_paper_2017.09.06.pdf" TargetMode="External"/><Relationship Id="rId27" Type="http://schemas.openxmlformats.org/officeDocument/2006/relationships/hyperlink" Target="https://www.strategyand.pwc.com/gx/en/insights/2015/revitalizing-pharmaceutical-rd.html" TargetMode="External"/><Relationship Id="rId30" Type="http://schemas.openxmlformats.org/officeDocument/2006/relationships/image" Target="media/image7.png"/><Relationship Id="rId35" Type="http://schemas.openxmlformats.org/officeDocument/2006/relationships/hyperlink" Target="http://portal.anvisa.gov.br/noticias/-/asset_publisher/FXrpx9qY7FbU/content/insuficiencia-cardiaca-tem-novo-tratamento-aprovado/219201?p_p_auth=VOPTui11&amp;inheritRedirect=false&amp;redirect=http%3A%2F%2Fportal.anvisa.gov.br%2Fnoticias%3Fp_p_auth%3DVOPTui11%26p_p_id%3D101_INSTANCE_FXrpx9qY7FbU%26p_p_lifecycle%3D0%26p_p_state%3Dnormal%26p_p_mode%3Dview%26p_p_col_id%3D_118_INSTANCE_dKu0997DQuKh__column-2%26p_p_col_count%3D2"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image" Target="media/image4.tiff"/><Relationship Id="rId25" Type="http://schemas.openxmlformats.org/officeDocument/2006/relationships/hyperlink" Target="https://www.nice.org.uk/news/article/nice-exploresextending-its-use-of-data-to-inform-its-guidance" TargetMode="External"/><Relationship Id="rId33" Type="http://schemas.openxmlformats.org/officeDocument/2006/relationships/hyperlink" Target="http://portal.anvisa.gov.br/resultado-de-busca?p_p_id=101&amp;p_p_lifecycle=0&amp;p_p_state=maximized&amp;p_p_mode=view&amp;p_p_col_id=column-1&amp;p_p_col_count=1&amp;_101_struts_action=%2Fasset_publisher%2Fview_content&amp;_101_assetEntryId=2987665&amp;_101_type=content&amp;_101_groupId=219201&amp;_101_urlTitle=aprovado-novo-tratamento-para-convulsoes-em-criancas&amp;redirect=http%3A%2F%2Fportal.anvisa.gov.br%2Fresultado-de-busca%3Fp_p_id%3D3%26p_p_lifecycle%3D0%26p_p_state%3Dnormal%26p_p_mode%3Dview%26p_p_col_id%3Dcolumn-1%26p_p_col_count%3D1%26_3_groupId%3D0%26_3_keywords%3Dinovelon%26_3_cur%3D1%26_3_struts_action%3D%252Fsearch%252Fsearch%26_3_format%3D%26_3_formDate%3D1441824476958&amp;inheritRedirect=true" TargetMode="External"/><Relationship Id="rId38" Type="http://schemas.openxmlformats.org/officeDocument/2006/relationships/hyperlink" Target="http://www.crfsp.org.br/noticias/11507-princ%C3%ADpios-ativos-sint%C3%A9ticos-e-semissint%C3%A9ticos.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C6EA7B-6A45-4006-9BA0-1031DAF55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98</Pages>
  <Words>38301</Words>
  <Characters>206830</Characters>
  <Application>Microsoft Office Word</Application>
  <DocSecurity>0</DocSecurity>
  <Lines>1723</Lines>
  <Paragraphs>489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Princípios Éticos na Utilização de Animais de Laboratório</vt:lpstr>
      <vt:lpstr>Princípios Éticos na Utilização de Animais de Laboratório</vt:lpstr>
    </vt:vector>
  </TitlesOfParts>
  <Company>HP</Company>
  <LinksUpToDate>false</LinksUpToDate>
  <CharactersWithSpaces>244642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Princípios Éticos na Utilização de Animais de Laboratório</dc:title>
  <dc:creator>usuario</dc:creator>
  <cp:lastModifiedBy>Guilherme Carneiro Montes</cp:lastModifiedBy>
  <cp:revision>44</cp:revision>
  <dcterms:created xsi:type="dcterms:W3CDTF">2023-07-17T17:58:00Z</dcterms:created>
  <dcterms:modified xsi:type="dcterms:W3CDTF">2023-07-19T14:01:00Z</dcterms:modified>
</cp:coreProperties>
</file>