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4.jpeg" ContentType="image/jpeg"/>
  <Override PartName="/word/media/image2.wmf" ContentType="image/x-wmf"/>
  <Override PartName="/word/media/image27.jpeg" ContentType="image/jpeg"/>
  <Override PartName="/word/media/image3.wmf" ContentType="image/x-wmf"/>
  <Override PartName="/word/media/image6.jpeg" ContentType="image/jpeg"/>
  <Override PartName="/word/media/image5.jpeg" ContentType="image/jpeg"/>
  <Override PartName="/word/media/image7.png" ContentType="image/png"/>
  <Override PartName="/word/media/image8.jpeg" ContentType="image/jpeg"/>
  <Override PartName="/word/media/image9.wmf" ContentType="image/x-wmf"/>
  <Override PartName="/word/media/image10.png" ContentType="image/png"/>
  <Override PartName="/word/media/image29.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png" ContentType="image/png"/>
  <Override PartName="/word/media/image24.png" ContentType="image/png"/>
  <Override PartName="/word/media/image36.wmf" ContentType="image/x-wmf"/>
  <Override PartName="/word/media/image25.jpeg" ContentType="image/jpeg"/>
  <Override PartName="/word/media/image26.jpeg" ContentType="image/jpeg"/>
  <Override PartName="/word/media/image28.jpeg" ContentType="image/jpeg"/>
  <Override PartName="/word/media/image30.jpeg" ContentType="image/jpeg"/>
  <Override PartName="/word/media/image31.png" ContentType="image/png"/>
  <Override PartName="/word/media/image32.jpeg" ContentType="image/jpeg"/>
  <Override PartName="/word/media/image33.png" ContentType="image/png"/>
  <Override PartName="/word/media/image34.png" ContentType="image/png"/>
  <Override PartName="/word/media/image35.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notes.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t>Ciência, Literatura e Cinema:</w:t>
      </w:r>
    </w:p>
    <w:p>
      <w:pPr>
        <w:pStyle w:val="Normal"/>
        <w:spacing w:lineRule="auto" w:line="360"/>
        <w:jc w:val="center"/>
        <w:rPr>
          <w:b/>
          <w:b/>
        </w:rPr>
      </w:pPr>
      <w:r>
        <w:rPr>
          <w:b/>
        </w:rPr>
        <w:t>Ensaios sobre o intercambio conceitual entre as ciências e as artes</w:t>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pPr>
      <w:r>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t>Sumário</w:t>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t>Introdução......................................................................................................................04</w:t>
      </w:r>
    </w:p>
    <w:p>
      <w:pPr>
        <w:pStyle w:val="Normal"/>
        <w:spacing w:lineRule="auto" w:line="360"/>
        <w:jc w:val="center"/>
        <w:rPr>
          <w:b/>
          <w:b/>
        </w:rPr>
      </w:pPr>
      <w:r>
        <w:rPr>
          <w:b/>
        </w:rPr>
      </w:r>
    </w:p>
    <w:p>
      <w:pPr>
        <w:pStyle w:val="Normal"/>
        <w:spacing w:lineRule="auto" w:line="360"/>
        <w:jc w:val="center"/>
        <w:rPr>
          <w:b/>
          <w:b/>
        </w:rPr>
      </w:pPr>
      <w:r>
        <w:rPr>
          <w:b/>
        </w:rPr>
        <w:t>História dos conceitos, História da Ciência.................................................................06</w:t>
      </w:r>
    </w:p>
    <w:p>
      <w:pPr>
        <w:pStyle w:val="Normal"/>
        <w:spacing w:lineRule="auto" w:line="360"/>
        <w:jc w:val="center"/>
        <w:rPr>
          <w:b/>
          <w:b/>
        </w:rPr>
      </w:pPr>
      <w:r>
        <w:rPr>
          <w:b/>
        </w:rPr>
      </w:r>
    </w:p>
    <w:p>
      <w:pPr>
        <w:pStyle w:val="Normal"/>
        <w:spacing w:lineRule="auto" w:line="360"/>
        <w:jc w:val="center"/>
        <w:rPr>
          <w:b/>
          <w:b/>
        </w:rPr>
      </w:pPr>
      <w:r>
        <w:rPr>
          <w:b/>
        </w:rPr>
        <w:t>História, Ciência &amp; Literatura: metodologia no intercambio de conceitos.............13</w:t>
      </w:r>
    </w:p>
    <w:p>
      <w:pPr>
        <w:pStyle w:val="Normal"/>
        <w:spacing w:lineRule="auto" w:line="360"/>
        <w:jc w:val="center"/>
        <w:rPr>
          <w:b/>
          <w:b/>
        </w:rPr>
      </w:pPr>
      <w:r>
        <w:rPr>
          <w:b/>
        </w:rPr>
      </w:r>
    </w:p>
    <w:p>
      <w:pPr>
        <w:pStyle w:val="Normal"/>
        <w:spacing w:lineRule="auto" w:line="360"/>
        <w:jc w:val="center"/>
        <w:rPr>
          <w:b/>
          <w:b/>
        </w:rPr>
      </w:pPr>
      <w:r>
        <w:rPr>
          <w:b/>
        </w:rPr>
        <w:t>Um panorama na formação das ciências biomédicas no século XIX........................46</w:t>
      </w:r>
    </w:p>
    <w:p>
      <w:pPr>
        <w:pStyle w:val="Normal"/>
        <w:spacing w:lineRule="auto" w:line="360"/>
        <w:jc w:val="center"/>
        <w:rPr>
          <w:b/>
          <w:b/>
        </w:rPr>
      </w:pPr>
      <w:r>
        <w:rPr>
          <w:b/>
        </w:rPr>
      </w:r>
    </w:p>
    <w:p>
      <w:pPr>
        <w:pStyle w:val="Normal"/>
        <w:spacing w:lineRule="auto" w:line="360"/>
        <w:jc w:val="center"/>
        <w:rPr>
          <w:b/>
          <w:b/>
        </w:rPr>
      </w:pPr>
      <w:r>
        <w:rPr>
          <w:b/>
        </w:rPr>
        <w:t>Sobre o antigo e o moderno em Frankenstein.............................................................66</w:t>
      </w:r>
    </w:p>
    <w:p>
      <w:pPr>
        <w:pStyle w:val="Normal"/>
        <w:spacing w:lineRule="auto" w:line="360"/>
        <w:jc w:val="center"/>
        <w:rPr>
          <w:b/>
          <w:b/>
        </w:rPr>
      </w:pPr>
      <w:r>
        <w:rPr>
          <w:b/>
        </w:rPr>
      </w:r>
    </w:p>
    <w:p>
      <w:pPr>
        <w:pStyle w:val="Normal"/>
        <w:spacing w:lineRule="auto" w:line="360"/>
        <w:jc w:val="center"/>
        <w:rPr>
          <w:b/>
          <w:b/>
        </w:rPr>
      </w:pPr>
      <w:r>
        <w:rPr>
          <w:b/>
        </w:rPr>
        <w:t>Drácula e o conceito de atavismo.................................................................................74</w:t>
      </w:r>
    </w:p>
    <w:p>
      <w:pPr>
        <w:pStyle w:val="Normal"/>
        <w:spacing w:lineRule="auto" w:line="360"/>
        <w:jc w:val="center"/>
        <w:rPr>
          <w:b/>
          <w:b/>
        </w:rPr>
      </w:pPr>
      <w:r>
        <w:rPr>
          <w:b/>
        </w:rPr>
      </w:r>
    </w:p>
    <w:p>
      <w:pPr>
        <w:pStyle w:val="Normal"/>
        <w:spacing w:lineRule="auto" w:line="360"/>
        <w:jc w:val="center"/>
        <w:rPr>
          <w:b/>
          <w:b/>
        </w:rPr>
      </w:pPr>
      <w:r>
        <w:rPr>
          <w:b/>
        </w:rPr>
        <w:t>O que podemos aprender com as histórias de robôs no século XXI?.......................90</w:t>
      </w:r>
    </w:p>
    <w:p>
      <w:pPr>
        <w:pStyle w:val="Normal"/>
        <w:spacing w:lineRule="auto" w:line="360"/>
        <w:jc w:val="center"/>
        <w:rPr>
          <w:b/>
          <w:b/>
        </w:rPr>
      </w:pPr>
      <w:r>
        <w:rPr>
          <w:b/>
        </w:rPr>
      </w:r>
    </w:p>
    <w:p>
      <w:pPr>
        <w:pStyle w:val="Normal"/>
        <w:spacing w:lineRule="auto" w:line="360"/>
        <w:jc w:val="center"/>
        <w:rPr>
          <w:b/>
          <w:b/>
        </w:rPr>
      </w:pPr>
      <w:r>
        <w:rPr>
          <w:b/>
        </w:rPr>
        <w:t>Ciência e teorias da percepção nos primórdios do Cinema.....................................106</w:t>
      </w:r>
    </w:p>
    <w:p>
      <w:pPr>
        <w:pStyle w:val="Normal"/>
        <w:spacing w:lineRule="auto" w:line="360"/>
        <w:jc w:val="center"/>
        <w:rPr>
          <w:b/>
          <w:b/>
        </w:rPr>
      </w:pPr>
      <w:r>
        <w:rPr>
          <w:b/>
        </w:rPr>
      </w:r>
    </w:p>
    <w:p>
      <w:pPr>
        <w:pStyle w:val="Normal"/>
        <w:spacing w:lineRule="auto" w:line="360"/>
        <w:jc w:val="center"/>
        <w:rPr>
          <w:b/>
          <w:b/>
        </w:rPr>
      </w:pPr>
      <w:r>
        <w:rPr>
          <w:b/>
        </w:rPr>
        <w:t>O conceito de reflexo no século XIX..........................................................................125</w:t>
      </w:r>
    </w:p>
    <w:p>
      <w:pPr>
        <w:pStyle w:val="Corpodetexto21"/>
        <w:spacing w:lineRule="auto" w:line="360"/>
        <w:rPr>
          <w:b/>
          <w:b/>
          <w:szCs w:val="24"/>
        </w:rPr>
      </w:pPr>
      <w:r>
        <w:rPr>
          <w:b/>
          <w:szCs w:val="24"/>
        </w:rPr>
      </w:r>
    </w:p>
    <w:p>
      <w:pPr>
        <w:pStyle w:val="Corpodetexto21"/>
        <w:spacing w:lineRule="auto" w:line="360"/>
        <w:rPr>
          <w:b/>
          <w:b/>
          <w:szCs w:val="24"/>
        </w:rPr>
      </w:pPr>
      <w:r>
        <w:rPr>
          <w:b/>
          <w:szCs w:val="24"/>
        </w:rPr>
        <w:t>O Cinema construtivista russo e o conceito de condicionamento: a ampliação do conceito de reflexo para além do nível celular..........................................................161</w:t>
      </w:r>
    </w:p>
    <w:p>
      <w:pPr>
        <w:pStyle w:val="Normal"/>
        <w:spacing w:lineRule="auto" w:line="360"/>
        <w:jc w:val="center"/>
        <w:rPr>
          <w:b/>
          <w:b/>
          <w:szCs w:val="24"/>
        </w:rPr>
      </w:pPr>
      <w:r>
        <w:rPr>
          <w:b/>
          <w:szCs w:val="24"/>
        </w:rPr>
      </w:r>
    </w:p>
    <w:p>
      <w:pPr>
        <w:pStyle w:val="Normal"/>
        <w:spacing w:lineRule="auto" w:line="360"/>
        <w:jc w:val="center"/>
        <w:rPr>
          <w:b/>
          <w:b/>
        </w:rPr>
      </w:pPr>
      <w:r>
        <w:rPr>
          <w:b/>
        </w:rPr>
        <w:t>Bibliografia...................................................................................................................177</w:t>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t>Agradecimentos</w:t>
      </w:r>
    </w:p>
    <w:p>
      <w:pPr>
        <w:pStyle w:val="Normal"/>
        <w:spacing w:lineRule="auto" w:line="360"/>
        <w:jc w:val="center"/>
        <w:rPr>
          <w:b/>
          <w:b/>
        </w:rPr>
      </w:pPr>
      <w:r>
        <w:rPr>
          <w:b/>
        </w:rPr>
      </w:r>
    </w:p>
    <w:p>
      <w:pPr>
        <w:pStyle w:val="Normal"/>
        <w:spacing w:lineRule="auto" w:line="360"/>
        <w:jc w:val="both"/>
        <w:rPr/>
      </w:pPr>
      <w:r>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t>Introdução</w:t>
      </w:r>
    </w:p>
    <w:p>
      <w:pPr>
        <w:pStyle w:val="Normal"/>
        <w:spacing w:lineRule="auto" w:line="360"/>
        <w:jc w:val="center"/>
        <w:rPr>
          <w:b/>
          <w:b/>
        </w:rPr>
      </w:pPr>
      <w:r>
        <w:rPr>
          <w:b/>
        </w:rPr>
      </w:r>
    </w:p>
    <w:p>
      <w:pPr>
        <w:pStyle w:val="Normal"/>
        <w:spacing w:lineRule="auto" w:line="360"/>
        <w:ind w:firstLine="708"/>
        <w:jc w:val="both"/>
        <w:rPr/>
      </w:pPr>
      <w:r>
        <w:rPr/>
        <w:t xml:space="preserve">Este livro é fruto de cinco anos de pesquisas e cursos ministrados na tentativa de estabelecer um modelo de investigação em História da Ciência que permita examinar as relações entre as ciências e outras formas de culturas, particularmente a Literatura e o Cinema, por meio do intercambio de conceitos. Desde o primeiro curso de extensão em que ministrei em parceria com meu amigo o professor Mauricio de Carvalho Ramos no Departamento de História da Universidade de São Paulo em 2015, essa proposta vem sendo gestada. Desde então ministrei inúmeros cursos de extensão, graduação e pós-graduação sobre a temática, bem como venho orientando trabalhos de mestrado e doutorado nessa linha. </w:t>
      </w:r>
    </w:p>
    <w:p>
      <w:pPr>
        <w:pStyle w:val="Normal"/>
        <w:spacing w:lineRule="auto" w:line="360"/>
        <w:ind w:firstLine="708"/>
        <w:jc w:val="both"/>
        <w:rPr/>
      </w:pPr>
      <w:r>
        <w:rPr/>
        <w:t xml:space="preserve">A proposta tem como pilar a ideia de que os conceitos científicos são na grande maioria de quatro tipos, a saber: (1) conceitos extensionais, conceitos que fazem referência a objetos no mundo (por exemplo, átomo, célula ou tecidos); (2) conceitos relacionais, em que se relacionam objetos no mundo sem fazer menção a nenhum objeto em particular (exemplo são os conceitos de digestão ou homeostase); (3) conceitos intencionais, são os conceitos relacionados à condição de intencionalidade (são desse tipo todos os conceitos mentais) e por último; (4) conceitos organizadores, são os conceitos que dada sua amplitude semântica são mobilizados para organizar outros conceitos; geralmente um conceito organizador é também de outro tipo (extensional, relacional ou intencional), porém, com a ampliação passa a servir de organização do conhecimento mais geral do que originalmente concebido (exemplo pode ser o conceito de evolução no final do século XIX, em que apesar de ser um conceito específico das ciências biológicas, passa a organizar outros conceitos em áreas distintas). </w:t>
      </w:r>
    </w:p>
    <w:p>
      <w:pPr>
        <w:pStyle w:val="Normal"/>
        <w:spacing w:lineRule="auto" w:line="360"/>
        <w:ind w:firstLine="708"/>
        <w:jc w:val="both"/>
        <w:rPr/>
      </w:pPr>
      <w:r>
        <w:rPr/>
        <w:t xml:space="preserve">A proposta apresentada aqui está organizada em dois momentos. Inicialmente apresento a proposta de uma metodologia de exame na História da Ciência do intercambio entre conceitos nas áreas científicas em relação com a Literatura e o Cinema, essa discussão está localizada nos dois primeiros ensaios, sendo o terceiro uma apresentação geral do cenário das ciências no século XIX uma vez que muitos dos ensaios são sobre obras desse período, em seguida examino nos demais ensaios casos particulares a título de aplicação da proposta. </w:t>
      </w:r>
    </w:p>
    <w:p>
      <w:pPr>
        <w:pStyle w:val="Normal"/>
        <w:spacing w:lineRule="auto" w:line="360"/>
        <w:ind w:firstLine="708"/>
        <w:jc w:val="both"/>
        <w:rPr/>
      </w:pPr>
      <w:r>
        <w:rPr/>
        <w:t xml:space="preserve">A escolha do formato de ensaio se deu devido ao caráter experimental da proposta e da liberdade maior que o ensaio admite. Embora tenha escolhido o formato de ensaio, mantive algumas das características acadêmicas a que estamos acostumados, principalmente no exame de fontes primárias e secundárias, tão caro aos historiadores. Se pudesse definir em linhas gerais cada capítulo diria que são espécies de ensaios históricos. </w:t>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t>História dos conceitos, História da Ciência</w:t>
      </w:r>
    </w:p>
    <w:p>
      <w:pPr>
        <w:pStyle w:val="Normal"/>
        <w:spacing w:lineRule="auto" w:line="360"/>
        <w:jc w:val="both"/>
        <w:rPr>
          <w:b/>
          <w:b/>
        </w:rPr>
      </w:pPr>
      <w:r>
        <w:rPr>
          <w:b/>
        </w:rPr>
      </w:r>
    </w:p>
    <w:p>
      <w:pPr>
        <w:pStyle w:val="Normal"/>
        <w:spacing w:lineRule="auto" w:line="360"/>
        <w:jc w:val="both"/>
        <w:rPr/>
      </w:pPr>
      <w:r>
        <w:rPr/>
        <w:tab/>
        <w:t xml:space="preserve">Se for perguntado a um historiador, um médico e um físico o que eles compreendem por um conceito será a resposta a mesma? Duvido muito. Provavelmente as respostas dadas pelo médico e o físico estarão mais próximas do que a resposta do historiador. Suponhamos que o médico e o físico difiram de fato do historiador sobre o que cada um entende por um conceito; o que podemos concluir disso? O historiador "perde" por ser minoria na contenda? Muito provavelmente, quando perguntados sobre o que o médico e o físico entendem pelo conceito de átomo, a resposta será algo próximo a definição de átomo que encontramos em qualquer livro texto de Física ou Química. O físico apresentará elementos mais detalhados acerca do átomo (características, relação com outras entidades, consequências empíricas etc), enquanto o médico possivelmente apresente uma definição mais simplória. O fato de o átomo ser objeto de investigação da Física e não da Medicina explica essa diferença, diriam, mas ambos, o médico e o físico, ainda assim se referirão ao conceito de átomo da mesma maneira que se fossem perguntados sobre a definição de átomo. Ambos farão referência ao que a Física entende como átomo atualmente, sem necessariamente, se referir às modificações que a ideia de átomo sofreu ao longo do tempo. </w:t>
      </w:r>
    </w:p>
    <w:p>
      <w:pPr>
        <w:pStyle w:val="Normal"/>
        <w:spacing w:lineRule="auto" w:line="360"/>
        <w:jc w:val="both"/>
        <w:rPr/>
      </w:pPr>
      <w:r>
        <w:rPr/>
        <w:tab/>
        <w:t xml:space="preserve">Essa concepção somente se dá porque ambos, o físico e o médico, entendem que a definição que temos hoje de átomo é a melhor versão do mesmo, tendo superado todas as demais que ficaram para trás ao longo do tempo, sendo assim, o conceito de átomo e a definição de átomo são sinônimos; já a pergunta sendo direcionada ao historiador, e sendo esse historiador alguém que já se ocupou de leituras e reflexões sobre a história dos conceitos, a compreensão do conceito de átomo exigiria certo recuo no tempo e o exame das modificações que o conceito sofreu; esse recuo não precisa ser por um tempo indefinido; conjugo aqui da ideia do historiador da medicina Georges Canguilhem (1904-1995) de que a busca pelos rastros de qualquer conceito se perde no tempo, tornando tal empresa algo impossível e quimérico. A escolha de qual recorte temporal fazer se torna, assim, uma escolha pragmática que atenda demandas da pesquisa em si. A questão central que chamo a atenção aqui é para o fato de que nesse segundo cenário, o conceito não se confunde com a definição; a definição de átomo é o conceito "congelado" no tempo, em determinado momento. Para fins da atividade científica há inúmeras boas razões para que os cientistas operem com a definição e mesmo a identifiquem com o conceito, no entanto, em pesquisas históricas a definição configura um ponto limitante, exigindo do historiador um esforço epistemológico ou, o que considero um erro maior, um deslocamento do conceito ignorando mudanças sutis, no mais das vezes, de grande relevância para o tema examinado. A proposta apresentada nesses ensaios que se seguem é justamente a de conciliar pesquisas em história dos conceitos, majoritariamente, mas não de forma exclusiva, no âmbito da história da ciência tendo como foco central os conceitos e a maneira como são mobilizados em outros contextos discursivos (em particular a literatura e o cinema), sem assumir em qualquer momento a explicação, de qualquer natureza que seja, de um desses campos pelo outro.           </w:t>
      </w:r>
    </w:p>
    <w:p>
      <w:pPr>
        <w:pStyle w:val="Normal"/>
        <w:spacing w:lineRule="auto" w:line="360"/>
        <w:jc w:val="both"/>
        <w:rPr/>
      </w:pPr>
      <w:r>
        <w:rPr/>
        <w:tab/>
        <w:t xml:space="preserve">        </w:t>
      </w:r>
    </w:p>
    <w:p>
      <w:pPr>
        <w:pStyle w:val="Normal"/>
        <w:spacing w:lineRule="auto" w:line="360"/>
        <w:jc w:val="both"/>
        <w:rPr/>
      </w:pPr>
      <w:r>
        <w:rPr>
          <w:b/>
        </w:rPr>
        <w:t xml:space="preserve">A história dos conceitos proposta por Reinhart Koselleck </w:t>
      </w:r>
    </w:p>
    <w:p>
      <w:pPr>
        <w:pStyle w:val="Normal"/>
        <w:spacing w:lineRule="auto" w:line="360"/>
        <w:jc w:val="both"/>
        <w:rPr>
          <w:b/>
          <w:b/>
        </w:rPr>
      </w:pPr>
      <w:r>
        <w:rPr>
          <w:b/>
        </w:rPr>
      </w:r>
    </w:p>
    <w:p>
      <w:pPr>
        <w:pStyle w:val="Normal"/>
        <w:tabs>
          <w:tab w:val="clear" w:pos="708"/>
          <w:tab w:val="left" w:pos="720" w:leader="none"/>
        </w:tabs>
        <w:spacing w:lineRule="auto" w:line="360"/>
        <w:jc w:val="both"/>
        <w:rPr/>
      </w:pPr>
      <w:r>
        <w:rPr/>
        <w:tab/>
        <w:t xml:space="preserve">O filósofo da ciência Imre Lakatos (1922-1974) sugeriu duas etapas para o relato histórico da ciência, a primeira etapa, que ele chamou de reconstrução racional limita-se ao exame interno da atividade científica (questões referentes a teorias, leis, experimentação etc), já no segundo momento, se realiza o cotejamento da reconstrução racional com a história da ciência. No campo da historiografia, a história contemporânea opera sob a égide de mais de um modelo historiográfico, que foram se constituindo ao longo do século XX, cada um com suas nuanças: o modelo marxista e suas variantes, o modelo proposto na França pela escola dos Annales (incluindo aqueles de orientação marxiana), a microhistória proposta inicialmente na Itália e México e, entre outras, a história dos conceitos, como um ramo da história das ideias, que se desenvolveu principalmente na Alemanha tendo como um de seus mais ilustres representantes Reinhart Koselleck (1923-2006). A análise histórica dos conceitos, segundo Koselleck, opera na longa duração (conceito histórico proposto pelo historiador Fernand Braudel em 1949 e que compreende o tempo histórico de amplitude secular, distinto dos tempos de um evento histórico e de uma conjuntura) e permite ao historiador adentrar as estruturas sociais do período estudado, não se limitando apenas a questões de foro lingüístico. Apresentarei rapidamente os principais pontos da proposta de uma história dos conceitos que julgo relevante, ao que posteriormente apresentarei a proposta, que considero híbrida em relação às teorias de Lakatos e Koselleck, e que concebo deslocando para um modelo no campo da ciência (essa proposta foi inicialmente desenvolvida em minha tese de doutoramento; aqui me utilizo de uma variação dela com o intuito de propor um modelo ou, talvez seja mais adequado, uma maneira tão somente de se adentrar a história dos conceitos em ciência na sua interface com outras áreas). </w:t>
      </w:r>
    </w:p>
    <w:p>
      <w:pPr>
        <w:pStyle w:val="Normal"/>
        <w:tabs>
          <w:tab w:val="clear" w:pos="708"/>
          <w:tab w:val="left" w:pos="720" w:leader="none"/>
        </w:tabs>
        <w:spacing w:lineRule="auto" w:line="360"/>
        <w:jc w:val="both"/>
        <w:rPr/>
      </w:pPr>
      <w:r>
        <w:rPr/>
        <w:tab/>
        <w:t>Quando fazemos referência à história dos conceitos, uma pergunta pode ser pertinente: É possível a história dos conceitos alcançar autonomia frente à história social? Koselleck dá uma possível resposta à pergunta:</w:t>
      </w:r>
    </w:p>
    <w:p>
      <w:pPr>
        <w:pStyle w:val="Normal"/>
        <w:spacing w:lineRule="auto" w:line="360"/>
        <w:jc w:val="both"/>
        <w:rPr/>
      </w:pPr>
      <w:r>
        <w:rPr/>
      </w:r>
    </w:p>
    <w:p>
      <w:pPr>
        <w:pStyle w:val="Normal"/>
        <w:spacing w:lineRule="auto" w:line="360"/>
        <w:ind w:left="540" w:hanging="0"/>
        <w:jc w:val="both"/>
        <w:rPr/>
      </w:pPr>
      <w:r>
        <w:rPr>
          <w:i/>
        </w:rPr>
        <w:t>Desde que a sociedade atingiu o desenvolvimento industrial, a semântica política dos conceitos envolvidos no processo fornece uma chave de compreensão sem a qual os fenômenos do passado não poderiam ser entendidos hoje. É só pensar na mudança de significado e de função do conceito de ‘revolução’, que na origem apresentava uma fórmula modelar do possível retorno dos acontecimentos. Entretanto, o sentido do termo foi reformulado, passando a indicar um conceito teleológico de caráter histórico-filosófico, a par de uma segunda e nova significação como conceito de ação política, tornando-se, segundo nosso ponto de vista, o indicador de uma alteração estrutural</w:t>
      </w:r>
      <w:r>
        <w:rPr>
          <w:rStyle w:val="Caracteresdenotaderodap"/>
          <w:rStyle w:val="Ncoradanotaderodap"/>
          <w:i/>
        </w:rPr>
        <w:footnoteReference w:id="2"/>
      </w:r>
      <w:r>
        <w:rPr>
          <w:i/>
        </w:rPr>
        <w:t>.</w:t>
      </w:r>
      <w:r>
        <w:rPr/>
        <w:t xml:space="preserve">                  </w:t>
      </w:r>
    </w:p>
    <w:p>
      <w:pPr>
        <w:pStyle w:val="Normal"/>
        <w:spacing w:lineRule="auto" w:line="360"/>
        <w:jc w:val="both"/>
        <w:rPr/>
      </w:pPr>
      <w:r>
        <w:rPr/>
      </w:r>
    </w:p>
    <w:p>
      <w:pPr>
        <w:pStyle w:val="Normal"/>
        <w:tabs>
          <w:tab w:val="clear" w:pos="708"/>
          <w:tab w:val="left" w:pos="720" w:leader="none"/>
        </w:tabs>
        <w:spacing w:lineRule="auto" w:line="360"/>
        <w:jc w:val="both"/>
        <w:rPr/>
      </w:pPr>
      <w:r>
        <w:rPr/>
        <w:tab/>
        <w:t xml:space="preserve">Koselleck defende o uso da história dos conceitos no que concerne a superar a contribuição frequente nas analises linguísticas nos aspectos da critica das fontes. Reconhece-se a autonomia da história dos conceitos no exame histórico da ‘redefinição de significados lexicais anteriores, dados nos estudos diacrônicos’. </w:t>
      </w:r>
    </w:p>
    <w:p>
      <w:pPr>
        <w:pStyle w:val="Normal"/>
        <w:spacing w:lineRule="auto" w:line="360"/>
        <w:jc w:val="both"/>
        <w:rPr/>
      </w:pPr>
      <w:r>
        <w:rPr/>
      </w:r>
    </w:p>
    <w:p>
      <w:pPr>
        <w:pStyle w:val="Normal"/>
        <w:spacing w:lineRule="auto" w:line="360"/>
        <w:ind w:left="540" w:hanging="0"/>
        <w:jc w:val="both"/>
        <w:rPr/>
      </w:pPr>
      <w:r>
        <w:rPr>
          <w:i/>
        </w:rPr>
        <w:t>As palavras que permaneceram as mesmas não são, por si só, um indício suficiente da permanência do mesmo conteúdo ou significado por elas designado. Assim, o homônimo ‘burguês’ [Bürger] é vazio de significado, se não for examinado pela perspectiva da mudança de sentido do conceito: de cidadão ou habitante da cidade [(stadt-) Bürger] por volta de 1800 e, por fim, para burguês [Bürger], no sentido de não-proletário, por volta de 1900</w:t>
      </w:r>
      <w:r>
        <w:rPr>
          <w:rStyle w:val="Caracteresdenotaderodap"/>
          <w:rStyle w:val="Ncoradanotaderodap"/>
          <w:i/>
        </w:rPr>
        <w:footnoteReference w:id="3"/>
      </w:r>
      <w:r>
        <w:rPr>
          <w:i/>
        </w:rPr>
        <w:t>.</w:t>
      </w:r>
      <w:r>
        <w:rPr/>
        <w:t xml:space="preserve">  </w:t>
      </w:r>
    </w:p>
    <w:p>
      <w:pPr>
        <w:pStyle w:val="Normal"/>
        <w:spacing w:lineRule="auto" w:line="360"/>
        <w:jc w:val="both"/>
        <w:rPr/>
      </w:pPr>
      <w:r>
        <w:rPr/>
      </w:r>
    </w:p>
    <w:p>
      <w:pPr>
        <w:pStyle w:val="Normal"/>
        <w:tabs>
          <w:tab w:val="clear" w:pos="708"/>
          <w:tab w:val="left" w:pos="720" w:leader="none"/>
        </w:tabs>
        <w:spacing w:lineRule="auto" w:line="360"/>
        <w:jc w:val="both"/>
        <w:rPr/>
      </w:pPr>
      <w:r>
        <w:rPr/>
        <w:tab/>
        <w:t xml:space="preserve">É por meio de um exame diacrônico da estrutura profunda dos conceitos que se alcançam alterações estruturais de longo prazo. Para que se evite uma identificação com a história social e consequentemente a negação da autonomia da história dos conceitos, é necessário que se entenda que um conceito necessariamente se prende a uma palavra, mas nem toda palavra é um conceito social e político. Um conceito social e político exige generalizações e polissemia, caso contrário, a história os reconheceria apenas como palavras. A história da ciência está repleta de casos em que uma análise dos conceitos configuraria uma contribuição exemplar do desenvolvimento da ciência.  Um exemplo pode ser encontrado na conjuntura em que são propostos modelos “celulares” antes da chamada teoria celular, a passagem do modelo fibrilar e globular da unidade fundamental dos organismos ao modelo celular proposto em meados da década de 1830, sendo justamente por isso que alguns historiadores falam em teoria celular mesmo quando, décadas antes, se faziam referência a unidade morfofuncional dos organismos, sem no entanto, o uso do vocábulo célula tal qual no contexto da proposta da teoria celular, da forma como ficou consagrado na historiografia. A análise dos conceitos permite, por meio da alternância de análises sincrônica e diacrônica, do período de duração das experiências do passado à capacidade de resistência das teorias no passado, uma análise de fôlego do percurso que os conceitos científicos tiveram no tempo. </w:t>
      </w:r>
    </w:p>
    <w:p>
      <w:pPr>
        <w:pStyle w:val="Normal"/>
        <w:tabs>
          <w:tab w:val="clear" w:pos="708"/>
          <w:tab w:val="left" w:pos="540" w:leader="none"/>
        </w:tabs>
        <w:spacing w:lineRule="auto" w:line="360"/>
        <w:jc w:val="both"/>
        <w:rPr/>
      </w:pPr>
      <w:r>
        <w:rPr/>
      </w:r>
    </w:p>
    <w:p>
      <w:pPr>
        <w:pStyle w:val="Normal"/>
        <w:spacing w:lineRule="auto" w:line="360"/>
        <w:ind w:left="540" w:hanging="0"/>
        <w:jc w:val="both"/>
        <w:rPr/>
      </w:pPr>
      <w:r>
        <w:rPr>
          <w:i/>
        </w:rPr>
        <w:t>A história dos conceitos põe em evidência, portanto, a estratificação dos significados de um mesmo conceito em épocas diferentes. Com isso ela ultrapassa a alternativa estreita entre diacronia ou sincronia, passando a remeter à possibilidade de simultaneidade da não-simultaneidade que pode estar contida em um conceito. Dito de outra maneira, ela problematiza algo que faz parte das premissas teóricas da história social, ao avaliar as diferenças de curto, médio ou longo prazo, ao sopesar as diferenças entre acontecimentos e estruturas. A profundidade histórica de um conceito, que não é idêntica à sequência cronológica de seus significados, ganha com isso uma exigência sistemática, a qual toda investigação de cunho social e histórico deve ter em conta</w:t>
      </w:r>
      <w:r>
        <w:rPr>
          <w:rStyle w:val="Caracteresdenotaderodap"/>
          <w:rStyle w:val="Ncoradanotaderodap"/>
          <w:i/>
        </w:rPr>
        <w:footnoteReference w:id="4"/>
      </w:r>
      <w:r>
        <w:rPr>
          <w:i/>
        </w:rPr>
        <w:t>.</w:t>
      </w:r>
      <w:r>
        <w:rPr/>
        <w:t xml:space="preserve">             </w:t>
      </w:r>
    </w:p>
    <w:p>
      <w:pPr>
        <w:pStyle w:val="Normal"/>
        <w:spacing w:lineRule="auto" w:line="360"/>
        <w:jc w:val="both"/>
        <w:rPr/>
      </w:pPr>
      <w:r>
        <w:rPr/>
        <w:tab/>
      </w:r>
    </w:p>
    <w:p>
      <w:pPr>
        <w:pStyle w:val="Normal"/>
        <w:tabs>
          <w:tab w:val="clear" w:pos="708"/>
          <w:tab w:val="left" w:pos="720" w:leader="none"/>
        </w:tabs>
        <w:spacing w:lineRule="auto" w:line="360"/>
        <w:jc w:val="both"/>
        <w:rPr/>
      </w:pPr>
      <w:r>
        <w:rPr/>
        <w:tab/>
        <w:t xml:space="preserve">Posto isso, a história dos conceitos assume uma posição a priori no exame da história social, que ao querer proceder de maneira precisa e sem desvios deve fazer uso da história dos conceitos, uma vez que as premissas teóricas exigem posicionamento de natureza estrutural. A ausência de um objeto específico para o historiador faz com que ocorra uma divisão entre as ciências sociais e humanas, distinguindo-se a história apenas por seus métodos e normas e que conduzam apenas a resultados, quando muito, comprováveis. É por isso que se faz necessário que o exame externo (histórico) ocorra junto ao cotejamento com a análise interna de um programa de pesquisa estudado tal como propôs Lakatos. Não pretendo enveredar por esse caminho aqui, mas parte dessa discussão neste e no próximo ensaio compõem uma proposta (que será desenvolvida melhor em outro trabalho) de um exame detido da formação dos programas disciplinares nas Ciências e como o intercambio de conceitos (foco dos ensaios apresentados aqui) é o marcador histórico desse processo.  </w:t>
      </w:r>
    </w:p>
    <w:p>
      <w:pPr>
        <w:pStyle w:val="Normal"/>
        <w:spacing w:lineRule="auto" w:line="360"/>
        <w:jc w:val="both"/>
        <w:rPr/>
      </w:pPr>
      <w:r>
        <w:rPr/>
        <w:tab/>
        <w:t xml:space="preserve">As noções de progresso, decadência, aceleração, retardamento entre outras são tributárias, para Koselleck, da combinação de três elementos das estruturas temporais alcançados pela história. (1) A irreversibilidade dos eventos, o antes e o depois em suas diferentes circunstâncias de desenvolvimento; (2) A capacidade de repetição dos eventos, seja por meio de uma suposta identidade entre eles, seja quando o termo se refere ao retorno de determinadas constelações de fatos, ou ainda por meio de uma relação tipológica e/ou figurativa entre os eventos; (3) A simultaneidade da não-simultaneidade, em uma mesma cronologia do tempo, falamos de diferentes níveis de transcurso histórico. Em eventos não simultâneos, o discurso histórico conceitual tem o poder de torná-los simultâneos. Muitos dos historiadores da ciência já fazem isso, mesmo que de maneira um tanto quanto involuntária, nesse sentido não estou propondo um modelo de todo novo; o que julgo ser novo nessa proposta são dois pontos: a possibilidade de examinar o “transito” conceitual para fora da ciência em uma via de mão dupla entre o discurso científico e outras áreas do saber e a adesão consciente da proposta de se examinar o curso dos conceitos na longa duração.          </w:t>
      </w:r>
    </w:p>
    <w:p>
      <w:pPr>
        <w:pStyle w:val="Normal"/>
        <w:spacing w:lineRule="auto" w:line="360"/>
        <w:jc w:val="both"/>
        <w:rPr/>
      </w:pPr>
      <w:r>
        <w:rPr/>
      </w:r>
    </w:p>
    <w:p>
      <w:pPr>
        <w:pStyle w:val="Normal"/>
        <w:tabs>
          <w:tab w:val="clear" w:pos="708"/>
          <w:tab w:val="left" w:pos="540" w:leader="none"/>
        </w:tabs>
        <w:spacing w:lineRule="auto" w:line="360"/>
        <w:jc w:val="both"/>
        <w:rPr>
          <w:b/>
          <w:b/>
        </w:rPr>
      </w:pPr>
      <w:r>
        <w:rPr>
          <w:b/>
        </w:rPr>
        <w:t>Da relação entre o evento e a estrutura</w:t>
      </w:r>
    </w:p>
    <w:p>
      <w:pPr>
        <w:pStyle w:val="Normal"/>
        <w:spacing w:lineRule="auto" w:line="360"/>
        <w:jc w:val="both"/>
        <w:rPr>
          <w:b/>
          <w:b/>
        </w:rPr>
      </w:pPr>
      <w:r>
        <w:rPr>
          <w:b/>
        </w:rPr>
      </w:r>
    </w:p>
    <w:p>
      <w:pPr>
        <w:pStyle w:val="Normal"/>
        <w:tabs>
          <w:tab w:val="clear" w:pos="708"/>
          <w:tab w:val="left" w:pos="720" w:leader="none"/>
        </w:tabs>
        <w:spacing w:lineRule="auto" w:line="360"/>
        <w:jc w:val="both"/>
        <w:rPr/>
      </w:pPr>
      <w:r>
        <w:rPr/>
        <w:tab/>
        <w:t>Tratar historicamente determinado conceito fora da estrutura (longa duração) implica na defesa de que a história dos conceitos não possui objetividade devido ao relativismo dos conceitos na curta e média duração. O conceito moderno de revolução não pode ser atribuído apenas a determinado evento ou conjunto de eventos, mesmo que localizemos tais eventos como de maior importância na constituição do conceito. Não podemos esperar regularidade no conceito de átomo olhando apenas para a conjuntura em que Dalton formula sua teoria (seus experimentos e hipóteses) e a partir daí generalizar para o conceito moderno que assumiu o termo átomo. Deve-se olhar para além dos trabalhos de Dalton, e é necessária uma visão geral de como a ciência do final do século XVIII e durante o século XIX entendeu o conceito de átomo para aí sim, uma vez que coincida com o conceito tratado por Dalton, fazer o caminho inverso, do conceito constituído na longa duração ao conceito individual. Koselleck entende a estrutura nos seguintes termos:</w:t>
      </w:r>
    </w:p>
    <w:p>
      <w:pPr>
        <w:pStyle w:val="Normal"/>
        <w:tabs>
          <w:tab w:val="clear" w:pos="708"/>
          <w:tab w:val="left" w:pos="540" w:leader="none"/>
          <w:tab w:val="left" w:pos="720" w:leader="none"/>
        </w:tabs>
        <w:spacing w:lineRule="auto" w:line="360"/>
        <w:jc w:val="both"/>
        <w:rPr/>
      </w:pPr>
      <w:r>
        <w:rPr/>
      </w:r>
    </w:p>
    <w:p>
      <w:pPr>
        <w:pStyle w:val="Normal"/>
        <w:spacing w:lineRule="auto" w:line="360"/>
        <w:ind w:left="540" w:hanging="0"/>
        <w:jc w:val="both"/>
        <w:rPr/>
      </w:pPr>
      <w:r>
        <w:rPr>
          <w:i/>
        </w:rPr>
        <w:t>(...) são entendidas como estrutura – em relação à sua temporalidade – aquelas circunstâncias que não se organizam segundo a estrita sucessão dos eventos passados. Elas implicam maior duração, maior estabilidade, alterando-se em prazos mais longos</w:t>
      </w:r>
      <w:r>
        <w:rPr>
          <w:rStyle w:val="Caracteresdenotaderodap"/>
          <w:rStyle w:val="Ncoradanotaderodap"/>
          <w:i/>
        </w:rPr>
        <w:footnoteReference w:id="5"/>
      </w:r>
      <w:r>
        <w:rPr>
          <w:i/>
        </w:rPr>
        <w:t>.</w:t>
      </w:r>
      <w:r>
        <w:rPr/>
        <w:t xml:space="preserve">       </w:t>
      </w:r>
    </w:p>
    <w:p>
      <w:pPr>
        <w:pStyle w:val="Normal"/>
        <w:spacing w:lineRule="auto" w:line="360"/>
        <w:ind w:left="360" w:hanging="0"/>
        <w:jc w:val="both"/>
        <w:rPr>
          <w:b/>
          <w:b/>
        </w:rPr>
      </w:pPr>
      <w:r>
        <w:rPr>
          <w:b/>
        </w:rPr>
      </w:r>
    </w:p>
    <w:p>
      <w:pPr>
        <w:pStyle w:val="Normal"/>
        <w:tabs>
          <w:tab w:val="clear" w:pos="708"/>
          <w:tab w:val="left" w:pos="720" w:leader="none"/>
        </w:tabs>
        <w:spacing w:lineRule="auto" w:line="360"/>
        <w:jc w:val="both"/>
        <w:rPr/>
      </w:pPr>
      <w:r>
        <w:rPr/>
        <w:tab/>
        <w:t xml:space="preserve">Narrar um evento pressupõe elementos de anterioridade e posteridade necessários à própria estrutura narrativa, porém, adverte Koselleck que essa necessidade se torna menos importante na descrição de estados ou situações de longo prazo, motivo pelo qual, abdico neste conjunto de ensaios da narração de maneira descritiva, seguindo o formato ensaístico (no sentido da experimentação tal como proposto por Lukács em um ensaio famoso dedicado ao seu amigo Leo Popper). A garantia de objetividade na narrativa do evento é dada por um contexto estrutural que garanta coerência histórica e coadune com os resultados obtidos no exame interno. Cito Koselleck: </w:t>
      </w:r>
    </w:p>
    <w:p>
      <w:pPr>
        <w:pStyle w:val="Normal"/>
        <w:spacing w:lineRule="auto" w:line="360"/>
        <w:jc w:val="both"/>
        <w:rPr/>
      </w:pPr>
      <w:r>
        <w:rPr/>
      </w:r>
    </w:p>
    <w:p>
      <w:pPr>
        <w:pStyle w:val="Normal"/>
        <w:spacing w:lineRule="auto" w:line="360"/>
        <w:ind w:left="540" w:hanging="0"/>
        <w:jc w:val="both"/>
        <w:rPr/>
      </w:pPr>
      <w:r>
        <w:rPr>
          <w:i/>
        </w:rPr>
        <w:t>(...) as consequências estatísticas temporais nutrem-se de eventos concretos e individuais, dotados de um tempo próprio, mas que só adquirem significação por força de uma perspectiva estrutural de longo prazo. Narração e descrição se ajustam de modo que o evento se torna um pressuposto para proposições estruturais</w:t>
      </w:r>
      <w:r>
        <w:rPr>
          <w:rStyle w:val="Caracteresdenotaderodap"/>
          <w:rStyle w:val="Ncoradanotaderodap"/>
          <w:i/>
        </w:rPr>
        <w:footnoteReference w:id="6"/>
      </w:r>
      <w:r>
        <w:rPr>
          <w:i/>
        </w:rPr>
        <w:t>.</w:t>
      </w:r>
      <w:r>
        <w:rPr/>
        <w:t xml:space="preserve">     </w:t>
      </w:r>
    </w:p>
    <w:p>
      <w:pPr>
        <w:pStyle w:val="Normal"/>
        <w:spacing w:lineRule="auto" w:line="360"/>
        <w:ind w:left="360" w:hanging="0"/>
        <w:jc w:val="both"/>
        <w:rPr/>
      </w:pPr>
      <w:r>
        <w:rPr/>
      </w:r>
    </w:p>
    <w:p>
      <w:pPr>
        <w:pStyle w:val="Normal"/>
        <w:tabs>
          <w:tab w:val="clear" w:pos="708"/>
          <w:tab w:val="left" w:pos="720" w:leader="none"/>
        </w:tabs>
        <w:spacing w:lineRule="auto" w:line="360"/>
        <w:jc w:val="both"/>
        <w:rPr/>
      </w:pPr>
      <w:r>
        <w:rPr/>
        <w:tab/>
        <w:t>O processo de gradação e estratificação na análise do historiador pode se constituir no evento isolado como até na história universal. É a coerência sistemática que garante a objetividade da narrativa e quanto mais coerente e maiores os intervalos estruturais menos se assume o compromisso, por parte do historiador, de se narrar os eventos em ordem cronológica. Koselleck adverte para o perigo em se atribuir maior conteúdo de realidade ao evento:</w:t>
      </w:r>
    </w:p>
    <w:p>
      <w:pPr>
        <w:pStyle w:val="Normal"/>
        <w:tabs>
          <w:tab w:val="clear" w:pos="708"/>
          <w:tab w:val="left" w:pos="540" w:leader="none"/>
          <w:tab w:val="left" w:pos="720" w:leader="none"/>
        </w:tabs>
        <w:spacing w:lineRule="auto" w:line="360"/>
        <w:jc w:val="both"/>
        <w:rPr/>
      </w:pPr>
      <w:r>
        <w:rPr/>
      </w:r>
    </w:p>
    <w:p>
      <w:pPr>
        <w:pStyle w:val="Normal"/>
        <w:spacing w:lineRule="auto" w:line="360"/>
        <w:ind w:left="540" w:hanging="0"/>
        <w:jc w:val="both"/>
        <w:rPr/>
      </w:pPr>
      <w:r>
        <w:rPr>
          <w:i/>
        </w:rPr>
        <w:t>Seria errôneo querer atribuir aos eventos um conteúdo maior de realidade do que às assim chamadas estruturas, só porque os eventos, no desenrolar concreto de um acontecimento, permanecem atados ao antes e ao depois ligados à cronologia natural, empiricamente verificável. A história seria diminuída, se ela se obrigasse somente à narração, em detrimento de uma análise de estruturas cuja efetividade está em outro nível temporal, não sendo menor por isso</w:t>
      </w:r>
      <w:r>
        <w:rPr>
          <w:rStyle w:val="Caracteresdenotaderodap"/>
          <w:rStyle w:val="Ncoradanotaderodap"/>
          <w:i/>
        </w:rPr>
        <w:footnoteReference w:id="7"/>
      </w:r>
      <w:r>
        <w:rPr>
          <w:i/>
        </w:rPr>
        <w:t>.</w:t>
      </w:r>
      <w:r>
        <w:rPr/>
        <w:t xml:space="preserve">    </w:t>
      </w:r>
    </w:p>
    <w:p>
      <w:pPr>
        <w:pStyle w:val="Normal"/>
        <w:spacing w:lineRule="auto" w:line="360"/>
        <w:ind w:left="540" w:hanging="0"/>
        <w:jc w:val="both"/>
        <w:rPr/>
      </w:pPr>
      <w:r>
        <w:rPr/>
      </w:r>
    </w:p>
    <w:p>
      <w:pPr>
        <w:pStyle w:val="Normal"/>
        <w:tabs>
          <w:tab w:val="clear" w:pos="708"/>
          <w:tab w:val="left" w:pos="720" w:leader="none"/>
        </w:tabs>
        <w:spacing w:lineRule="auto" w:line="360"/>
        <w:jc w:val="both"/>
        <w:rPr/>
      </w:pPr>
      <w:r>
        <w:rPr/>
        <w:tab/>
        <w:t xml:space="preserve">A alternância dos níveis temporais deve se constituir por meio de pressupostos teóricos, não empíricos. Em determinado caso na história da ciência, não é possível afirmar que o experimento A se constitui como condição ligada e gerada na estrutura ou que o experimento B é contingente e pode assim ser desprezado sem a adoção de pressupostos teóricos que permitam ao exame operar internamente tal julgamento. Que fenômenos podem se tornar eventos, que eventos devem ser integrados à trama da história passada? Espero responder a essas questões ao delimitar os conceitos examinados mais a frente como aplicação dessa proposta.    </w:t>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r>
    </w:p>
    <w:p>
      <w:pPr>
        <w:pStyle w:val="Normal"/>
        <w:spacing w:lineRule="auto" w:line="360"/>
        <w:jc w:val="center"/>
        <w:rPr>
          <w:b/>
          <w:b/>
        </w:rPr>
      </w:pPr>
      <w:r>
        <w:rPr>
          <w:b/>
        </w:rPr>
        <w:t>História, Ciência &amp; Literatura</w:t>
      </w:r>
    </w:p>
    <w:p>
      <w:pPr>
        <w:pStyle w:val="Normal"/>
        <w:spacing w:lineRule="auto" w:line="360"/>
        <w:jc w:val="center"/>
        <w:rPr>
          <w:b/>
          <w:b/>
        </w:rPr>
      </w:pPr>
      <w:r>
        <w:rPr>
          <w:b/>
        </w:rPr>
        <w:t xml:space="preserve"> </w:t>
      </w:r>
      <w:r>
        <w:rPr>
          <w:b/>
        </w:rPr>
        <w:t>Metodologia no intercambio de conceitos</w:t>
      </w:r>
    </w:p>
    <w:p>
      <w:pPr>
        <w:pStyle w:val="Normal"/>
        <w:spacing w:lineRule="auto" w:line="360"/>
        <w:jc w:val="both"/>
        <w:rPr/>
      </w:pPr>
      <w:r>
        <w:rPr/>
        <w:tab/>
      </w:r>
    </w:p>
    <w:p>
      <w:pPr>
        <w:pStyle w:val="Normal"/>
        <w:spacing w:lineRule="auto" w:line="360"/>
        <w:jc w:val="both"/>
        <w:rPr>
          <w:b/>
          <w:b/>
        </w:rPr>
      </w:pPr>
      <w:r>
        <w:rPr>
          <w:b/>
        </w:rPr>
        <w:t>Advertência preliminar</w:t>
      </w:r>
    </w:p>
    <w:p>
      <w:pPr>
        <w:pStyle w:val="Normal"/>
        <w:spacing w:lineRule="auto" w:line="360"/>
        <w:jc w:val="both"/>
        <w:rPr>
          <w:b/>
          <w:b/>
        </w:rPr>
      </w:pPr>
      <w:r>
        <w:rPr>
          <w:b/>
        </w:rPr>
      </w:r>
    </w:p>
    <w:p>
      <w:pPr>
        <w:pStyle w:val="Normal"/>
        <w:spacing w:lineRule="auto" w:line="360"/>
        <w:jc w:val="both"/>
        <w:rPr/>
      </w:pPr>
      <w:r>
        <w:rPr/>
        <w:tab/>
        <w:t xml:space="preserve">A ideia central na minha proposta é examinar a maneira como se estabelecem relações entre conceitos científicos utilizados fora do escopo da ciência (livros, revistas e artigos especializados). A maneira como se imagina, esses conceitos circulam, quase sempre, da ciência à sociedade. Um conceito científico pode ser apreendido a partir de três dimensões, a saber: (1) sua formulação; (2) a aplicação desse conceito na inquirição da realidade e; (3) as variações que tal conceito sofre a partir da sua formulação "original" e durante seu uso. Conceber essas três dimensões de existência e operacionalidade de um conceito científico nos permite conhecer as maneiras distintas como esses conceitos podem ser importados para discursos declaradamente não-científicos (a Literatura, por exemplo). O pressuposto de que existe um discurso eminentemente científico se sustenta, em alguma medida, nas mesmas condições que permitem afirmar a existência de um discurso literário, psicológico, sociológico etc. A garantia de existência de um discurso literário distinto de um discurso científico em nada se refere às questões de cientificidade desses discursos, valor de verdade relativo aos respectivos referentes e/ou outros obstáculos epistemológicos que possam aparentemente surgir, não mais do que à garantia de existência de algo como a Literatura e a Ciência tão somente. </w:t>
      </w:r>
    </w:p>
    <w:p>
      <w:pPr>
        <w:pStyle w:val="Normal"/>
        <w:spacing w:lineRule="auto" w:line="360"/>
        <w:jc w:val="both"/>
        <w:rPr/>
      </w:pPr>
      <w:r>
        <w:rPr/>
        <w:tab/>
        <w:t>As três dimensões de existência dos conceitos científicos acima apontados servem de categorias de análise para que se possa identificar a maneira como um conceito científico importado para um campo discursivo não-científico opera. Os três níveis (formulação, uso sem alteração semântica e modificação do conteúdo semântico do conceito) não ocorrem fora do discurso científico de maneira homogênea. Tal diferenciação com frequência é deixada de lado em obras que pretendam examinar o uso conjunto ou convergente de conceitos em áreas tão distantes como a Ciência e a Arte. Laura Otis em uma obra original identifica em níveis discursivos distintos o uso frequente de metáforas sobre o conceito de invasão como elemento convergente do discurso científico e literário na segunda metade do século XIX sem, no entanto, diferenciar a maneira como cientistas e escritores faziam uso desse conceito</w:t>
      </w:r>
      <w:r>
        <w:rPr>
          <w:rStyle w:val="Caracteresdenotaderodap"/>
          <w:rStyle w:val="Ncoradanotaderodap"/>
        </w:rPr>
        <w:footnoteReference w:id="8"/>
      </w:r>
      <w:r>
        <w:rPr/>
        <w:t>. Como mobilizador da maneira como esses cientistas e escritores pensavam seus respectivos problemas, o conceito de invasão serviria e/ou operaria em termos figurativos como metáfora para esses universos conceituais distintos, a saber, a Ciência e a Literatura. A identificação do conceito como metáfora comum aos dois campos do saber é mérito do trabalho de Otis e da maneira como essa metáfora teve papel importante na heurística daqueles que dela fizeram uso, ocorre que a não identificação da maneira como o conceito de invasão foi mobilizado (me refiro a se o campo semântico do conceito foi compartilhado de igual maneira por todos) impede a inferência sobre os pontos de contato entre os cientistas e escritores. Laura Otis identificou o uso recorrente do termo em seu aspecto mais primitivo, ou seja, na identificação do conceito de invasão com a definição de invasão, como se o conceito não pudesse ser modificado mesmo preservando o termo referenciado, a saber, o termo invasão (</w:t>
      </w:r>
      <w:r>
        <w:rPr>
          <w:i/>
        </w:rPr>
        <w:t>invasion</w:t>
      </w:r>
      <w:r>
        <w:rPr/>
        <w:t xml:space="preserve">). O que defendo nesse ensaio é justamente devedor da ideia de que um conceito não se restringe ao termo ao qual esteja associado, exigindo a explicação, em maior ou menor grau em função do problema examinado, da maneira como os praticantes das distintas áreas façam uso dos conceitos em questão. </w:t>
      </w:r>
    </w:p>
    <w:p>
      <w:pPr>
        <w:pStyle w:val="Normal"/>
        <w:spacing w:lineRule="auto" w:line="360"/>
        <w:jc w:val="both"/>
        <w:rPr/>
      </w:pPr>
      <w:r>
        <w:rPr/>
        <w:t xml:space="preserve">             </w:t>
      </w:r>
      <w:r>
        <w:rPr/>
        <w:t xml:space="preserve">Retomando a discussão sobre as três dimensões de ocorrência de um conceito, observa-se pouca ocorrência do primeiro (formulação do conceito), uma vez que considera-se axiomático que um conceito científico seja formulado interno à atividade científica (mesmo quando fortemente influenciado por ideias e conceitos extracientíficos). O segundo caso, a utilização do conceito </w:t>
      </w:r>
      <w:r>
        <w:rPr>
          <w:i/>
        </w:rPr>
        <w:t>Ipsis litteris</w:t>
      </w:r>
      <w:r>
        <w:rPr/>
        <w:t xml:space="preserve"> tal qual formulado na(s) ciência(s) de origem parece oferecer maior número de ocorrência nos discursos não-científicos (defenderei que essa maior ocorrência é apenas aparente, sendo o terceiro caso o de maior ocorrência). O terceiro caso, em que ocorre a modificação do conceito, apresenta ocorrência significativa. Nesse terceiro caso, faz-se necessária uma explicação ampliada. </w:t>
      </w:r>
    </w:p>
    <w:p>
      <w:pPr>
        <w:pStyle w:val="Normal"/>
        <w:spacing w:lineRule="auto" w:line="360"/>
        <w:jc w:val="both"/>
        <w:rPr/>
      </w:pPr>
      <w:r>
        <w:rPr/>
        <w:tab/>
        <w:t xml:space="preserve">A modificação de um conceito científico ocorre basicamente de duas maneiras: (1) pela modificação semântica do conceito. O conceito modificado altera parcial ou totalmente seu conjunto de significados diferentemente do conceito precedente; (2) pela ampliação ou diminuição do campo de ação do conceito sem, no entanto, modificar ou negar os pressupostos do conceito antecessor. Nesse segundo caso, o conceito antecessor parece ser um caso particular do conceito modificado, uma vez que suas premissas coincidem com as de seu sucessor. Um exemplo de modificação conceitual por ampliação do campo semântico do conceito pode ser expresso pelo conceito de atavismo (do latim </w:t>
      </w:r>
      <w:r>
        <w:rPr>
          <w:i/>
        </w:rPr>
        <w:t>atavus</w:t>
      </w:r>
      <w:r>
        <w:rPr/>
        <w:t xml:space="preserve">, ancestral). </w:t>
      </w:r>
    </w:p>
    <w:p>
      <w:pPr>
        <w:pStyle w:val="Normal"/>
        <w:spacing w:lineRule="auto" w:line="360"/>
        <w:jc w:val="both"/>
        <w:rPr/>
      </w:pPr>
      <w:r>
        <w:rPr/>
        <w:tab/>
        <w:t xml:space="preserve">Um anatomista do início do século XIX que se refira, por via do conceito de atavismo, a uma estrutura anatômica como indicativo de certas características estruturais no organismo após ausência em inúmeras gerações, não se configura como o mesmo conceito (atavismo) utilizado por um antropólogo ao identificar no comportamento de alguma tribo asiática e/ou africana características atávicas que indiquem diferenças evolutivas entre esses povos e o europeu, por exemplo. O conceito de atavismo nos dois casos compartilha das mesmas premissas básicas, que é de identificar o retorno de certas características ausentes em várias gerações de um dado organismo, no primeiro caso, o conceito tão somente tem como referente a estrutura anatômica, enquanto que no segundo caso, se estende ao comportamento social e características psicológicas. O anatomista e antropólogo não compartilham do mesmo conceito, a menos que o anatomista admita a possibilidade de ampliação do conceito para o nível social e psicológico. Esse exemplo indica o que designo por uma modificação do conceito pela ampliação do campo de ação do mesmo. Nas próximas seções serão examinadas as possibilidades de conexões entre o discurso literário e científico no intercambio de alguns conceitos a título de experimento da proposta. </w:t>
      </w:r>
    </w:p>
    <w:p>
      <w:pPr>
        <w:pStyle w:val="Normal"/>
        <w:spacing w:lineRule="auto" w:line="360"/>
        <w:jc w:val="both"/>
        <w:rPr/>
      </w:pPr>
      <w:r>
        <w:rPr/>
      </w:r>
    </w:p>
    <w:p>
      <w:pPr>
        <w:pStyle w:val="Normal"/>
        <w:spacing w:lineRule="auto" w:line="360"/>
        <w:jc w:val="both"/>
        <w:rPr/>
      </w:pPr>
      <w:r>
        <w:rPr>
          <w:b/>
        </w:rPr>
        <w:t>O problema</w:t>
      </w:r>
    </w:p>
    <w:p>
      <w:pPr>
        <w:pStyle w:val="Normal"/>
        <w:spacing w:lineRule="auto" w:line="360"/>
        <w:jc w:val="both"/>
        <w:rPr>
          <w:b/>
          <w:b/>
        </w:rPr>
      </w:pPr>
      <w:r>
        <w:rPr>
          <w:b/>
        </w:rPr>
      </w:r>
    </w:p>
    <w:p>
      <w:pPr>
        <w:pStyle w:val="Normal"/>
        <w:spacing w:lineRule="auto" w:line="360"/>
        <w:jc w:val="both"/>
        <w:rPr/>
      </w:pPr>
      <w:r>
        <w:rPr/>
        <w:tab/>
        <w:t xml:space="preserve">Um problema que se torna imperativo na presente análise se refere à proposição de que um determinado conceito seja eminentemente científico. O que significa afirmar que o conceito de </w:t>
      </w:r>
      <w:r>
        <w:rPr>
          <w:i/>
        </w:rPr>
        <w:t>átomo</w:t>
      </w:r>
      <w:r>
        <w:rPr/>
        <w:t xml:space="preserve"> é um conceito científico? Mais do que isso, afirma-se que o conceito de átomo é um conceito físico. Recusarei a consideração de que todo conceito se modifica ao ser utilizado a cada momento. Embora seja um truísmo tal afirmação, admitir a modificação constante do conceito implica, no limite, em considerar que dois físicos que estejam falando sobre átomos façam referência a universos conceituais completamente diferentes e que guardam tão somente a palavra átomo como ponto de contato, o que esgotaria a noção de conceito mais simples que exista (viveríamos em um mundo habitado apenas por nomes próprios). O conceito adquire certa estabilidade no uso entre os pares por um determinado período. Esse pressuposto é razoável, uma vez garantido que os dois físicos do exemplo acima possam falar de átomos sem a necessidade de a todo o momento esclarecer, um ao outro, o que a palavra designa. </w:t>
      </w:r>
    </w:p>
    <w:p>
      <w:pPr>
        <w:pStyle w:val="Normal"/>
        <w:spacing w:lineRule="auto" w:line="360"/>
        <w:jc w:val="both"/>
        <w:rPr/>
      </w:pPr>
      <w:r>
        <w:rPr/>
        <w:tab/>
        <w:t xml:space="preserve">Retornemos à pergunta inicial sobre o que significa afirmar que o conceito de átomo seja um conceito físico. Os conceitos científicos são gerados internos à atividade científica. Um grupo de pessoas, a quem designamos cientistas, inseridos em uma cultura própria daquela atividade, formula conceitos que lhes permitem falar acerca do mundo. Esse parece ser um enunciado razoável sobre uma afirmação que não parece sofrer resistência, a de que os conceitos científicos têm como origem a atividade dos cientistas (não é necessário aqui distinguir atividade teórica da prática). Se o conceito de átomo é um conceito científico ou, mais precisamente, um conceito físico, é salutar pensar que é um conceito formulado por físicos na atividade que os definem como físicos. Pensando dessa forma, os conceitos científicos nascem junto com a atividade científica, certo? Defenderei a seguir que não, principalmente os conceitos de longo alcance temporal na história da ciência e com um amplo leque semântico. </w:t>
      </w:r>
    </w:p>
    <w:p>
      <w:pPr>
        <w:pStyle w:val="Normal"/>
        <w:spacing w:lineRule="auto" w:line="360"/>
        <w:jc w:val="both"/>
        <w:rPr/>
      </w:pPr>
      <w:r>
        <w:rPr/>
        <w:tab/>
        <w:t>Pensando nos físicos agora. O conjunto de características que define uma pessoa como um membro da comunidade dos físicos é, na grande maioria, constitutivo de características modernas da definição moderna de disciplina científica. Pensamos no físico como aquele que pratica a física. Ampliamos a característica definidora do físico além da formação acadêmica para evitar a caracterização do profissional tão somente a partir da constituição dos cursos de Física segundo o modelo atual (evitando assim que físico seja considerado apenas aquele que se formou em um curso de Física). A Física enquanto disciplina científica distinta das demais é considerada por parte da historiografia como originalmente associada ao desenvolvimento da mecânica desde meados dos séculos XVI-XVII, embora os ‘mecânicos’ desse período fossem designados por filósofos naturais. O físico James Clerk Maxwell (1831-1879), em uma conferência inaugural no King’s College de Londres em 1860 quando de sua posse na cátedra de Filosofia Natural afirmou que,</w:t>
      </w:r>
    </w:p>
    <w:p>
      <w:pPr>
        <w:pStyle w:val="Normal"/>
        <w:spacing w:lineRule="auto" w:line="360"/>
        <w:jc w:val="both"/>
        <w:rPr/>
      </w:pPr>
      <w:r>
        <w:rPr/>
      </w:r>
    </w:p>
    <w:p>
      <w:pPr>
        <w:pStyle w:val="Normal"/>
        <w:spacing w:lineRule="auto" w:line="360"/>
        <w:ind w:left="360" w:hanging="0"/>
        <w:jc w:val="both"/>
        <w:rPr/>
      </w:pPr>
      <w:r>
        <w:rPr>
          <w:i/>
        </w:rPr>
        <w:t>Filosofia natural é o nome que se dá neste país a um conjunto de ciências constituído por dois grupos principais. O primeiro dos quais a Mecânica, que inclui a teoria geral do movimento e equilíbrio, junto com a aplicação dos princípios mecânicos na investigação dos fenômenos da natureza. O segundo grupo de ciências se denomina comumente Física, e inclui na atualidade o estudo da luz, o calor, a eletricidade e o magnetismo; e, em geral, aqueles fenômenos que relacionamos com os princípios mais gerais, porém que ainda não contemplamos como o resultado de ações mecânicas conhecidas.</w:t>
      </w:r>
      <w:r>
        <w:rPr>
          <w:rStyle w:val="Caracteresdenotaderodap"/>
          <w:rStyle w:val="Ncoradanotaderodap"/>
        </w:rPr>
        <w:footnoteReference w:id="9"/>
      </w:r>
      <w:r>
        <w:rPr/>
        <w:t xml:space="preserve">  </w:t>
      </w:r>
    </w:p>
    <w:p>
      <w:pPr>
        <w:pStyle w:val="Normal"/>
        <w:spacing w:lineRule="auto" w:line="360"/>
        <w:jc w:val="both"/>
        <w:rPr/>
      </w:pPr>
      <w:r>
        <w:rPr/>
        <w:t xml:space="preserve">                  </w:t>
      </w:r>
    </w:p>
    <w:p>
      <w:pPr>
        <w:pStyle w:val="Normal"/>
        <w:spacing w:lineRule="auto" w:line="360"/>
        <w:jc w:val="both"/>
        <w:rPr/>
      </w:pPr>
      <w:r>
        <w:rPr/>
        <w:tab/>
        <w:t xml:space="preserve">A consideração de que a Física é um ramo da Filosofia Natural, segundo afirmou Maxwell, não invalida a assertiva histórica de que no século XIX a Física já se distinguia da Filosofia e de outras disciplinas acadêmicas. Quando se afirma que o conceito de átomo seja eminentemente um conceito físico, objetiva-se aludir ao fato de o conceito ter sido gerado interno à atividade dos físicos. Escolhi como exemplo o conceito de átomo por se tratar de um conceito muito antigo dentre outros conceitos físicos modernos. Um retorno aos séculos anteriores ao século XIX dilui cada vez mais as características que definem a atividade dos físicos como uma atividade exclusiva e distinta de outras áreas do saber. A consequência disso é a negação, em um dado momento, da distinção do que conhecemos por Física enquanto disciplina científica de outros ramos do conhecimento. O conceito de átomo, no entanto, remete-nos à antiguidade. Importante destacar que não estou afirmando a permanência do conceito de átomo desde os gregos à modernidade tal qual formulada pelos antigos. O conceito sofreu modificações significativas até alcançar o escopo semântico moderno mesmo que ainda se prenda à mesma palavra. O conceito supera o termo, mesmo quando o exame etimológico indique contradição entre o léxico e o conteúdo semântico. O conceito de átomo atual contraria a designação de indivisibilidade associada à etimologia da grafia no grego antigo. Segundo a Física contemporânea, as partículas indivisíveis não são os átomos, mas o que os físicos chamam de partículas elementares. </w:t>
      </w:r>
    </w:p>
    <w:p>
      <w:pPr>
        <w:pStyle w:val="Normal"/>
        <w:spacing w:lineRule="auto" w:line="360"/>
        <w:jc w:val="both"/>
        <w:rPr/>
      </w:pPr>
      <w:r>
        <w:rPr/>
        <w:tab/>
        <w:t xml:space="preserve">Dessa maneira, espero ter esclarecido a ideia de que a paternidade do conceito de átomo atribuída à Física é um tanto quanto arbitrária. Alguém poderia questionar que o conceito de átomo derivado exclusivamente da Física enquanto disciplina moderna autônoma é o conceito moderno, sem grandes conexões com os seus antecessores. O argumento seguiria afirmando a formação do conceito moderno de átomo independentemente de qualquer conteúdo semântico anterior associado à ideia de átomo. A única relação que os conceitos de átomo guardariam nesse caso com o conceito físico moderno seria a utilização da palavra </w:t>
      </w:r>
      <w:r>
        <w:rPr>
          <w:i/>
        </w:rPr>
        <w:t>átomo</w:t>
      </w:r>
      <w:r>
        <w:rPr/>
        <w:t xml:space="preserve">. Para um conceito de longo alcance como é o caso do conceito de átomo essa inferência se torna um obstáculo para a tese da permanência de algum elemento semântico no conceito tal qual defendo aqui. Antes de enfrentar esse problema diretamente, proponho examinar um ponto relacionado a ele e importante para esclarecer a questão. O conceito de átomo exclusivamente como um conceito físico guarda alguma relação com o papel que ele ocupa nas principais teorias físicas sobre a matéria? Essa relação é relevante para a determinação da “paternidade” do conceito atribuída à Física? A pergunta que pretendo responder a partir dessas duas questões acima é a seguinte: a afirmação de que o conceito de átomo é fundamentalmente um conceito físico depende da importância que o conceito de átomo tem para as teorias dos físicos? Se sim, devemos aceitar que a importação do conceito para outra disciplina distinta da Física possa permitir a reivindicação de exclusividade do conceito uma vez que tal conceito assuma papel central nas teorias dessa disciplina em questão. Importante destacar que esse movimento pode se dar nos dois sentidos da linha do tempo, retirando assim a vinculação específica do conceito com a atividade moderna dos físicos. </w:t>
      </w:r>
    </w:p>
    <w:p>
      <w:pPr>
        <w:pStyle w:val="Normal"/>
        <w:spacing w:lineRule="auto" w:line="360"/>
        <w:jc w:val="both"/>
        <w:rPr/>
      </w:pPr>
      <w:r>
        <w:rPr/>
        <w:tab/>
        <w:t xml:space="preserve">Ainda sobre o conceito de átomo como um conceito físico moderno, um exame histórico mostraria o quão relativo é a importância do conceito de átomo nas teorias físicas sobre a natureza da matéria. Anterior ao século XIX, quando o conceito de átomo começa a assumir papel central na agenda dos físicos, não há um modelo consensual. Observa-se o desenvolvimento da Mecânica nos séculos XVI e XVII sem a necessidade central em suas teorias do conceito de átomo. Não vamos nos estender nessa questão, mas acredito que seja um tanto quanto razoável a ideia de que a importância que determinado conceito assume em um conjunto de teorias não seja condição necessária e suficiente para que esse conceito seja integrado como sendo um conceito exclusivo dessa disciplina que o absorveu. </w:t>
      </w:r>
    </w:p>
    <w:p>
      <w:pPr>
        <w:pStyle w:val="Normal"/>
        <w:spacing w:lineRule="auto" w:line="360"/>
        <w:jc w:val="both"/>
        <w:rPr/>
      </w:pPr>
      <w:r>
        <w:rPr/>
        <w:tab/>
        <w:t xml:space="preserve">Outra hipótese que poderia ser levantada para justificar o selo da física sob o conceito de átomo é que o conceito de átomo faz referência a objetos que os físicos estudam e não os geógrafos, biólogos ou outros profissionais. Os átomos, como objetos do mundo, são de interesse dos físicos mais do que de qualquer outro profissional. Esse debate é um hiato grande demais para os fins desse ensaio. Prefiro saltá-lo considerando que a problemática possa ser recolocada da seguinte maneira. O conceito moderno de átomo foi modificado e ampliado pelo trabalho constante da Física a partir do século XIX, principalmente, aumentando seu conteúdo semântico e, consequentemente, aumentando o grau de importância desse conceito no seu conjunto de teorias. Quando diz-se que o conceito de célula é um ‘atomismo biológico’ não se quer com isso fazer referência ao mesmo átomo dos físicos. A importação da noção de unidade básica da matéria para os organismos biológicos guarda muito pouco do conteúdo de significados que a palavra átomo carrega na Física ao longo do século XIX. Por isso, não é correto dizer que a célula é o ‘átomo dos biólogos’, já que a noção de unidade fundamental, talvez único ponto de convergência entre os dois conceitos, o de átomo e célula, seja mais fundamental que ambos. O conceito de unidade fundamental, no sentido de partes de um todo, é mais geral que os conceitos de átomo e célula, ao invés da falsa noção de que o conceito de átomo é mais fundamental que o de célula, absorvendo-o inclusive no que se refere apenas à noção de parte fundamental (no caso do átomo, unidade fundamental da matéria e no caso da célula, dos organismos biológicos). </w:t>
      </w:r>
    </w:p>
    <w:p>
      <w:pPr>
        <w:pStyle w:val="Normal"/>
        <w:spacing w:lineRule="auto" w:line="360"/>
        <w:jc w:val="both"/>
        <w:rPr/>
      </w:pPr>
      <w:r>
        <w:rPr/>
        <w:tab/>
        <w:t xml:space="preserve">Como síntese preliminar, entendo que um conceito científico é necessariamente marcado por dois pontos: (1) o conteúdo semântico do conceito é majoritariamente desenvolvido a partir da atividade científica. Essa atividade pode ser apenas de um determinado grupo (no caso do conceito de átomo desenvolvido pelos físicos) ou por grupos distintos em caso de conceitos que transcendem disciplinas específicas (creio ser esse o caso mais geral) e; (2) a importância que o conceito assume interno ao conjunto de teorias dessas áreas científicas envolvidas em sua utilização. Dessa maneira, um conceito importado a partir de um determinado discurso em que ele foi formulado, quando não comprometido com seu escopo semântico e seu raio de ação, será um conceito modificado. O objetivo desse capítulo é examinar situações onde isso ocorre envolvendo a Literatura e a Ciência. Apresentarei três casos com o intuito de testar a amplitude da proposta (a proposta orientará e ao mesmo tempo será testada nos demais capítulos). </w:t>
      </w:r>
    </w:p>
    <w:p>
      <w:pPr>
        <w:pStyle w:val="Normal"/>
        <w:spacing w:lineRule="auto" w:line="360"/>
        <w:jc w:val="both"/>
        <w:rPr/>
      </w:pPr>
      <w:r>
        <w:rPr/>
      </w:r>
    </w:p>
    <w:p>
      <w:pPr>
        <w:pStyle w:val="Normal"/>
        <w:spacing w:lineRule="auto" w:line="360"/>
        <w:jc w:val="both"/>
        <w:rPr>
          <w:b/>
          <w:b/>
        </w:rPr>
      </w:pPr>
      <w:r>
        <w:rPr>
          <w:b/>
        </w:rPr>
        <w:t xml:space="preserve">Zola e a medicina experimental bernardiana      </w:t>
        <w:tab/>
        <w:t xml:space="preserve">              </w:t>
      </w:r>
    </w:p>
    <w:p>
      <w:pPr>
        <w:pStyle w:val="Normal"/>
        <w:spacing w:lineRule="auto" w:line="360"/>
        <w:jc w:val="both"/>
        <w:rPr>
          <w:b/>
          <w:b/>
        </w:rPr>
      </w:pPr>
      <w:r>
        <w:rPr>
          <w:b/>
        </w:rPr>
      </w:r>
    </w:p>
    <w:p>
      <w:pPr>
        <w:pStyle w:val="Normal"/>
        <w:spacing w:lineRule="auto" w:line="360"/>
        <w:jc w:val="both"/>
        <w:rPr/>
      </w:pPr>
      <w:r>
        <w:rPr/>
        <w:tab/>
        <w:t>Em uma obra de 1880</w:t>
      </w:r>
      <w:r>
        <w:rPr>
          <w:rStyle w:val="Caracteresdenotaderodap"/>
          <w:rStyle w:val="Ncoradanotaderodap"/>
        </w:rPr>
        <w:footnoteReference w:id="10"/>
      </w:r>
      <w:r>
        <w:rPr/>
        <w:t xml:space="preserve">, Emile Zola (1840-1902) apresentou sua teoria do romance experimental. Nessa pequena obra, Zola propõe uma literatura formada sob a égide do modelo proposto por Claude Bernard (1813-1878) para a medicina experimental. A literatura ocupar-se-ia dos fenômenos sociais, tal como a medicina se ocupa dos fenômenos biológicos. A importação de conceitos nesse caso ocorre majoritariamente no nível metateórico. Conceitos tais como o de experimentação e causalidade devem ser ampliados ao campo social. O raio de ação desses conceitos sai do escopo da ciência para o plano social na pena do escritor. Há um pressuposto anterior que se refere ao que Zola chamou de estágio científico em que a humanidade alcançou no século XIX e que a literatura apenas deveria compartilhar desse estágio. O romance experimental representa tal estágio no âmbito literário. A proposta apresentada por Zola é, segundo o próprio autor, tão somente um alargamento do método científico (o santo graal de muitos cientistas). </w:t>
      </w:r>
    </w:p>
    <w:p>
      <w:pPr>
        <w:pStyle w:val="Normal"/>
        <w:spacing w:lineRule="auto" w:line="360"/>
        <w:jc w:val="both"/>
        <w:rPr/>
      </w:pPr>
      <w:r>
        <w:rPr/>
      </w:r>
    </w:p>
    <w:p>
      <w:pPr>
        <w:pStyle w:val="Normal"/>
        <w:spacing w:lineRule="auto" w:line="360"/>
        <w:ind w:left="360" w:hanging="0"/>
        <w:jc w:val="both"/>
        <w:rPr>
          <w:i/>
          <w:i/>
        </w:rPr>
      </w:pPr>
      <w:r>
        <w:rPr>
          <w:i/>
        </w:rPr>
        <w:t>Farei aqui tão somente um trabalho de adaptação, pois, o método experimental foi estabelecido com uma força e uma clareza maravilhosas por Claude Bernard, em sua Introdução ao Estudo da Medicina Experimental. Este livro, de um cientista cuja autoridade é decisiva, vai servir-me de base sólida. Nele encontrarei toda a questão tratada, e limitar-me-ei, como argumento irrefutável, a dar as citações que me serão necessárias. Será apenas uma compilação de textos, uma vez que pretendo, em todos os pontos, entrincheirar-me por trás de Claude Bernard. No mais das vezes, bastará substituir a palavra “médico” pela palavra “romancista”.</w:t>
      </w:r>
      <w:r>
        <w:rPr>
          <w:rStyle w:val="Caracteresdenotaderodap"/>
          <w:rStyle w:val="Ncoradanotaderodap"/>
          <w:i/>
        </w:rPr>
        <w:footnoteReference w:id="11"/>
      </w:r>
      <w:r>
        <w:rPr>
          <w:i/>
        </w:rPr>
        <w:t xml:space="preserve">       </w:t>
      </w:r>
    </w:p>
    <w:p>
      <w:pPr>
        <w:pStyle w:val="Normal"/>
        <w:spacing w:lineRule="auto" w:line="360"/>
        <w:jc w:val="both"/>
        <w:rPr>
          <w:i/>
          <w:i/>
        </w:rPr>
      </w:pPr>
      <w:r>
        <w:rPr>
          <w:i/>
        </w:rPr>
      </w:r>
    </w:p>
    <w:p>
      <w:pPr>
        <w:pStyle w:val="Normal"/>
        <w:spacing w:lineRule="auto" w:line="360"/>
        <w:jc w:val="both"/>
        <w:rPr/>
      </w:pPr>
      <w:r>
        <w:rPr/>
        <w:tab/>
        <w:t xml:space="preserve">A importação de conceitos científicos nesse caso não ganha força a partir de conceitos específicos a determinadas disciplinas ou teorias. O que estabelece relações de força nesse intercambio são conceitos diretamente relacionados à metodologia da ciência que se quer aproximar à escrita literária. O trabalho científico, sob a interpretação que Zola faz de Claude Bernard, se debruça sobre duas operações fundamentais, a observação e experimentação, sendo que a segunda se constitui em uma </w:t>
      </w:r>
      <w:r>
        <w:rPr>
          <w:i/>
        </w:rPr>
        <w:t>observação direcionada</w:t>
      </w:r>
      <w:r>
        <w:rPr/>
        <w:t>. Zola, citando Claude Bernard, sintetiza a teoria do romance experimental da seguinte maneira:</w:t>
      </w:r>
    </w:p>
    <w:p>
      <w:pPr>
        <w:pStyle w:val="Normal"/>
        <w:spacing w:lineRule="auto" w:line="360"/>
        <w:jc w:val="both"/>
        <w:rPr/>
      </w:pPr>
      <w:r>
        <w:rPr/>
      </w:r>
    </w:p>
    <w:p>
      <w:pPr>
        <w:pStyle w:val="Normal"/>
        <w:spacing w:lineRule="auto" w:line="360"/>
        <w:ind w:left="360" w:hanging="0"/>
        <w:jc w:val="both"/>
        <w:rPr>
          <w:i/>
          <w:i/>
        </w:rPr>
      </w:pPr>
      <w:r>
        <w:rPr>
          <w:i/>
        </w:rPr>
        <w:t>Quando raciocinamos sobre nossos próprios atos, temos um guia seguro, porque temos consciência do que pensamos e do que sentimos. Mas se quisermos julgar os atos de um outro homem e saber o motivo que o faz agir, é bem diferente. É bem verdade que temos diante dos olhos os movimentos deste homem e suas manifestações, que são, com certeza absoluta, os modos de expressão de sua sensibilidade e de sua vontade. Além do que admitimos também que há uma relação necessária entre os atos e sua causa; mas qual é esta causa? Não a sentimos em nós, não temos consciência dela como quando se trata de nós mesmos; somos, portanto, obrigados a interpretá-la, supô-la através dos movimentos que vemos e das palavras que ouvimos. Devemos então controlar os atos deste homem, uns pelos outros; para isso, consideramos como ele age em tal circunstância e, em uma palavra, recorremos ao método experimental.</w:t>
      </w:r>
      <w:r>
        <w:rPr>
          <w:rStyle w:val="Caracteresdenotaderodap"/>
          <w:rStyle w:val="Ncoradanotaderodap"/>
          <w:i/>
        </w:rPr>
        <w:footnoteReference w:id="12"/>
      </w:r>
      <w:r>
        <w:rPr>
          <w:i/>
        </w:rPr>
        <w:t xml:space="preserve">     </w:t>
      </w:r>
    </w:p>
    <w:p>
      <w:pPr>
        <w:pStyle w:val="Normal"/>
        <w:spacing w:lineRule="auto" w:line="360"/>
        <w:jc w:val="both"/>
        <w:rPr/>
      </w:pPr>
      <w:r>
        <w:rPr/>
        <w:t xml:space="preserve"> </w:t>
      </w:r>
    </w:p>
    <w:p>
      <w:pPr>
        <w:pStyle w:val="Normal"/>
        <w:spacing w:lineRule="auto" w:line="360"/>
        <w:jc w:val="both"/>
        <w:rPr/>
      </w:pPr>
      <w:r>
        <w:rPr/>
        <w:tab/>
        <w:t xml:space="preserve">A pergunta fundamental que deve ser feita no intuito de aplicar o método experimental à literatura se refere à possibilidade da experiência na obra literária. Zola faz referência à distinção apontada por Bernard entre as ciências de observação e as ciências de experimentação. A Astronomia se caracteriza como uma ciência de observação e a Química como uma ciência de experimentação. No primeiro exemplo, o astrônomo não age sobre seu objeto (os astros), enquanto que o químico não só age sobre a natureza como a modifica fazendo o fenômeno aparecer segundo seu interesse. A observação ‘mostra’ e a experiência ‘instrui’ o pesquisador. Zola utiliza como exemplo da experimentação na literatura a obra </w:t>
      </w:r>
      <w:r>
        <w:rPr>
          <w:i/>
        </w:rPr>
        <w:t>La cousine Bette</w:t>
      </w:r>
      <w:r>
        <w:rPr>
          <w:rStyle w:val="Caracteresdenotaderodap"/>
          <w:rStyle w:val="Ncoradanotaderodap"/>
          <w:i/>
        </w:rPr>
        <w:footnoteReference w:id="13"/>
      </w:r>
      <w:r>
        <w:rPr/>
        <w:t>, livro escrito por Honoré de Balzac (1799-1850). Segundo Zola, há um fato geral e que deve ser considerado fruto da inquirição (observação) de Balzac sobre a sociedade. Tal fato é a desordem causada pelo temperamento amoroso de um homem e as consequências sobre si e os demais (familiares e a sociedade em geral). Esse é o tema e ponto de partida do romance. A partir dessa hipótese o autor pode criar a experiência. Balzac submete sua personagem Hulot a inúmeras circunstancias com o intuito de demonstrar os mecanismos de sua paixão. Esse primeiro nível, diz Zola, caracteriza-se majoritariamente pela observação e confirmação das hipóteses observadas. Em um segundo momento, se institui a experimentação. Diz Zola:</w:t>
      </w:r>
    </w:p>
    <w:p>
      <w:pPr>
        <w:pStyle w:val="Normal"/>
        <w:spacing w:lineRule="auto" w:line="360"/>
        <w:jc w:val="both"/>
        <w:rPr/>
      </w:pPr>
      <w:r>
        <w:rPr/>
      </w:r>
    </w:p>
    <w:p>
      <w:pPr>
        <w:pStyle w:val="Normal"/>
        <w:spacing w:lineRule="auto" w:line="360"/>
        <w:ind w:left="360" w:hanging="0"/>
        <w:jc w:val="both"/>
        <w:rPr/>
      </w:pPr>
      <w:r>
        <w:rPr>
          <w:i/>
        </w:rPr>
        <w:t>Balzac não se limita estritamente – como um fotógrafo – aos fatos recolhidos, visto que ele intervém de maneira direta para colocar a personagem em condições que permanecem sob seu controle. O problema consiste em saber o que determinada paixão, agindo num certo meio e em certas circunstâncias, produzirá sob o ponto de vista do indivíduo e da sociedade; e um romance experimental, La cousine Bette por exemplo, é simplesmente o relatório da experiência que o romancista reproduz sob as vistas do público</w:t>
      </w:r>
      <w:r>
        <w:rPr/>
        <w:t>.</w:t>
      </w:r>
      <w:r>
        <w:rPr>
          <w:rStyle w:val="Caracteresdenotaderodap"/>
          <w:rStyle w:val="Ncoradanotaderodap"/>
        </w:rPr>
        <w:footnoteReference w:id="14"/>
      </w:r>
      <w:r>
        <w:rPr/>
        <w:t xml:space="preserve">              </w:t>
      </w:r>
    </w:p>
    <w:p>
      <w:pPr>
        <w:pStyle w:val="Normal"/>
        <w:spacing w:lineRule="auto" w:line="360"/>
        <w:jc w:val="both"/>
        <w:rPr/>
      </w:pPr>
      <w:r>
        <w:rPr/>
      </w:r>
    </w:p>
    <w:p>
      <w:pPr>
        <w:pStyle w:val="Normal"/>
        <w:spacing w:lineRule="auto" w:line="360"/>
        <w:jc w:val="both"/>
        <w:rPr/>
      </w:pPr>
      <w:r>
        <w:rPr/>
        <w:tab/>
        <w:t>A tríade apontada na passagem acima sobre determinada paixão, o meio em que age e as circunstâncias em que os eventos ocorrem, expressa a influência que Zola teve do pensamento de Hippolyte Taine (1828-1893) e sua teoria dos três fatores, a raça, meio e o momento histórico, em que Taine propõe explicar a relação causal entre esses três fatores e a gênese da obra artística. Em uma obra de Psicologia</w:t>
      </w:r>
      <w:r>
        <w:rPr>
          <w:rStyle w:val="Caracteresdenotaderodap"/>
          <w:rStyle w:val="Ncoradanotaderodap"/>
        </w:rPr>
        <w:footnoteReference w:id="15"/>
      </w:r>
      <w:r>
        <w:rPr/>
        <w:t xml:space="preserve"> de 1870, Taine expõe sua teoria sobre a inteligência nas dimensões psicológicas e fisiológicas. No prefácio, Taine assume a relação que a História e a Linguística tem com a Psicologia. As duas primeiras são aplicações da segunda, devendo acompanhar os avanços nos estudos da Psicologia para posteriormente desenvolver suas teses. Cito uma longa passagem de Taine. </w:t>
      </w:r>
    </w:p>
    <w:p>
      <w:pPr>
        <w:pStyle w:val="Normal"/>
        <w:spacing w:lineRule="auto" w:line="360"/>
        <w:jc w:val="both"/>
        <w:rPr/>
      </w:pPr>
      <w:r>
        <w:rPr/>
      </w:r>
    </w:p>
    <w:p>
      <w:pPr>
        <w:pStyle w:val="Normal"/>
        <w:spacing w:lineRule="auto" w:line="360"/>
        <w:ind w:left="360" w:hanging="0"/>
        <w:jc w:val="both"/>
        <w:rPr/>
      </w:pPr>
      <w:r>
        <w:rPr>
          <w:i/>
        </w:rPr>
        <w:t>(...) Outras duas ciências, a Linguística e a História, também aumentam com seus descobrimentos [da Psicologia]. De fato, são aplicações da Psicologia, quase tanto como a Meteorologia é da Física. O físico estuda em seu gabinete, a partir de pequenos exemplos eleitos, as leis da gravitação, do calor, a formação dos vapores, seu congelamento e sua liquefação. O meteorologista estuda as mesmas coisas, porém, em circunstâncias mais complexas, servindo-se das leis físicas para explicar a formação de nuvens, das geleiras, dos rios e dos ventos. Essa é também a posição do linguista e do historiador em relação ao psicólogo. Por isto, não podem deixar de se ajudarem mutuamente, seja quando a aplicação ponha no caminho de uma teoria, seja quando a teoria ponha no de uma aplicação. Por exemplo, não creio que um historiador possa ter ideia clara da Índia bramânica e budista, se não estudou previamente o êxtase, a catalepsia, a alucinação e a loucura razoavelmente. Da mesma forma, as lacunas que hoje apresentam a Linguistica, sobretudo nas questões de origem, não se preencheram senão quando os observadores, olhando pela psicologia da natureza da linguagem, notaram os menores detalhes da aquisição da linguagem pelas crianças. (...) Em resumo, o que estuda o homem e o que estuda os homens, o psicólogo e o historiador, separados por pontos de vistas distintos tem, no entanto, o mesmo objetivo; e por isto, cada novo dado de um deve ser somado nas conquistas do outro. – Isto é visível hoje, principalmente na história. Advertimos que, para compreender as transformações que sofre tal molécula humana ou tal grupo de moléculas humanas, é preciso fazer sua psicologia. É preciso fazer a do puritano para compreender a revolução de 1649 na Inglaterra, a do jacobino para compreender a revolução de 1789 na França. Carlyle escreveu a de Cromwell; Sainte-Beuve a de Port-Royal; Stendhal retomou em vinte ocasiões a do italiano; Renan nos deu a do semita. Todo historiador perspicaz e filósofo trabalha sob um individuo, um grupo, um século, um povo ou uma raça; as investigações dos linguistas, mitólogos, etnógrafos não tem outra finalidade; se trata sempre de descrever uma alma humana ou os traços comuns a um grupo natural de almas humanas; e o que os historiadores faziam no passado, os grandes novelistas e dramaturgos o fazem no presente.</w:t>
      </w:r>
      <w:r>
        <w:rPr>
          <w:rStyle w:val="Caracteresdenotaderodap"/>
          <w:rStyle w:val="Ncoradanotaderodap"/>
          <w:i/>
        </w:rPr>
        <w:footnoteReference w:id="16"/>
      </w:r>
      <w:r>
        <w:rPr/>
        <w:t xml:space="preserve">                     </w:t>
      </w:r>
    </w:p>
    <w:p>
      <w:pPr>
        <w:pStyle w:val="Normal"/>
        <w:spacing w:lineRule="auto" w:line="360"/>
        <w:jc w:val="both"/>
        <w:rPr/>
      </w:pPr>
      <w:r>
        <w:rPr/>
        <w:t xml:space="preserve">       </w:t>
      </w:r>
    </w:p>
    <w:p>
      <w:pPr>
        <w:pStyle w:val="Normal"/>
        <w:spacing w:lineRule="auto" w:line="360"/>
        <w:jc w:val="both"/>
        <w:rPr/>
      </w:pPr>
      <w:r>
        <w:rPr/>
        <w:tab/>
        <w:t xml:space="preserve">O pressuposto de que ocorre nas sociedades certa regularidade expressa em seus membros, à semelhança do que ocorre na natureza, permite a análise de elementos isolados e posterior generalização desses traços ao grupo. Os exemplos apresentados por Taine demonstram a força com que esses autores aderiram a esse pressuposto tipológico. A importação para a literatura dos princípios estabelecidos por Claude Bernard para a medicina experimental indica esse compromisso da parte de Zola de maneira acentuada. Esse configura o primeiro caso em que examino a importação de conceitos científicos no nível da metodologia da ciência e da literatura. Nesse nível, a forma precede o conteúdo em importância. É central a forma em detrimento do conteúdo nesse modelo aqui analisado. Examinarei a seguir um caso em que o conteúdo precede a forma no intercambio de conceitos entre um discurso eminentemente científico e outro não científico (nesse caso o discurso não científico, no mais das vezes, pretende alçar-se à ciência em termos de prestígio acadêmico).      </w:t>
      </w:r>
    </w:p>
    <w:p>
      <w:pPr>
        <w:pStyle w:val="Normal"/>
        <w:spacing w:lineRule="auto" w:line="360"/>
        <w:jc w:val="both"/>
        <w:rPr/>
      </w:pPr>
      <w:r>
        <w:rPr/>
      </w:r>
    </w:p>
    <w:p>
      <w:pPr>
        <w:pStyle w:val="Normal"/>
        <w:spacing w:lineRule="auto" w:line="360"/>
        <w:jc w:val="both"/>
        <w:rPr/>
      </w:pPr>
      <w:r>
        <w:rPr>
          <w:b/>
        </w:rPr>
        <w:t xml:space="preserve">O éter material e espiritual, a plasticidade de um conceito na fronteira entre a ciência e a não-ciência </w:t>
      </w:r>
    </w:p>
    <w:p>
      <w:pPr>
        <w:pStyle w:val="Normal"/>
        <w:spacing w:lineRule="auto" w:line="360"/>
        <w:jc w:val="both"/>
        <w:rPr>
          <w:b/>
          <w:b/>
        </w:rPr>
      </w:pPr>
      <w:r>
        <w:rPr>
          <w:b/>
        </w:rPr>
      </w:r>
    </w:p>
    <w:p>
      <w:pPr>
        <w:pStyle w:val="Normal"/>
        <w:spacing w:lineRule="auto" w:line="360"/>
        <w:jc w:val="both"/>
        <w:rPr/>
      </w:pPr>
      <w:r>
        <w:rPr/>
        <w:tab/>
        <w:t>O conceito de éter</w:t>
      </w:r>
      <w:r>
        <w:rPr>
          <w:rStyle w:val="Caracteresdenotaderodap"/>
          <w:rStyle w:val="Ncoradanotaderodap"/>
        </w:rPr>
        <w:footnoteReference w:id="17"/>
      </w:r>
      <w:r>
        <w:rPr/>
        <w:t xml:space="preserve"> é um exemplo de conceito de grande amplitude semântica e cronológica. A diversidade com que o vocábulo ocorre na história da ciência (e fora dela) não é passível de ser satisfatoriamente rastreada e nem é o caso. Apresentarei algumas variações do conceito de éter nas ciências modernas e sua ocorrência em discursos não científicos. O intercambio do conceito de éter tal qual examinado aqui se apresenta em casos em que se amplia o conceito (sejam por suas propriedades estruturais e/ou relacionais) com o intuito de legitimar determinado discurso e inseri-lo em outras esferas discursivas. Diferentemente do primeiro caso examinado, nesse segundo caso, o nível em que ocorre o intercambio de conceitos apresenta uma estrutura em que o conteúdo precede a forma. Os conceitos não são importados no nível metateórico, mas tratam-se de conceitos inseridos em determinado conjunto de teorias ou pretensas teorias. Não é uma questão metodológica que orienta a importação de conceitos nesse nível. A escolha das teorias e autores examinados nessa seção é de certa forma arbitrária. Dada à influência que a mecânica newtoniana teve sobre o pensamento científico no século XVIII, o ponto de partida é o uso e conceitualização que Isaac Newton (1642-1727) dedicou à noção de éter.   </w:t>
      </w:r>
    </w:p>
    <w:p>
      <w:pPr>
        <w:pStyle w:val="Normal"/>
        <w:spacing w:lineRule="auto" w:line="360"/>
        <w:jc w:val="both"/>
        <w:rPr/>
      </w:pPr>
      <w:r>
        <w:rPr/>
        <w:tab/>
        <w:t>O conceito de éter é uma boa contraposição à ideia defendida no início do capítulo sobre a estabilidade que os conceitos científicos assumem em determinado momento da atividade científica. Quando examinado em detalhes em diferentes autores na modernidade, a diversidade com que se apresenta tal conceito desestimula a ideia de que possa ter um enunciado geral que abarque todas, ou a maior parte, das variações do conceito de éter.</w:t>
      </w:r>
    </w:p>
    <w:p>
      <w:pPr>
        <w:pStyle w:val="Normal"/>
        <w:spacing w:lineRule="auto" w:line="360"/>
        <w:jc w:val="both"/>
        <w:rPr/>
      </w:pPr>
      <w:r>
        <w:rPr/>
        <w:tab/>
        <w:t>A historiografia</w:t>
      </w:r>
      <w:r>
        <w:rPr>
          <w:rStyle w:val="Caracteresdenotaderodap"/>
          <w:rStyle w:val="Ncoradanotaderodap"/>
        </w:rPr>
        <w:footnoteReference w:id="18"/>
      </w:r>
      <w:r>
        <w:rPr/>
        <w:t xml:space="preserve"> comumente concebe dois momentos distintos em que Newton tratou da questão do éter. Na década de 1670 quando escreveu dois artigos, um sobre a luz e as cores lido na Royal Society em 1675/6 e em carta endereçada a Robert Boyle (1627-1691) e que foi publicada por Thomas Birch na edição de Boyle’s works em 1744. Em correspondência com o teólogo de Cambridge Richard Bentley (1662-1742), Newton mencionou a ideia de éter, principalmente negando a noção de gravidade inata possivelmente atribuída a ele. Foram quatro cartas enviadas à Bentley no final de 1692 e início de 1693 em que Newton fez alusão ao conceito de éter como um possível mediador da ação à distância. Na terceira carta</w:t>
      </w:r>
      <w:r>
        <w:rPr>
          <w:rStyle w:val="Caracteresdenotaderodap"/>
          <w:rStyle w:val="Ncoradanotaderodap"/>
        </w:rPr>
        <w:footnoteReference w:id="19"/>
      </w:r>
      <w:r>
        <w:rPr/>
        <w:t>, a ideia de éter é sugerida como uma condição de possibilidade da ação à distância entre os corpos. Newton na terceira carta à Bentley afirma que,</w:t>
      </w:r>
    </w:p>
    <w:p>
      <w:pPr>
        <w:pStyle w:val="Normal"/>
        <w:spacing w:lineRule="auto" w:line="360"/>
        <w:jc w:val="both"/>
        <w:rPr/>
      </w:pPr>
      <w:r>
        <w:rPr/>
      </w:r>
    </w:p>
    <w:p>
      <w:pPr>
        <w:pStyle w:val="Normal"/>
        <w:spacing w:lineRule="auto" w:line="360"/>
        <w:ind w:left="360" w:hanging="0"/>
        <w:jc w:val="both"/>
        <w:rPr/>
      </w:pPr>
      <w:r>
        <w:rPr>
          <w:i/>
        </w:rPr>
        <w:t>(...) é inconcebível que a matéria bruta inanimada, sem a mediação de algo não material, possa operar e afetar outra matéria sem contato mútuo, tal como faria se a gravitação, no sentido de Epicuro, fosse essencial e inerente à matéria mesma. Esta é uma das razões pela qual desejo que não me atribua a defesa de uma gravidade inata. Que a gravidade seja inata, inerente e essencial à matéria, de tal forma que um corpo possa atuar sobre outro à distância (através de um vacuum, sem mediação de nenhuma outra coisa), e que através da distância sua ação e sua força possa ser comunicada de um a outro, isto é para mim um absurdo tão grande que creio que nenhum homem que esteja capacitado para pensar em questões filosóficas possa nunca cair nele. A gravidade deve ser causada por um agente que atue constantemente de acordo com certas leis, ainda que deixe para a consideração de meus leitores se este agente é material ou imaterial.</w:t>
      </w:r>
      <w:r>
        <w:rPr>
          <w:rStyle w:val="Caracteresdenotaderodap"/>
          <w:rStyle w:val="Ncoradanotaderodap"/>
          <w:i/>
        </w:rPr>
        <w:footnoteReference w:id="20"/>
      </w:r>
      <w:r>
        <w:rPr/>
        <w:t xml:space="preserve">                        </w:t>
      </w:r>
    </w:p>
    <w:p>
      <w:pPr>
        <w:pStyle w:val="Normal"/>
        <w:spacing w:lineRule="auto" w:line="360"/>
        <w:jc w:val="both"/>
        <w:rPr/>
      </w:pPr>
      <w:r>
        <w:rPr/>
      </w:r>
    </w:p>
    <w:p>
      <w:pPr>
        <w:pStyle w:val="Normal"/>
        <w:spacing w:lineRule="auto" w:line="360"/>
        <w:jc w:val="both"/>
        <w:rPr/>
      </w:pPr>
      <w:r>
        <w:rPr/>
        <w:tab/>
        <w:t>Em carta a Robert Boyle</w:t>
      </w:r>
      <w:r>
        <w:rPr>
          <w:rStyle w:val="Caracteresdenotaderodap"/>
          <w:rStyle w:val="Ncoradanotaderodap"/>
        </w:rPr>
        <w:footnoteReference w:id="21"/>
      </w:r>
      <w:r>
        <w:rPr/>
        <w:t xml:space="preserve"> em 1678, Newton justificou o estado precário em que se encontravam suas ideias acerca do éter, o que explica parcialmente a ausência de uma posição pública de Newton em relação ao assunto. Em uma sequência um tanto quanto didática Newton apresenta um esboço do que compreende sobre o conceito de éter. Primeiramente, o éter é considerado uma substância etérea espalhada por todos os lugares, com grande capacidade de contração e dilatação e extremamente elástica. O éter assim concebido muito se assemelha ao ar. Newton enfatizou ser o éter mais sutil que o ar atmosférico. O éter encontra-se mais rarefeito nos poros dos corpos sólidos que nos espaços desprovidos de matéria e mais rarefeito ainda quanto menores são estes poros. Newton atribuiu a esta condição a causa da refração perpendicular da luz quando incidindo sobre esses corpos. A variedade de possibilidades explicativas a partir dessa última propriedade do éter para fenômenos conhecidos é listada por Newton (causa pelas quais as partes dos corpos possuem aderência; a filtração e elevação da água no interior de finos tubos de vidro acima da superfície da água estancada e mesmo a solubilidade de alguns materiais são exemplos mencionados na carta).</w:t>
      </w:r>
    </w:p>
    <w:p>
      <w:pPr>
        <w:pStyle w:val="Normal"/>
        <w:spacing w:lineRule="auto" w:line="360"/>
        <w:jc w:val="both"/>
        <w:rPr/>
      </w:pPr>
      <w:r>
        <mc:AlternateContent>
          <mc:Choice Requires="wpg">
            <w:drawing>
              <wp:anchor behindDoc="0" distT="0" distB="0" distL="114935" distR="114935" simplePos="0" locked="0" layoutInCell="0" allowOverlap="1" relativeHeight="37">
                <wp:simplePos x="0" y="0"/>
                <wp:positionH relativeFrom="column">
                  <wp:posOffset>457200</wp:posOffset>
                </wp:positionH>
                <wp:positionV relativeFrom="paragraph">
                  <wp:posOffset>2251710</wp:posOffset>
                </wp:positionV>
                <wp:extent cx="4092575" cy="2629535"/>
                <wp:effectExtent l="0" t="0" r="0" b="0"/>
                <wp:wrapNone/>
                <wp:docPr id="1" name=""/>
                <a:graphic xmlns:a="http://schemas.openxmlformats.org/drawingml/2006/main">
                  <a:graphicData uri="http://schemas.microsoft.com/office/word/2010/wordprocessingGroup">
                    <wpg:wgp>
                      <wpg:cNvGrpSpPr/>
                      <wpg:grpSpPr>
                        <a:xfrm>
                          <a:off x="0" y="0"/>
                          <a:ext cx="4092120" cy="2629080"/>
                          <a:chOff x="457200" y="2251800"/>
                          <a:chExt cx="4092120" cy="2629080"/>
                        </a:xfrm>
                      </wpg:grpSpPr>
                      <wpg:grpSp>
                        <wpg:cNvGrpSpPr/>
                        <wpg:grpSpPr>
                          <a:xfrm>
                            <a:off x="0" y="0"/>
                            <a:ext cx="4092120" cy="2629080"/>
                          </a:xfrm>
                        </wpg:grpSpPr>
                        <wpg:grpSp>
                          <wpg:cNvGrpSpPr/>
                          <wpg:grpSpPr>
                            <a:xfrm>
                              <a:off x="0" y="571680"/>
                              <a:ext cx="3198600" cy="2057400"/>
                            </a:xfrm>
                          </wpg:grpSpPr>
                          <wpg:grpSp>
                            <wpg:cNvGrpSpPr/>
                            <wpg:grpSpPr>
                              <a:xfrm>
                                <a:off x="0" y="0"/>
                                <a:ext cx="3198600" cy="2057400"/>
                              </a:xfrm>
                            </wpg:grpSpPr>
                            <wps:wsp>
                              <wps:cNvSpPr/>
                              <wps:spPr>
                                <a:xfrm>
                                  <a:off x="0" y="0"/>
                                  <a:ext cx="3198600" cy="2057400"/>
                                </a:xfrm>
                                <a:prstGeom prst="rect">
                                  <a:avLst/>
                                </a:prstGeom>
                                <a:solidFill>
                                  <a:srgbClr val="ffffff"/>
                                </a:solidFill>
                                <a:ln w="9360">
                                  <a:solidFill>
                                    <a:srgbClr val="000000"/>
                                  </a:solidFill>
                                  <a:prstDash val="sysDot"/>
                                  <a:miter/>
                                </a:ln>
                              </wps:spPr>
                              <wps:style>
                                <a:lnRef idx="0"/>
                                <a:fillRef idx="0"/>
                                <a:effectRef idx="0"/>
                                <a:fontRef idx="minor"/>
                              </wps:style>
                              <wps:bodyPr/>
                            </wps:wsp>
                            <wps:wsp>
                              <wps:cNvSpPr/>
                              <wps:spPr>
                                <a:xfrm>
                                  <a:off x="571680" y="342720"/>
                                  <a:ext cx="1828800" cy="1257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26720" y="685800"/>
                                  <a:ext cx="990720" cy="533520"/>
                                </a:xfrm>
                                <a:prstGeom prst="rect">
                                  <a:avLst/>
                                </a:prstGeom>
                                <a:solidFill>
                                  <a:srgbClr val="ffffff"/>
                                </a:solidFill>
                                <a:ln w="9360">
                                  <a:solidFill>
                                    <a:srgbClr val="000000"/>
                                  </a:solidFill>
                                  <a:prstDash val="sysDot"/>
                                  <a:miter/>
                                </a:ln>
                              </wps:spPr>
                              <wps:style>
                                <a:lnRef idx="0"/>
                                <a:fillRef idx="0"/>
                                <a:effectRef idx="0"/>
                                <a:fontRef idx="minor"/>
                              </wps:style>
                              <wps:bodyPr/>
                            </wps:wsp>
                          </wpg:grpSp>
                          <wps:wsp>
                            <wps:cNvSpPr txBox="1"/>
                            <wps:spPr>
                              <a:xfrm>
                                <a:off x="2286000" y="24480"/>
                                <a:ext cx="34308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B</w:t>
                                  </w:r>
                                </w:p>
                              </w:txbxContent>
                            </wps:txbx>
                            <wps:bodyPr wrap="square">
                              <a:noAutofit/>
                            </wps:bodyPr>
                          </wps:wsp>
                          <wps:wsp>
                            <wps:cNvSpPr txBox="1"/>
                            <wps:spPr>
                              <a:xfrm>
                                <a:off x="343080" y="1536480"/>
                                <a:ext cx="22860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DC</w:t>
                                  </w:r>
                                </w:p>
                              </w:txbxContent>
                            </wps:txbx>
                            <wps:bodyPr wrap="square">
                              <a:noAutofit/>
                            </wps:bodyPr>
                          </wps:wsp>
                          <wps:wsp>
                            <wps:cNvSpPr txBox="1"/>
                            <wps:spPr>
                              <a:xfrm>
                                <a:off x="343080" y="32760"/>
                                <a:ext cx="22860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A</w:t>
                                  </w:r>
                                </w:p>
                              </w:txbxContent>
                            </wps:txbx>
                            <wps:bodyPr wrap="square">
                              <a:noAutofit/>
                            </wps:bodyPr>
                          </wps:wsp>
                          <wps:wsp>
                            <wps:cNvSpPr txBox="1"/>
                            <wps:spPr>
                              <a:xfrm>
                                <a:off x="2416680" y="1518840"/>
                                <a:ext cx="228600" cy="2286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CA</w:t>
                                  </w:r>
                                </w:p>
                              </w:txbxContent>
                            </wps:txbx>
                            <wps:bodyPr wrap="square">
                              <a:noAutofit/>
                            </wps:bodyPr>
                          </wps:wsp>
                        </wpg:grpSp>
                        <wps:wsp>
                          <wps:cNvSpPr txBox="1"/>
                          <wps:spPr>
                            <a:xfrm>
                              <a:off x="1600200" y="0"/>
                              <a:ext cx="457200" cy="343080"/>
                            </a:xfrm>
                            <a:prstGeom prst="rect">
                              <a:avLst/>
                            </a:prstGeom>
                            <a:solidFill>
                              <a:srgbClr val="ffffff"/>
                            </a:solid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pt-BR" w:bidi="ar-SA"/>
                                  </w:rPr>
                                  <w:t>Sol</w:t>
                                </w:r>
                              </w:p>
                            </w:txbxContent>
                          </wps:txbx>
                          <wps:bodyPr wrap="square">
                            <a:noAutofit/>
                          </wps:bodyPr>
                        </wps:wsp>
                        <wps:wsp>
                          <wps:cNvSpPr/>
                          <wps:spPr>
                            <a:xfrm>
                              <a:off x="2057400" y="254160"/>
                              <a:ext cx="1143000" cy="358200"/>
                            </a:xfrm>
                            <a:prstGeom prst="line">
                              <a:avLst/>
                            </a:prstGeom>
                            <a:ln w="9360">
                              <a:solidFill>
                                <a:srgbClr val="000000"/>
                              </a:solidFill>
                              <a:miter/>
                            </a:ln>
                          </wps:spPr>
                          <wps:style>
                            <a:lnRef idx="0"/>
                            <a:fillRef idx="0"/>
                            <a:effectRef idx="0"/>
                            <a:fontRef idx="minor"/>
                          </wps:style>
                          <wps:bodyPr/>
                        </wps:wsp>
                        <wps:wsp>
                          <wps:cNvSpPr/>
                          <wps:spPr>
                            <a:xfrm>
                              <a:off x="2057400" y="114480"/>
                              <a:ext cx="1143000" cy="343080"/>
                            </a:xfrm>
                            <a:prstGeom prst="line">
                              <a:avLst/>
                            </a:prstGeom>
                            <a:ln w="9360">
                              <a:solidFill>
                                <a:srgbClr val="000000"/>
                              </a:solidFill>
                              <a:miter/>
                            </a:ln>
                          </wps:spPr>
                          <wps:style>
                            <a:lnRef idx="0"/>
                            <a:fillRef idx="0"/>
                            <a:effectRef idx="0"/>
                            <a:fontRef idx="minor"/>
                          </wps:style>
                          <wps:bodyPr/>
                        </wps:wsp>
                        <wps:wsp>
                          <wps:cNvSpPr/>
                          <wps:spPr>
                            <a:xfrm>
                              <a:off x="2057400" y="195480"/>
                              <a:ext cx="1143000" cy="343080"/>
                            </a:xfrm>
                            <a:prstGeom prst="line">
                              <a:avLst/>
                            </a:prstGeom>
                            <a:ln w="9360">
                              <a:solidFill>
                                <a:srgbClr val="000000"/>
                              </a:solidFill>
                              <a:miter/>
                            </a:ln>
                          </wps:spPr>
                          <wps:style>
                            <a:lnRef idx="0"/>
                            <a:fillRef idx="0"/>
                            <a:effectRef idx="0"/>
                            <a:fontRef idx="minor"/>
                          </wps:style>
                          <wps:bodyPr/>
                        </wps:wsp>
                        <wps:wsp>
                          <wps:cNvSpPr/>
                          <wps:spPr>
                            <a:xfrm>
                              <a:off x="2057400" y="33120"/>
                              <a:ext cx="1143000" cy="343080"/>
                            </a:xfrm>
                            <a:prstGeom prst="line">
                              <a:avLst/>
                            </a:prstGeom>
                            <a:ln w="9360">
                              <a:solidFill>
                                <a:srgbClr val="000000"/>
                              </a:solidFill>
                              <a:miter/>
                            </a:ln>
                          </wps:spPr>
                          <wps:style>
                            <a:lnRef idx="0"/>
                            <a:fillRef idx="0"/>
                            <a:effectRef idx="0"/>
                            <a:fontRef idx="minor"/>
                          </wps:style>
                          <wps:bodyPr/>
                        </wps:wsp>
                        <wps:wsp>
                          <wps:cNvSpPr/>
                          <wps:spPr>
                            <a:xfrm>
                              <a:off x="3354840" y="621000"/>
                              <a:ext cx="531360" cy="636120"/>
                            </a:xfrm>
                            <a:prstGeom prst="line">
                              <a:avLst/>
                            </a:prstGeom>
                            <a:ln w="9360">
                              <a:solidFill>
                                <a:srgbClr val="000000"/>
                              </a:solidFill>
                              <a:miter/>
                            </a:ln>
                          </wps:spPr>
                          <wps:style>
                            <a:lnRef idx="0"/>
                            <a:fillRef idx="0"/>
                            <a:effectRef idx="0"/>
                            <a:fontRef idx="minor"/>
                          </wps:style>
                          <wps:bodyPr/>
                        </wps:wsp>
                        <wps:wsp>
                          <wps:cNvSpPr/>
                          <wps:spPr>
                            <a:xfrm>
                              <a:off x="3368520" y="466560"/>
                              <a:ext cx="571680" cy="685800"/>
                            </a:xfrm>
                            <a:prstGeom prst="line">
                              <a:avLst/>
                            </a:prstGeom>
                            <a:ln w="9360">
                              <a:solidFill>
                                <a:srgbClr val="000000"/>
                              </a:solidFill>
                              <a:miter/>
                            </a:ln>
                          </wps:spPr>
                          <wps:style>
                            <a:lnRef idx="0"/>
                            <a:fillRef idx="0"/>
                            <a:effectRef idx="0"/>
                            <a:fontRef idx="minor"/>
                          </wps:style>
                          <wps:bodyPr/>
                        </wps:wsp>
                        <wps:wsp>
                          <wps:cNvSpPr/>
                          <wps:spPr>
                            <a:xfrm flipH="1">
                              <a:off x="3749040" y="918360"/>
                              <a:ext cx="343080" cy="571680"/>
                            </a:xfrm>
                            <a:prstGeom prst="line">
                              <a:avLst/>
                            </a:prstGeom>
                            <a:ln w="9360">
                              <a:solidFill>
                                <a:srgbClr val="000000"/>
                              </a:solidFill>
                              <a:miter/>
                            </a:ln>
                          </wps:spPr>
                          <wps:style>
                            <a:lnRef idx="0"/>
                            <a:fillRef idx="0"/>
                            <a:effectRef idx="0"/>
                            <a:fontRef idx="minor"/>
                          </wps:style>
                          <wps:bodyPr/>
                        </wps:wsp>
                        <wps:wsp>
                          <wps:cNvSpPr/>
                          <wps:spPr>
                            <a:xfrm>
                              <a:off x="3314880" y="687240"/>
                              <a:ext cx="531360" cy="636120"/>
                            </a:xfrm>
                            <a:prstGeom prst="line">
                              <a:avLst/>
                            </a:prstGeom>
                            <a:ln w="9360">
                              <a:solidFill>
                                <a:srgbClr val="000000"/>
                              </a:solidFill>
                              <a:miter/>
                            </a:ln>
                          </wps:spPr>
                          <wps:style>
                            <a:lnRef idx="0"/>
                            <a:fillRef idx="0"/>
                            <a:effectRef idx="0"/>
                            <a:fontRef idx="minor"/>
                          </wps:style>
                          <wps:bodyPr/>
                        </wps:wsp>
                        <wps:wsp>
                          <wps:cNvSpPr/>
                          <wps:spPr>
                            <a:xfrm>
                              <a:off x="3380760" y="565200"/>
                              <a:ext cx="531360" cy="636120"/>
                            </a:xfrm>
                            <a:prstGeom prst="line">
                              <a:avLst/>
                            </a:prstGeom>
                            <a:ln w="9360">
                              <a:solidFill>
                                <a:srgbClr val="000000"/>
                              </a:solidFill>
                              <a:miter/>
                            </a:ln>
                          </wps:spPr>
                          <wps:style>
                            <a:lnRef idx="0"/>
                            <a:fillRef idx="0"/>
                            <a:effectRef idx="0"/>
                            <a:fontRef idx="minor"/>
                          </wps:style>
                          <wps:bodyPr/>
                        </wps:wsp>
                      </wpg:grpSp>
                      <wps:wsp>
                        <wps:cNvSpPr txBox="1"/>
                        <wps:spPr>
                          <a:xfrm>
                            <a:off x="816480" y="1144800"/>
                            <a:ext cx="11448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E</w:t>
                              </w:r>
                            </w:p>
                          </w:txbxContent>
                        </wps:txbx>
                        <wps:bodyPr wrap="square">
                          <a:noAutofit/>
                        </wps:bodyPr>
                      </wps:wsp>
                      <wps:wsp>
                        <wps:cNvSpPr txBox="1"/>
                        <wps:spPr>
                          <a:xfrm>
                            <a:off x="824760" y="1730880"/>
                            <a:ext cx="11448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H</w:t>
                              </w:r>
                            </w:p>
                          </w:txbxContent>
                        </wps:txbx>
                        <wps:bodyPr wrap="square">
                          <a:noAutofit/>
                        </wps:bodyPr>
                      </wps:wsp>
                      <wps:wsp>
                        <wps:cNvSpPr txBox="1"/>
                        <wps:spPr>
                          <a:xfrm>
                            <a:off x="2049120" y="1127880"/>
                            <a:ext cx="11448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F</w:t>
                              </w:r>
                            </w:p>
                          </w:txbxContent>
                        </wps:txbx>
                        <wps:bodyPr wrap="square">
                          <a:noAutofit/>
                        </wps:bodyPr>
                      </wps:wsp>
                      <wps:wsp>
                        <wps:cNvSpPr txBox="1"/>
                        <wps:spPr>
                          <a:xfrm>
                            <a:off x="2057400" y="1714680"/>
                            <a:ext cx="11448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G</w:t>
                              </w:r>
                            </w:p>
                          </w:txbxContent>
                        </wps:txbx>
                        <wps:bodyPr wrap="square">
                          <a:noAutofit/>
                        </wps:bodyPr>
                      </wps:wsp>
                    </wpg:wgp>
                  </a:graphicData>
                </a:graphic>
              </wp:anchor>
            </w:drawing>
          </mc:Choice>
          <mc:Fallback>
            <w:pict>
              <v:group id="shape_0" style="position:absolute;margin-left:36pt;margin-top:177.3pt;width:322.15pt;height:207pt" coordorigin="720,3546" coordsize="6443,4140">
                <v:group id="shape_0" style="position:absolute;left:720;top:3546;width:6443;height:4140">
                  <v:group id="shape_0" style="position:absolute;left:720;top:4446;width:5037;height:3240">
                    <v:group id="shape_0" style="position:absolute;left:720;top:4446;width:5037;height:3240">
                      <v:rect id="shape_0" fillcolor="white" stroked="t" style="position:absolute;left:720;top:4446;width:5036;height:3239;mso-wrap-style:none;v-text-anchor:middle">
                        <v:fill o:detectmouseclick="t" type="solid" color2="black"/>
                        <v:stroke color="black" weight="9360" dashstyle="shortdot" joinstyle="miter" endcap="flat"/>
                        <w10:wrap type="none"/>
                      </v:rect>
                      <v:rect id="shape_0" fillcolor="white" stroked="t" style="position:absolute;left:1620;top:4986;width:2879;height:1979;mso-wrap-style:none;v-text-anchor:middle">
                        <v:fill o:detectmouseclick="t" type="solid" color2="black"/>
                        <v:stroke color="black" weight="9360" joinstyle="miter" endcap="flat"/>
                      </v:rect>
                      <v:rect id="shape_0" fillcolor="white" stroked="t" style="position:absolute;left:2337;top:5526;width:1559;height:839;mso-wrap-style:none;v-text-anchor:middle">
                        <v:fill o:detectmouseclick="t" type="solid" color2="black"/>
                        <v:stroke color="black" weight="9360" dashstyle="shortdot" joinstyle="miter" endcap="flat"/>
                      </v:rect>
                    </v:group>
                    <v:shapetype id="_x0000_t202" coordsize="21600,21600" o:spt="202" path="m,l,21600l21600,21600l21600,xe">
                      <v:stroke joinstyle="miter"/>
                      <v:path gradientshapeok="t" o:connecttype="rect"/>
                    </v:shapetype>
                    <v:shape id="shape_0" fillcolor="white" stroked="f" style="position:absolute;left:4320;top:4485;width:539;height:359;mso-wrap-style:square;v-text-anchor:top" type="shapetype_202">
                      <v:textbox>
                        <w:txbxContent>
                          <w:p>
                            <w:pPr>
                              <w:overflowPunct w:val="false"/>
                              <w:bidi w:val="0"/>
                              <w:rPr/>
                            </w:pPr>
                            <w:r>
                              <w:rPr>
                                <w:kern w:val="2"/>
                                <w:sz w:val="24"/>
                                <w:szCs w:val="24"/>
                                <w:rFonts w:ascii="Times New Roman" w:hAnsi="Times New Roman" w:eastAsia="Times New Roman" w:cs="Times New Roman"/>
                                <w:color w:val="auto"/>
                                <w:lang w:val="pt-BR" w:bidi="ar-SA"/>
                              </w:rPr>
                              <w:t>B</w:t>
                            </w:r>
                          </w:p>
                        </w:txbxContent>
                      </v:textbox>
                      <v:fill o:detectmouseclick="t" type="solid" color2="black"/>
                      <v:stroke color="#3465a4" joinstyle="round" endcap="flat"/>
                    </v:shape>
                    <v:shape id="shape_0" fillcolor="white" stroked="f" style="position:absolute;left:1260;top:6866;width:359;height:359;mso-wrap-style:square;v-text-anchor:top" type="shapetype_202">
                      <v:textbox>
                        <w:txbxContent>
                          <w:p>
                            <w:pPr>
                              <w:overflowPunct w:val="false"/>
                              <w:bidi w:val="0"/>
                              <w:rPr/>
                            </w:pPr>
                            <w:r>
                              <w:rPr>
                                <w:kern w:val="2"/>
                                <w:sz w:val="24"/>
                                <w:szCs w:val="24"/>
                                <w:rFonts w:ascii="Times New Roman" w:hAnsi="Times New Roman" w:eastAsia="Times New Roman" w:cs="Times New Roman"/>
                                <w:color w:val="auto"/>
                                <w:lang w:val="pt-BR" w:bidi="ar-SA"/>
                              </w:rPr>
                              <w:t>DC</w:t>
                            </w:r>
                          </w:p>
                        </w:txbxContent>
                      </v:textbox>
                      <v:fill o:detectmouseclick="t" type="solid" color2="black"/>
                      <v:stroke color="#3465a4" joinstyle="round" endcap="flat"/>
                    </v:shape>
                    <v:shape id="shape_0" fillcolor="white" stroked="f" style="position:absolute;left:1260;top:4498;width:359;height:359;mso-wrap-style:square;v-text-anchor:top" type="shapetype_202">
                      <v:textbox>
                        <w:txbxContent>
                          <w:p>
                            <w:pPr>
                              <w:overflowPunct w:val="false"/>
                              <w:bidi w:val="0"/>
                              <w:rPr/>
                            </w:pPr>
                            <w:r>
                              <w:rPr>
                                <w:kern w:val="2"/>
                                <w:sz w:val="24"/>
                                <w:szCs w:val="24"/>
                                <w:rFonts w:ascii="Times New Roman" w:hAnsi="Times New Roman" w:eastAsia="Times New Roman" w:cs="Times New Roman"/>
                                <w:color w:val="auto"/>
                                <w:lang w:val="pt-BR" w:bidi="ar-SA"/>
                              </w:rPr>
                              <w:t>A</w:t>
                            </w:r>
                          </w:p>
                        </w:txbxContent>
                      </v:textbox>
                      <v:fill o:detectmouseclick="t" type="solid" color2="black"/>
                      <v:stroke color="#3465a4" joinstyle="round" endcap="flat"/>
                    </v:shape>
                    <v:shape id="shape_0" fillcolor="white" stroked="f" style="position:absolute;left:4526;top:6838;width:359;height:359;mso-wrap-style:square;v-text-anchor:top" type="shapetype_202">
                      <v:textbox>
                        <w:txbxContent>
                          <w:p>
                            <w:pPr>
                              <w:overflowPunct w:val="false"/>
                              <w:bidi w:val="0"/>
                              <w:rPr/>
                            </w:pPr>
                            <w:r>
                              <w:rPr>
                                <w:kern w:val="2"/>
                                <w:sz w:val="24"/>
                                <w:szCs w:val="24"/>
                                <w:rFonts w:ascii="Times New Roman" w:hAnsi="Times New Roman" w:eastAsia="Times New Roman" w:cs="Times New Roman"/>
                                <w:color w:val="auto"/>
                                <w:lang w:val="pt-BR" w:bidi="ar-SA"/>
                              </w:rPr>
                              <w:t>CA</w:t>
                            </w:r>
                          </w:p>
                        </w:txbxContent>
                      </v:textbox>
                      <v:fill o:detectmouseclick="t" type="solid" color2="black"/>
                      <v:stroke color="#3465a4" joinstyle="round" endcap="flat"/>
                    </v:shape>
                  </v:group>
                  <v:shape id="shape_0" fillcolor="white" stroked="t" style="position:absolute;left:3240;top:3546;width:719;height:539;mso-wrap-style:square;v-text-anchor:top" type="shapetype_202">
                    <v:textbox>
                      <w:txbxContent>
                        <w:p>
                          <w:pPr>
                            <w:overflowPunct w:val="false"/>
                            <w:bidi w:val="0"/>
                            <w:rPr/>
                          </w:pPr>
                          <w:r>
                            <w:rPr>
                              <w:kern w:val="2"/>
                              <w:sz w:val="24"/>
                              <w:szCs w:val="24"/>
                              <w:rFonts w:ascii="Times New Roman" w:hAnsi="Times New Roman" w:eastAsia="Times New Roman" w:cs="Times New Roman"/>
                              <w:color w:val="auto"/>
                              <w:lang w:val="pt-BR" w:bidi="ar-SA"/>
                            </w:rPr>
                            <w:t>Sol</w:t>
                          </w:r>
                        </w:p>
                      </w:txbxContent>
                    </v:textbox>
                    <v:fill o:detectmouseclick="t" type="solid" color2="black"/>
                    <v:stroke color="black" weight="9360" joinstyle="miter" endcap="flat"/>
                  </v:shape>
                  <v:line id="shape_0" from="3960,3946" to="5759,4509" stroked="t" style="position:absolute">
                    <v:stroke color="black" weight="9360" joinstyle="miter" endcap="flat"/>
                    <v:fill o:detectmouseclick="t" on="false"/>
                  </v:line>
                  <v:line id="shape_0" from="3960,3726" to="5759,4265" stroked="t" style="position:absolute">
                    <v:stroke color="black" weight="9360" joinstyle="miter" endcap="flat"/>
                    <v:fill o:detectmouseclick="t" on="false"/>
                  </v:line>
                  <v:line id="shape_0" from="3960,3854" to="5759,4393" stroked="t" style="position:absolute">
                    <v:stroke color="black" weight="9360" joinstyle="miter" endcap="flat"/>
                    <v:fill o:detectmouseclick="t" on="false"/>
                  </v:line>
                  <v:line id="shape_0" from="3960,3598" to="5759,4137" stroked="t" style="position:absolute">
                    <v:stroke color="black" weight="9360" joinstyle="miter" endcap="flat"/>
                    <v:fill o:detectmouseclick="t" on="false"/>
                  </v:line>
                  <v:line id="shape_0" from="6003,4524" to="6839,5525" stroked="t" style="position:absolute">
                    <v:stroke color="black" weight="9360" joinstyle="miter" endcap="flat"/>
                    <v:fill o:detectmouseclick="t" on="false"/>
                  </v:line>
                  <v:line id="shape_0" from="6025,4281" to="6924,5360" stroked="t" style="position:absolute">
                    <v:stroke color="black" weight="9360" joinstyle="miter" endcap="flat"/>
                    <v:fill o:detectmouseclick="t" on="false"/>
                  </v:line>
                  <v:line id="shape_0" from="6624,4992" to="7163,5891" stroked="t" style="position:absolute;flip:x">
                    <v:stroke color="black" weight="9360" joinstyle="miter" endcap="flat"/>
                    <v:fill o:detectmouseclick="t" on="false"/>
                  </v:line>
                  <v:line id="shape_0" from="5940,4628" to="6776,5629" stroked="t" style="position:absolute">
                    <v:stroke color="black" weight="9360" joinstyle="miter" endcap="flat"/>
                    <v:fill o:detectmouseclick="t" on="false"/>
                  </v:line>
                  <v:line id="shape_0" from="6044,4436" to="6880,5437" stroked="t" style="position:absolute">
                    <v:stroke color="black" weight="9360" joinstyle="miter" endcap="flat"/>
                    <v:fill o:detectmouseclick="t" on="false"/>
                  </v:line>
                </v:group>
                <v:shape id="shape_0" fillcolor="white" stroked="f" style="position:absolute;left:2006;top:5349;width:17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E</w:t>
                        </w:r>
                      </w:p>
                    </w:txbxContent>
                  </v:textbox>
                  <v:fill o:detectmouseclick="t" type="solid" color2="black"/>
                  <v:stroke color="#3465a4" joinstyle="round" endcap="flat"/>
                </v:shape>
                <v:shape id="shape_0" fillcolor="white" stroked="f" style="position:absolute;left:2019;top:6272;width:17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H</w:t>
                        </w:r>
                      </w:p>
                    </w:txbxContent>
                  </v:textbox>
                  <v:fill o:detectmouseclick="t" type="solid" color2="black"/>
                  <v:stroke color="#3465a4" joinstyle="round" endcap="flat"/>
                </v:shape>
                <v:shape id="shape_0" fillcolor="white" stroked="f" style="position:absolute;left:3947;top:5322;width:17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F</w:t>
                        </w:r>
                      </w:p>
                    </w:txbxContent>
                  </v:textbox>
                  <v:fill o:detectmouseclick="t" type="solid" color2="black"/>
                  <v:stroke color="#3465a4" joinstyle="round" endcap="flat"/>
                </v:shape>
                <v:shape id="shape_0" fillcolor="white" stroked="f" style="position:absolute;left:3960;top:6246;width:17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G</w:t>
                        </w:r>
                      </w:p>
                    </w:txbxContent>
                  </v:textbox>
                  <v:fill o:detectmouseclick="t" type="solid" color2="black"/>
                  <v:stroke color="#3465a4" joinstyle="round" endcap="flat"/>
                </v:shape>
              </v:group>
            </w:pict>
          </mc:Fallback>
        </mc:AlternateContent>
      </w:r>
      <w:r>
        <w:rPr/>
        <w:tab/>
        <w:t>Supondo que o éter fosse mais rarefeito dentro dos corpos e mais denso fora deles, Newton pensou na possibilidade de que numa região limitada do espaço ocorressem variações do éter (do mais rarefeito ao mais denso). Dessa maneira, o éter externo ao corpo torna-se gradativamente mais rarefeito enquanto que, o éter interno torna-se mais denso a uma pequena distância das superfícies do corpo. Newton explicou dessa maneira o experimento de Grimaldi</w:t>
      </w:r>
      <w:r>
        <w:rPr>
          <w:rStyle w:val="Caracteresdenotaderodap"/>
          <w:rStyle w:val="Ncoradanotaderodap"/>
        </w:rPr>
        <w:footnoteReference w:id="22"/>
      </w:r>
      <w:r>
        <w:rPr/>
        <w:t xml:space="preserve">, em que a luz ao passar por um corpo opaco, é desviada (como se fosse refratada), produzindo várias cores. Reproduzo abaixo um esquema semelhante ao utilizado por Newton para explicar o que ele chamou de </w:t>
      </w:r>
      <w:r>
        <w:rPr>
          <w:i/>
        </w:rPr>
        <w:t>espaço gradual de éter rarefeito</w:t>
      </w:r>
      <w:r>
        <w:rPr/>
        <w:t xml:space="preserve">. </w:t>
      </w:r>
    </w:p>
    <w:p>
      <w:pPr>
        <w:pStyle w:val="Normal"/>
        <w:spacing w:lineRule="auto" w:line="360"/>
        <w:jc w:val="both"/>
        <w:rPr/>
      </w:pPr>
      <w:r>
        <w:rPr/>
        <w:t xml:space="preserve">    </w:t>
      </w:r>
    </w:p>
    <w:p>
      <w:pPr>
        <w:pStyle w:val="Normal"/>
        <w:spacing w:lineRule="auto" w:line="360"/>
        <w:jc w:val="both"/>
        <w:rPr/>
      </w:pPr>
      <w:r>
        <w:rPr/>
        <w:t xml:space="preserve">          </w:t>
      </w:r>
      <w:r>
        <w:rPr/>
        <w:t>I</w:t>
        <w:tab/>
        <w:t xml:space="preserve">                                                                                     </w:t>
      </w:r>
      <w:r>
        <w:rPr>
          <w:bdr w:val="single" w:sz="4" w:space="0" w:color="000000"/>
        </w:rPr>
        <w:t>K</w:t>
      </w:r>
      <w:r>
        <w:rPr/>
        <w:t xml:space="preserve">         </w:t>
      </w:r>
      <w:r>
        <mc:AlternateContent>
          <mc:Choice Requires="wps">
            <w:drawing>
              <wp:anchor behindDoc="0" distT="0" distB="0" distL="114935" distR="114935" simplePos="0" locked="0" layoutInCell="0" allowOverlap="1" relativeHeight="35">
                <wp:simplePos x="0" y="0"/>
                <wp:positionH relativeFrom="column">
                  <wp:posOffset>800100</wp:posOffset>
                </wp:positionH>
                <wp:positionV relativeFrom="paragraph">
                  <wp:posOffset>130175</wp:posOffset>
                </wp:positionV>
                <wp:extent cx="228600" cy="228600"/>
                <wp:effectExtent l="0" t="0" r="0" b="0"/>
                <wp:wrapNone/>
                <wp:docPr id="2" name="Quadro1"/>
                <a:graphic xmlns:a="http://schemas.openxmlformats.org/drawingml/2006/main">
                  <a:graphicData uri="http://schemas.microsoft.com/office/word/2010/wordprocessingShape">
                    <wps:wsp>
                      <wps:cNvSpPr txBox="1"/>
                      <wps:spPr>
                        <a:xfrm>
                          <a:off x="0" y="0"/>
                          <a:ext cx="228600" cy="228600"/>
                        </a:xfrm>
                        <a:prstGeom prst="rect"/>
                        <a:solidFill>
                          <a:srgbClr val="FFFFFF"/>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18pt;height:18pt;mso-wrap-distance-left:9.05pt;mso-wrap-distance-right:9.05pt;mso-wrap-distance-top:0pt;mso-wrap-distance-bottom:0pt;margin-top:10.25pt;mso-position-vertical-relative:text;margin-left:63pt;mso-position-horizontal-relative:text">
                <v:textbox inset="0.100694444444444in,0.0506944444444444in,0.100694444444444in,0.0506944444444444in">
                  <w:txbxContent>
                    <w:p>
                      <w:pPr>
                        <w:pStyle w:val="Normal"/>
                        <w:rPr/>
                      </w:pPr>
                      <w:r>
                        <w:rPr/>
                        <w:t>A</w:t>
                      </w:r>
                    </w:p>
                  </w:txbxContent>
                </v:textbox>
                <w10:wrap type="none"/>
              </v:rect>
            </w:pict>
          </mc:Fallback>
        </mc:AlternateContent>
      </w:r>
    </w:p>
    <w:p>
      <w:pPr>
        <w:pStyle w:val="Normal"/>
        <w:spacing w:lineRule="auto" w:line="360"/>
        <w:jc w:val="both"/>
        <w:rPr/>
      </w:pPr>
      <w:r>
        <mc:AlternateContent>
          <mc:Choice Requires="wpg">
            <w:drawing>
              <wp:anchor behindDoc="0" distT="0" distB="0" distL="114935" distR="114935" simplePos="0" locked="0" layoutInCell="0" allowOverlap="1" relativeHeight="36">
                <wp:simplePos x="0" y="0"/>
                <wp:positionH relativeFrom="column">
                  <wp:posOffset>1216025</wp:posOffset>
                </wp:positionH>
                <wp:positionV relativeFrom="paragraph">
                  <wp:posOffset>222885</wp:posOffset>
                </wp:positionV>
                <wp:extent cx="1526540" cy="948055"/>
                <wp:effectExtent l="0" t="0" r="0" b="0"/>
                <wp:wrapNone/>
                <wp:docPr id="3" name=""/>
                <a:graphic xmlns:a="http://schemas.openxmlformats.org/drawingml/2006/main">
                  <a:graphicData uri="http://schemas.microsoft.com/office/word/2010/wordprocessingGroup">
                    <wpg:wgp>
                      <wpg:cNvGrpSpPr/>
                      <wpg:grpSpPr>
                        <a:xfrm>
                          <a:off x="0" y="0"/>
                          <a:ext cx="1526040" cy="947520"/>
                          <a:chOff x="1216080" y="222840"/>
                          <a:chExt cx="1526040" cy="947520"/>
                        </a:xfrm>
                      </wpg:grpSpPr>
                      <wps:wsp>
                        <wps:cNvSpPr txBox="1"/>
                        <wps:spPr>
                          <a:xfrm>
                            <a:off x="41400" y="33120"/>
                            <a:ext cx="22860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E</w:t>
                              </w:r>
                            </w:p>
                          </w:txbxContent>
                        </wps:txbx>
                        <wps:bodyPr wrap="square">
                          <a:noAutofit/>
                        </wps:bodyPr>
                      </wps:wsp>
                      <wps:wsp>
                        <wps:cNvSpPr txBox="1"/>
                        <wps:spPr>
                          <a:xfrm>
                            <a:off x="1184400" y="0"/>
                            <a:ext cx="22860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F</w:t>
                              </w:r>
                            </w:p>
                          </w:txbxContent>
                        </wps:txbx>
                        <wps:bodyPr wrap="square">
                          <a:noAutofit/>
                        </wps:bodyPr>
                      </wps:wsp>
                      <wps:wsp>
                        <wps:cNvSpPr txBox="1"/>
                        <wps:spPr>
                          <a:xfrm>
                            <a:off x="0" y="718920"/>
                            <a:ext cx="22860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H</w:t>
                              </w:r>
                            </w:p>
                          </w:txbxContent>
                        </wps:txbx>
                        <wps:bodyPr wrap="square">
                          <a:noAutofit/>
                        </wps:bodyPr>
                      </wps:wsp>
                      <wps:wsp>
                        <wps:cNvSpPr txBox="1"/>
                        <wps:spPr>
                          <a:xfrm>
                            <a:off x="1297440" y="718920"/>
                            <a:ext cx="228600" cy="228600"/>
                          </a:xfrm>
                          <a:prstGeom prst="rect">
                            <a:avLst/>
                          </a:prstGeom>
                          <a:solidFill>
                            <a:srgbClr val="ffffff"/>
                          </a:solidFill>
                          <a:ln w="0">
                            <a:noFill/>
                          </a:ln>
                        </wps:spPr>
                        <wps:txbx>
                          <w:txbxContent>
                            <w:p>
                              <w:pPr>
                                <w:overflowPunct w:val="false"/>
                                <w:bidi w:val="0"/>
                                <w:rPr/>
                              </w:pPr>
                              <w:r>
                                <w:rPr>
                                  <w:kern w:val="2"/>
                                  <w:sz w:val="20"/>
                                  <w:szCs w:val="20"/>
                                  <w:rFonts w:ascii="Times New Roman" w:hAnsi="Times New Roman" w:eastAsia="Times New Roman" w:cs="Times New Roman"/>
                                  <w:color w:val="auto"/>
                                  <w:lang w:val="pt-BR" w:bidi="ar-SA"/>
                                </w:rPr>
                                <w:t>G</w:t>
                              </w:r>
                            </w:p>
                          </w:txbxContent>
                        </wps:txbx>
                        <wps:bodyPr wrap="square">
                          <a:noAutofit/>
                        </wps:bodyPr>
                      </wps:wsp>
                    </wpg:wgp>
                  </a:graphicData>
                </a:graphic>
              </wp:anchor>
            </w:drawing>
          </mc:Choice>
          <mc:Fallback>
            <w:pict>
              <v:group id="shape_0" style="position:absolute;margin-left:95.75pt;margin-top:17.55pt;width:120.15pt;height:74.6pt" coordorigin="1915,351" coordsize="2403,1492">
                <v:shape id="shape_0" fillcolor="white" stroked="f" style="position:absolute;left:1980;top:403;width:35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E</w:t>
                        </w:r>
                      </w:p>
                    </w:txbxContent>
                  </v:textbox>
                  <v:fill o:detectmouseclick="t" type="solid" color2="black"/>
                  <v:stroke color="#3465a4" joinstyle="round" endcap="flat"/>
                  <w10:wrap type="none"/>
                </v:shape>
                <v:shape id="shape_0" fillcolor="white" stroked="f" style="position:absolute;left:3780;top:351;width:35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F</w:t>
                        </w:r>
                      </w:p>
                    </w:txbxContent>
                  </v:textbox>
                  <v:fill o:detectmouseclick="t" type="solid" color2="black"/>
                  <v:stroke color="#3465a4" joinstyle="round" endcap="flat"/>
                </v:shape>
                <v:shape id="shape_0" fillcolor="white" stroked="f" style="position:absolute;left:1915;top:1483;width:35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H</w:t>
                        </w:r>
                      </w:p>
                    </w:txbxContent>
                  </v:textbox>
                  <v:fill o:detectmouseclick="t" type="solid" color2="black"/>
                  <v:stroke color="#3465a4" joinstyle="round" endcap="flat"/>
                </v:shape>
                <v:shape id="shape_0" fillcolor="white" stroked="f" style="position:absolute;left:3958;top:1483;width:359;height:359;mso-wrap-style:square;v-text-anchor:top" type="shapetype_202">
                  <v:textbox>
                    <w:txbxContent>
                      <w:p>
                        <w:pPr>
                          <w:overflowPunct w:val="false"/>
                          <w:bidi w:val="0"/>
                          <w:rPr/>
                        </w:pPr>
                        <w:r>
                          <w:rPr>
                            <w:kern w:val="2"/>
                            <w:sz w:val="20"/>
                            <w:szCs w:val="20"/>
                            <w:rFonts w:ascii="Times New Roman" w:hAnsi="Times New Roman" w:eastAsia="Times New Roman" w:cs="Times New Roman"/>
                            <w:color w:val="auto"/>
                            <w:lang w:val="pt-BR" w:bidi="ar-SA"/>
                          </w:rPr>
                          <w:t>G</w:t>
                        </w:r>
                      </w:p>
                    </w:txbxContent>
                  </v:textbox>
                  <v:fill o:detectmouseclick="t" type="solid" color2="black"/>
                  <v:stroke color="#3465a4" joinstyle="round" endcap="flat"/>
                </v:shape>
              </v:group>
            </w:pict>
          </mc:Fallback>
        </mc:AlternateContent>
      </w:r>
      <w:r>
        <w:rPr/>
        <w:t xml:space="preserve">                                       </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t xml:space="preserve">        </w:t>
      </w:r>
      <w:r>
        <w:rPr/>
        <w:t>M                                                                                     L</w:t>
      </w:r>
    </w:p>
    <w:p>
      <w:pPr>
        <w:pStyle w:val="Normal"/>
        <w:spacing w:lineRule="auto" w:line="360"/>
        <w:jc w:val="both"/>
        <w:rPr/>
      </w:pPr>
      <w:r>
        <w:rPr/>
      </w:r>
    </w:p>
    <w:p>
      <w:pPr>
        <w:pStyle w:val="Normal"/>
        <w:spacing w:lineRule="auto" w:line="360"/>
        <w:jc w:val="both"/>
        <w:rPr/>
      </w:pPr>
      <w:r>
        <w:rPr/>
        <w:tab/>
        <w:t xml:space="preserve">No esquema acima, o retângulo ABCD representa um corpo denso, opaco ou transparente qualquer. O retângulo EFGH representa a parte externa do éter uniforme dentro do corpo ABCD. O retângulo IKLM representa a parte interna do éter que está fora do corpo ABCD. Segundo Newton, o éter que está entre EFGH e IKLM passa por todos os graus intermediários de densidade que há entre ambos os éteres. Consequentemente, os raios de sol (Sol-B,...., Sol-K) que passam pela borda do corpo, entre B e K, devem receber, na passagem pelo éter com densidades distintas, um desvio a partir do éter mais denso até K. Esse fenômeno ocorre quanto mais próximo a luz passar do corpo ABCD. Newton acreditou ter comprovado experimentalmente essa propriedade do éter. O espaço entre os limites EFGH e IKLM configura o que Newton chamou de </w:t>
      </w:r>
      <w:r>
        <w:rPr>
          <w:i/>
        </w:rPr>
        <w:t>espaço gradual de éter rarefeito</w:t>
      </w:r>
      <w:r>
        <w:rPr/>
        <w:t xml:space="preserve">. Esse conceito de espaço gradual de éter rarefeito será utilizado para explicar a aproximação entre dois corpos. </w:t>
      </w:r>
    </w:p>
    <w:p>
      <w:pPr>
        <w:pStyle w:val="Normal"/>
        <w:spacing w:lineRule="auto" w:line="360"/>
        <w:jc w:val="both"/>
        <w:rPr/>
      </w:pPr>
      <w:r>
        <w:rPr/>
        <w:tab/>
        <w:t xml:space="preserve">Newton supôs que dois corpos em direção um ao outro, ao se aproximarem, o éter que há entre eles encontra-se mais rarefeito que antes e o espaço gradual de éter rarefeito se estende além das superfícies dos corpos que se aproximam. Isto ocorre porque o éter não se move livremente para cima ou para baixo, na estreita passagem entre os corpos como fazia antes da aproximação. Na mesma carta a Boyle, Newton generaliza esse modelo para justificar a ideia de que há uma tendência dos corpos de separarem-se mutuamente. A solubilidade de determinados materiais se explicaria da mesma maneira. </w:t>
      </w:r>
    </w:p>
    <w:p>
      <w:pPr>
        <w:pStyle w:val="Normal"/>
        <w:tabs>
          <w:tab w:val="clear" w:pos="708"/>
          <w:tab w:val="left" w:pos="720" w:leader="none"/>
        </w:tabs>
        <w:spacing w:lineRule="auto" w:line="360"/>
        <w:jc w:val="both"/>
        <w:rPr/>
      </w:pPr>
      <w:r>
        <w:rPr/>
        <w:tab/>
        <w:t>Nas principais obras de Newton, as considerações à noção de éter são um tanto quanto precárias. Nos Princípios matemáticos de filosofia natural</w:t>
      </w:r>
      <w:r>
        <w:rPr>
          <w:rStyle w:val="Caracteresdenotaderodap"/>
          <w:rStyle w:val="Ncoradanotaderodap"/>
        </w:rPr>
        <w:footnoteReference w:id="23"/>
      </w:r>
      <w:r>
        <w:rPr/>
        <w:t xml:space="preserve"> (livro I) de 1687, na definição I, Newton define massa</w:t>
      </w:r>
      <w:r>
        <w:rPr>
          <w:rStyle w:val="Caracteresdenotaderodap"/>
          <w:rStyle w:val="Ncoradanotaderodap"/>
        </w:rPr>
        <w:footnoteReference w:id="24"/>
      </w:r>
      <w:r>
        <w:rPr/>
        <w:t xml:space="preserve"> (quantidade de matéria) em termos da densidade e do volume. A propriedade relacional dada pela densidade se aplica a qualquer corpo, menos a meios. Cito Newton:</w:t>
      </w:r>
    </w:p>
    <w:p>
      <w:pPr>
        <w:pStyle w:val="Normal"/>
        <w:spacing w:lineRule="auto" w:line="360"/>
        <w:jc w:val="both"/>
        <w:rPr/>
      </w:pPr>
      <w:r>
        <w:rPr/>
      </w:r>
    </w:p>
    <w:p>
      <w:pPr>
        <w:pStyle w:val="Normal"/>
        <w:spacing w:lineRule="auto" w:line="360"/>
        <w:ind w:left="360" w:hanging="0"/>
        <w:jc w:val="both"/>
        <w:rPr/>
      </w:pPr>
      <w:r>
        <w:rPr>
          <w:i/>
        </w:rPr>
        <w:t>Não me refiro, aqui, a um meio, se é possível dizer que tal meio existe que permeia livremente os interstícios entre as partes dos corpos.</w:t>
      </w:r>
      <w:r>
        <w:rPr>
          <w:rStyle w:val="Caracteresdenotaderodap"/>
          <w:rStyle w:val="Ncoradanotaderodap"/>
          <w:i/>
        </w:rPr>
        <w:footnoteReference w:id="25"/>
      </w:r>
      <w:r>
        <w:rPr/>
        <w:t xml:space="preserve">  </w:t>
      </w:r>
    </w:p>
    <w:p>
      <w:pPr>
        <w:pStyle w:val="Normal"/>
        <w:spacing w:lineRule="auto" w:line="360"/>
        <w:ind w:left="360" w:hanging="0"/>
        <w:jc w:val="both"/>
        <w:rPr/>
      </w:pPr>
      <w:r>
        <w:rPr/>
      </w:r>
    </w:p>
    <w:p>
      <w:pPr>
        <w:pStyle w:val="Normal"/>
        <w:spacing w:lineRule="auto" w:line="360"/>
        <w:jc w:val="both"/>
        <w:rPr/>
      </w:pPr>
      <w:r>
        <w:rPr/>
        <w:t xml:space="preserve">           </w:t>
      </w:r>
      <w:r>
        <w:rPr/>
        <w:t>Em uma obra de 1717</w:t>
      </w:r>
      <w:r>
        <w:rPr>
          <w:rStyle w:val="Caracteresdenotaderodap"/>
          <w:rStyle w:val="Ncoradanotaderodap"/>
        </w:rPr>
        <w:footnoteReference w:id="26"/>
      </w:r>
      <w:r>
        <w:rPr/>
        <w:t xml:space="preserve">, o éter recebe nova conceitualização. No livro III, parte I, a questão 18 apresenta a seguinte experiência e sua interpretação. Em dois recipientes de vidro cilíndricos colocam-se dois termômetros de maneira que não encostem nas paredes do vidro. Retira-se o ar de um dos recipientes. Ao retirar os dois recipientes de um lugar frio para um lugar quente, o termômetro </w:t>
      </w:r>
      <w:r>
        <w:rPr>
          <w:i/>
        </w:rPr>
        <w:t>in vácuo</w:t>
      </w:r>
      <w:r>
        <w:rPr/>
        <w:t xml:space="preserve"> se tornará quente quase no mesmo instante que o outro termômetro no recipiente com ar. Ao levar os recipientes de volta ao ambiente frio o resfriamento dos termômetros ocorrerá quase ao mesmo tempo. Newton concluiu que seria o calor do ambiente quente transmitido através do vácuo pelas vibrações de um meio muito mais sutil do que o ar e que, após o ar ter sido retirado, esse meio permaneceu no recipiente o que causou a diferença. Esse mesmo meio, diz Newton, garante que a luz seja refletida e refratada e, dessa forma, por suas vibrações a luz comunica calor aos corpos. As vibrações desse meio, o éter (nessa questão a palavra éter não é mencionada), são responsáveis também pela intensidade e duração do calor presente nos corpos quentes. A comunicação entre os corpos quentes e os corpos frios se dá a partir dessas vibrações. Newton reforça que esse meio possui como propriedades, extrema rarefação e sutilidade em relação ao ar e extrema elasticidade, fazendo com que penetre em todos os corpos e devido a sua força elástica seja expandido por todo o universo.  </w:t>
      </w:r>
    </w:p>
    <w:p>
      <w:pPr>
        <w:pStyle w:val="Normal"/>
        <w:spacing w:lineRule="auto" w:line="360"/>
        <w:jc w:val="both"/>
        <w:rPr/>
      </w:pPr>
      <w:r>
        <w:rPr/>
        <w:tab/>
        <w:t xml:space="preserve">Nas questões 23 e 24, o movimento e os sentidos são explicados pelas vibrações do éter. Importante destacar que a estrutura dos nervos, para Newton, atende a condições em que o éter possa ativar os sentidos (questão 23) de forma similar aos movimentos musculares (questão 24), sugerindo uma explicação sem a necessidade dos </w:t>
      </w:r>
      <w:r>
        <w:rPr>
          <w:i/>
        </w:rPr>
        <w:t>espíritos animais</w:t>
      </w:r>
      <w:r>
        <w:rPr/>
        <w:t xml:space="preserve"> ativando a matéria nervosa (nervos).  </w:t>
      </w:r>
    </w:p>
    <w:p>
      <w:pPr>
        <w:pStyle w:val="Normal"/>
        <w:spacing w:lineRule="auto" w:line="360"/>
        <w:jc w:val="both"/>
        <w:rPr/>
      </w:pPr>
      <w:r>
        <w:rPr/>
        <w:tab/>
        <w:t>Ao longo do século XVIII a diversidade dos conceitos de éter frequentemente fazia referência a explicações que exigiam um meio físico para ação de forças, calor, efeitos elétricos ou magnéticos. Uma linha de ação em que se recorreu ao conceito de éter ou meio etéreo foi sobre a propriedade relacional com o conceito de calórico. A teoria do calórico dos três estados da matéria distinguiam o calórico, o calor e a matéria em geral. O calor era suposto consistindo de pequenas partículas que se repeliam umas as outras em função da distância entre elas</w:t>
      </w:r>
      <w:r>
        <w:rPr>
          <w:rStyle w:val="Caracteresdenotaderodap"/>
          <w:rStyle w:val="Ncoradanotaderodap"/>
        </w:rPr>
        <w:footnoteReference w:id="27"/>
      </w:r>
      <w:r>
        <w:rPr/>
        <w:t>. No contexto da fisiologia</w:t>
      </w:r>
      <w:r>
        <w:rPr>
          <w:rStyle w:val="Caracteresdenotaderodap"/>
          <w:rStyle w:val="Ncoradanotaderodap"/>
        </w:rPr>
        <w:footnoteReference w:id="28"/>
      </w:r>
      <w:r>
        <w:rPr/>
        <w:t xml:space="preserve"> e da teologia natural, o problema se colocava na transmissão da ação entre corpos e a alma, para o teólogo, e a mente para o fisiologista. O meio etéreo poderia ser uma saída para esse hiato. Dada tamanha diversidade do conceito de éter no século XVIII, é possível identificar a tentativa de uma taxonomia do conceito no período. </w:t>
      </w:r>
    </w:p>
    <w:p>
      <w:pPr>
        <w:pStyle w:val="Normal"/>
        <w:spacing w:lineRule="auto" w:line="360"/>
        <w:jc w:val="both"/>
        <w:rPr/>
      </w:pPr>
      <w:r>
        <w:rPr/>
        <w:tab/>
        <w:t>Nessa linha associativa entre conceitos térmicos e o éter, Herman Boerhaave (1668-1738) concebeu o fogo como um fluido sutil imponderável. Boerhaave enfatizou que o fogo é o elemento último na natureza</w:t>
      </w:r>
      <w:r>
        <w:rPr>
          <w:rStyle w:val="Caracteresdenotaderodap"/>
          <w:rStyle w:val="Ncoradanotaderodap"/>
        </w:rPr>
        <w:footnoteReference w:id="29"/>
      </w:r>
      <w:r>
        <w:rPr/>
        <w:t xml:space="preserve">. Ele conhecia bem a explicação das forças de atração e repulsão de Newton para os fenômenos ópticos e as ligações químicas. Esses ‘poderes’ não eram mecânicos, segundo Boerhaave, o que fez com que ele negasse a explicação das operações químicas a partir de princípios mecânicos. O fogo como substância elementar foi formado no início da matéria e por isso não poderia ser produzido mecanicamente a partir de outros corpos. Algumas das propriedades atribuídas ao fogo por Boerhaave se assemelham às propriedades do meio etéreo newtoniano.             </w:t>
      </w:r>
    </w:p>
    <w:p>
      <w:pPr>
        <w:pStyle w:val="Normal"/>
        <w:spacing w:lineRule="auto" w:line="360"/>
        <w:jc w:val="both"/>
        <w:rPr/>
      </w:pPr>
      <w:r>
        <w:rPr/>
        <w:tab/>
        <w:t xml:space="preserve">O conceito de éter majoritariamente no debate científico se associava a explicação da ação de forças sobre a matéria, sejam as forças físicas (gravidade, força elástica entre outras) ou as forças de ligação na química. Segundo Max Jammer, a tentativa em trabalhos pós-Newton em examinar a força gravitacional buscava a redução da ação à distância à contigüidade. </w:t>
      </w:r>
    </w:p>
    <w:p>
      <w:pPr>
        <w:pStyle w:val="Normal"/>
        <w:spacing w:lineRule="auto" w:line="360"/>
        <w:jc w:val="both"/>
        <w:rPr/>
      </w:pPr>
      <w:r>
        <w:rPr/>
      </w:r>
    </w:p>
    <w:p>
      <w:pPr>
        <w:pStyle w:val="Normal"/>
        <w:spacing w:lineRule="auto" w:line="360"/>
        <w:ind w:left="360" w:hanging="0"/>
        <w:jc w:val="both"/>
        <w:rPr/>
      </w:pPr>
      <w:r>
        <w:rPr>
          <w:i/>
        </w:rPr>
        <w:t>(...) os autores desses tratados opuseram-se à teoria da ação à distância, concebendo as forças de repulsão e atração como mais fundamentais e básicas para explicar como se transmite a força</w:t>
      </w:r>
      <w:r>
        <w:rPr/>
        <w:t>.</w:t>
      </w:r>
      <w:r>
        <w:rPr>
          <w:rStyle w:val="Caracteresdenotaderodap"/>
          <w:rStyle w:val="Ncoradanotaderodap"/>
        </w:rPr>
        <w:footnoteReference w:id="30"/>
      </w:r>
      <w:r>
        <w:rPr/>
        <w:t xml:space="preserve">   </w:t>
      </w:r>
    </w:p>
    <w:p>
      <w:pPr>
        <w:pStyle w:val="Normal"/>
        <w:spacing w:lineRule="auto" w:line="360"/>
        <w:jc w:val="both"/>
        <w:rPr/>
      </w:pPr>
      <w:r>
        <w:rPr/>
      </w:r>
    </w:p>
    <w:p>
      <w:pPr>
        <w:pStyle w:val="Normal"/>
        <w:spacing w:lineRule="auto" w:line="360"/>
        <w:jc w:val="both"/>
        <w:rPr/>
      </w:pPr>
      <w:r>
        <w:rPr/>
        <w:tab/>
        <w:t xml:space="preserve">Na segunda metade do século XIX o desenvolvimento do eletromagnetismo trouxe novo fôlego para a conceitualização do éter na Física. Na obra </w:t>
      </w:r>
      <w:r>
        <w:rPr>
          <w:i/>
        </w:rPr>
        <w:t>Matéria e movimento</w:t>
      </w:r>
      <w:r>
        <w:rPr/>
        <w:t xml:space="preserve"> de 1876, James C. Maxwell apresentou como prova da existência de um meio etéreo a necessidade da relação ontológica entre energia e matéria. Cito Maxwell:</w:t>
      </w:r>
    </w:p>
    <w:p>
      <w:pPr>
        <w:pStyle w:val="Normal"/>
        <w:spacing w:lineRule="auto" w:line="360"/>
        <w:jc w:val="both"/>
        <w:rPr/>
      </w:pPr>
      <w:r>
        <w:rPr/>
      </w:r>
    </w:p>
    <w:p>
      <w:pPr>
        <w:pStyle w:val="Normal"/>
        <w:spacing w:lineRule="auto" w:line="360"/>
        <w:ind w:left="360" w:hanging="0"/>
        <w:jc w:val="both"/>
        <w:rPr/>
      </w:pPr>
      <w:r>
        <w:rPr>
          <w:i/>
        </w:rPr>
        <w:t>A energia não pode existir exceto em relação com a matéria. Por conseguinte, no espaço entre o sol e a terra, as radiações luminosas e térmicas, que saem do sol, mas ainda não tenham chegado a terra, possuem energia, cuja quantidade por milha cúbica é possível medir; esta energia deve pertencer na matéria que existe nos espaços interplanetários, e como é somente através da luz que tomamos consciência da existência das estrelas mais remotas, concluímos que a matéria que transmite a luz está disseminada por todo o universo visível</w:t>
      </w:r>
      <w:r>
        <w:rPr/>
        <w:t>.</w:t>
      </w:r>
      <w:r>
        <w:rPr>
          <w:rStyle w:val="Caracteresdenotaderodap"/>
          <w:rStyle w:val="Ncoradanotaderodap"/>
        </w:rPr>
        <w:footnoteReference w:id="31"/>
      </w:r>
      <w:r>
        <w:rPr/>
        <w:t xml:space="preserve">        </w:t>
      </w:r>
    </w:p>
    <w:p>
      <w:pPr>
        <w:pStyle w:val="Normal"/>
        <w:spacing w:lineRule="auto" w:line="360"/>
        <w:jc w:val="both"/>
        <w:rPr/>
      </w:pPr>
      <w:r>
        <w:rPr/>
      </w:r>
    </w:p>
    <w:p>
      <w:pPr>
        <w:pStyle w:val="Normal"/>
        <w:spacing w:lineRule="auto" w:line="360"/>
        <w:jc w:val="both"/>
        <w:rPr/>
      </w:pPr>
      <w:r>
        <w:rPr/>
        <w:tab/>
        <w:t xml:space="preserve">Na mesma obra, Maxwell reconhece a dificuldade em se abordar o problema da causa da gravitação, fazendo inclusive alusão à maneira como Newton deixou o problema em aberto nos </w:t>
      </w:r>
      <w:r>
        <w:rPr>
          <w:i/>
        </w:rPr>
        <w:t>Princípios</w:t>
      </w:r>
      <w:r>
        <w:rPr/>
        <w:t xml:space="preserve"> e retomou na questão 21 da </w:t>
      </w:r>
      <w:r>
        <w:rPr>
          <w:i/>
        </w:rPr>
        <w:t>Óptica</w:t>
      </w:r>
      <w:r>
        <w:rPr/>
        <w:t>. Na seção em que menciona o problema da causa da gravitação explicada pela existência de um meio etéreo, Maxwell encerra a seção insistindo em que se trata de um problema a ser resolvido</w:t>
      </w:r>
      <w:r>
        <w:rPr>
          <w:rStyle w:val="Caracteresdenotaderodap"/>
          <w:rStyle w:val="Ncoradanotaderodap"/>
        </w:rPr>
        <w:footnoteReference w:id="32"/>
      </w:r>
      <w:r>
        <w:rPr/>
        <w:t xml:space="preserve">. Essas questões em aberto quanto à explicação causal da gravitação, a ação à distância e a existência do éter que persistiram por todo o século XVIII e chegaram à segunda metade do século XIX foram exploradas pela ficção e pelo pensamento místico e teológico. Jammer menciona tentativas de explicar o meio etéreo a partir de </w:t>
      </w:r>
      <w:r>
        <w:rPr>
          <w:i/>
        </w:rPr>
        <w:t>teorias substancialistas</w:t>
      </w:r>
      <w:r>
        <w:rPr/>
        <w:t>. Wilford Hall</w:t>
      </w:r>
      <w:r>
        <w:rPr>
          <w:rStyle w:val="Caracteresdenotaderodap"/>
          <w:rStyle w:val="Ncoradanotaderodap"/>
        </w:rPr>
        <w:footnoteReference w:id="33"/>
      </w:r>
      <w:r>
        <w:rPr/>
        <w:t xml:space="preserve"> foi um expoente dessa vertente. A proposta fundamental dessas teorias era recusar qualquer noção de éter e meio etéreo e considerar a força gravitacional como uma substância em si e não uma propriedade relacional entre os corpos que exigiam um meio que as conectasse. Vejamos o caso particular de como o conceito de éter e meio etéreo foi inserido na proposta da escritora e mística russa Helena Petrovna Blavatsky (1831-1891). O que pretende-se enfatizar é como esse conceito se insere na tentativa de justificação e legitimação da Teosofia como Ciência (há todo um vocabulário que foi mobilizado para esse fim; aqui examino apenas o caso do éter a título de exemplo).  </w:t>
      </w:r>
    </w:p>
    <w:p>
      <w:pPr>
        <w:pStyle w:val="Normal"/>
        <w:spacing w:lineRule="auto" w:line="360"/>
        <w:jc w:val="both"/>
        <w:rPr/>
      </w:pPr>
      <w:r>
        <w:rPr/>
        <w:tab/>
        <w:t>Examinar o conceito de maneira isolada no sistema teosófico não é recomendado, uma vez que o conceito de éter ocorre em momentos distintos e com oscilações em relação ao conteúdo semântico na maneira como aparece. A estratégia adotada aqui será apresentar um panorama de algumas teses teosóficas no que se refere ao domínio do psíquico e sua crítica às ciências naturais e como o conceito de éter se insere dentro dessa problemática.</w:t>
      </w:r>
    </w:p>
    <w:p>
      <w:pPr>
        <w:pStyle w:val="Normal"/>
        <w:spacing w:lineRule="auto" w:line="360"/>
        <w:jc w:val="both"/>
        <w:rPr/>
      </w:pPr>
      <w:r>
        <w:rPr/>
        <w:tab/>
        <w:t xml:space="preserve">No livro </w:t>
      </w:r>
      <w:r>
        <w:rPr>
          <w:i/>
        </w:rPr>
        <w:t>A doutrina oculta</w:t>
      </w:r>
      <w:r>
        <w:rPr/>
        <w:t xml:space="preserve">, em um capítulo intitulado </w:t>
      </w:r>
      <w:r>
        <w:rPr>
          <w:i/>
        </w:rPr>
        <w:t>Ação Psíquica e noética</w:t>
      </w:r>
      <w:r>
        <w:rPr/>
        <w:t>, Blavatsky examina o problema do livre-arbítrio na fisiologia em fins do século XIX e a tendência em se negar o caráter dual dos elementos psíquicos e noéticos no homem. Ela irá recorrer com frequência à obra do psicólogo norte-americano George Trumbull Ladd (1842-1921). O caráter de confronto em relação aos modelos da fisiologia que negavam o dualismo mente-cérebro e, em última instância negavam o livre-arbítrio, indica a tentativa de legitimação da teosofia no cenário científico em que se instalou. Cito Blavatsky:</w:t>
      </w:r>
    </w:p>
    <w:p>
      <w:pPr>
        <w:pStyle w:val="Normal"/>
        <w:spacing w:lineRule="auto" w:line="360"/>
        <w:jc w:val="both"/>
        <w:rPr/>
      </w:pPr>
      <w:r>
        <w:rPr/>
      </w:r>
    </w:p>
    <w:p>
      <w:pPr>
        <w:pStyle w:val="Normal"/>
        <w:spacing w:lineRule="auto" w:line="360"/>
        <w:ind w:left="360" w:hanging="0"/>
        <w:jc w:val="both"/>
        <w:rPr/>
      </w:pPr>
      <w:r>
        <w:rPr>
          <w:i/>
        </w:rPr>
        <w:t>(...) Aqui temos, por exemplo, um professor de fisiologia de Lausanne, A. A. Herzen, a quem a pretensão de livre-arbítrio no homem parece a maior das absurdidades não-científicas. Diz este oráculo: “No limitado laboratório físico e químico que rodeia o homem, a vida orgânica representa um grupo muito insignificante de fenômenos; e entre os últimos, o lugar ocupado pela vida que alcançou o estágio de consciência é tão ínfimo que é absurdo excluir o homem da esfera de ação de uma lei geral, permitindo-lhe a existência de uma espontaneidade subjetiva ou de um livre-arbítrio contrariando aquela mesma lei”</w:t>
      </w:r>
      <w:r>
        <w:rPr/>
        <w:t>.</w:t>
      </w:r>
      <w:r>
        <w:rPr>
          <w:rStyle w:val="Caracteresdenotaderodap"/>
          <w:rStyle w:val="Ncoradanotaderodap"/>
        </w:rPr>
        <w:footnoteReference w:id="34"/>
      </w:r>
      <w:r>
        <w:rPr/>
        <w:t xml:space="preserve">      </w:t>
      </w:r>
    </w:p>
    <w:p>
      <w:pPr>
        <w:pStyle w:val="Normal"/>
        <w:spacing w:lineRule="auto" w:line="360"/>
        <w:ind w:left="360" w:hanging="0"/>
        <w:jc w:val="both"/>
        <w:rPr/>
      </w:pPr>
      <w:r>
        <w:rPr/>
      </w:r>
    </w:p>
    <w:p>
      <w:pPr>
        <w:pStyle w:val="Normal"/>
        <w:spacing w:lineRule="auto" w:line="360"/>
        <w:jc w:val="both"/>
        <w:rPr/>
      </w:pPr>
      <w:r>
        <w:rPr/>
        <w:tab/>
        <w:t xml:space="preserve">Blavatsky esclarece no mesmo capítulo que não há discordância entre o ocultismo e a ideia expressa por Herzen. Ambos, de acordo com ela, concordam que todo fenômeno no universo visível tem sua gênese no movimento. A questão que deve ser explicada é sobre o conceito de movimento. Para Blavatsky, Herzen cai no mesmo erro que a maioria dos cientistas contemporâneos, ao creditar a causa dos fenômenos à tão somente movimentos moleculares. O movimento concebido pelo ocultismo é o </w:t>
      </w:r>
      <w:r>
        <w:rPr>
          <w:i/>
        </w:rPr>
        <w:t>grande sopro</w:t>
      </w:r>
      <w:r>
        <w:rPr/>
        <w:t xml:space="preserve">, </w:t>
      </w:r>
    </w:p>
    <w:p>
      <w:pPr>
        <w:pStyle w:val="Normal"/>
        <w:spacing w:lineRule="auto" w:line="360"/>
        <w:jc w:val="both"/>
        <w:rPr/>
      </w:pPr>
      <w:r>
        <w:rPr/>
      </w:r>
    </w:p>
    <w:p>
      <w:pPr>
        <w:pStyle w:val="Normal"/>
        <w:spacing w:lineRule="auto" w:line="360"/>
        <w:ind w:left="360" w:hanging="0"/>
        <w:jc w:val="both"/>
        <w:rPr/>
      </w:pPr>
      <w:r>
        <w:rPr>
          <w:i/>
        </w:rPr>
        <w:t>É o substrato do movimento cósmico. É sem começo nem fim, vida eterna, base e gênese do universo subjetivo e objetivo; porque a vida (ou a manifestação do Ser) é fons et origo da existência ou ser. O movimento molecular é o mais inferior e mais material de suas manifestações finitas. E se a lei geral de conservação de energia leva a moderna ciência à conclusão de que a atividade psíquica representa apenas uma forma especial de movimento, esta mesma lei, guiando os ocultistas, os leva também à mesma convicção – e a alguma coisa mais além, à qual a psicofisiologia não dá a mínima importância</w:t>
      </w:r>
      <w:r>
        <w:rPr/>
        <w:t>.</w:t>
      </w:r>
      <w:r>
        <w:rPr>
          <w:rStyle w:val="Caracteresdenotaderodap"/>
          <w:rStyle w:val="Ncoradanotaderodap"/>
        </w:rPr>
        <w:footnoteReference w:id="35"/>
      </w:r>
      <w:r>
        <w:rPr/>
        <w:t xml:space="preserve">       </w:t>
      </w:r>
    </w:p>
    <w:p>
      <w:pPr>
        <w:pStyle w:val="Normal"/>
        <w:spacing w:lineRule="auto" w:line="360"/>
        <w:jc w:val="both"/>
        <w:rPr/>
      </w:pPr>
      <w:r>
        <w:rPr/>
        <w:t xml:space="preserve">              </w:t>
      </w:r>
    </w:p>
    <w:p>
      <w:pPr>
        <w:pStyle w:val="Normal"/>
        <w:spacing w:lineRule="auto" w:line="360"/>
        <w:jc w:val="both"/>
        <w:rPr/>
      </w:pPr>
      <w:r>
        <w:rPr/>
        <w:tab/>
        <w:t xml:space="preserve">A referência que Blavatsky faz diretamente ao que ela considerava serem leis fundamentais, o movimento e a conservação de energia e, portanto, pertencentes à outra esfera distinta do livre-arbítrio no ser humano. O problema deve ser resolvido na pressuposição da distinção entre mente e corpo. É necessário fazer a distinção entre um ser real a que chamamos mente e o movimento das moléculas físicas que estão associadas à massa nervosa do cérebro. Nesse ponto, a tese de George Ladd da negação de um único centro de memória no sistema nervoso é utilizada por Blavatsky para justificar uma proposta de reformulação do conceito de átomo que possa compartilhar da natureza psíquico-noética do ser humano. </w:t>
      </w:r>
    </w:p>
    <w:p>
      <w:pPr>
        <w:pStyle w:val="Normal"/>
        <w:spacing w:lineRule="auto" w:line="360"/>
        <w:jc w:val="both"/>
        <w:rPr/>
      </w:pPr>
      <w:r>
        <w:rPr/>
      </w:r>
    </w:p>
    <w:p>
      <w:pPr>
        <w:pStyle w:val="Normal"/>
        <w:spacing w:lineRule="auto" w:line="360"/>
        <w:ind w:left="360" w:hanging="0"/>
        <w:jc w:val="both"/>
        <w:rPr/>
      </w:pPr>
      <w:r>
        <w:rPr>
          <w:i/>
        </w:rPr>
        <w:t>Como o ocultismo prega, se a Entidade-mente superior – permanente e imortal – é de essência divina e homogênea de alaya-Âkâsa (designação para mente universal) ou Mahat – seu reflexo, a mente pessoal, é como princípio temporário, proveniente da substância da luz astral. Como um raio puro do ‘filho da mente universal’, não poderia realizar funções no corpo e permaneceria impotente frente aos turbulentos órgãos de matéria. Assim, enquanto sua constituição interna é mânasica, seu ‘corpo’, ou melhor, sua essência funcional, é heterogênea e impregnada de luz astral, o elemento mais inferior do Éter</w:t>
      </w:r>
      <w:r>
        <w:rPr/>
        <w:t>.</w:t>
      </w:r>
      <w:r>
        <w:rPr>
          <w:rStyle w:val="Caracteresdenotaderodap"/>
          <w:rStyle w:val="Ncoradanotaderodap"/>
        </w:rPr>
        <w:footnoteReference w:id="36"/>
      </w:r>
      <w:r>
        <w:rPr/>
        <w:t xml:space="preserve">          </w:t>
      </w:r>
    </w:p>
    <w:p>
      <w:pPr>
        <w:pStyle w:val="Normal"/>
        <w:spacing w:lineRule="auto" w:line="360"/>
        <w:jc w:val="both"/>
        <w:rPr/>
      </w:pPr>
      <w:r>
        <w:rPr/>
        <w:t xml:space="preserve">           </w:t>
      </w:r>
    </w:p>
    <w:p>
      <w:pPr>
        <w:pStyle w:val="Normal"/>
        <w:spacing w:lineRule="auto" w:line="360"/>
        <w:jc w:val="both"/>
        <w:rPr/>
      </w:pPr>
      <w:r>
        <w:rPr/>
        <w:tab/>
        <w:t xml:space="preserve">A principal via de acesso utilizada por Blavatsky na crítica do problema mente e corpo se dirige, se necessário, ao problema mais geral envolvendo o reducionismo biológico das propriedades do organismo às suas partes constituintes (as células). O pressuposto de que as células já contenham todas as propriedades do mundo vivo serve, segundo Blavatsky, de barreira a tentativa das ciências naturais em explicar os organismos em sua completude a partir do conhecimento de suas partes. Essa dificuldade (para o teósofo trata-se de uma impossibilidade) é uma forte evidência de um princípio ativo que ultrapassa os organismos individualmente. O alvo da crítica da teosofia blavatskyana no intuito de legitimidade foi principalmente o positivismo francês de orientação comteana. Em um capítulo claramente intitulado pela via do confronto (condutores cegos dos cegos) no livro </w:t>
      </w:r>
      <w:r>
        <w:rPr>
          <w:i/>
        </w:rPr>
        <w:t>Ísis sem véu</w:t>
      </w:r>
      <w:r>
        <w:rPr/>
        <w:t>, primeiro volume, Blavatsky se refere diretamente ao positivismo e sua reivindicação como religião, enquanto a teosofia se colocava como ciência (Blavatsky menciona o Espiritismo, porém, para ela a ideia de ciência se estende a todas as ciências ocultas), recusando qualquer associação com outras religiões. Cito Blavatsky:</w:t>
      </w:r>
    </w:p>
    <w:p>
      <w:pPr>
        <w:pStyle w:val="Normal"/>
        <w:spacing w:lineRule="auto" w:line="360"/>
        <w:jc w:val="both"/>
        <w:rPr/>
      </w:pPr>
      <w:r>
        <w:rPr/>
      </w:r>
    </w:p>
    <w:p>
      <w:pPr>
        <w:pStyle w:val="Normal"/>
        <w:spacing w:lineRule="auto" w:line="360"/>
        <w:ind w:left="360" w:hanging="0"/>
        <w:jc w:val="both"/>
        <w:rPr/>
      </w:pPr>
      <w:r>
        <w:rPr>
          <w:i/>
        </w:rPr>
        <w:t>Apraz-nos observar que, enquanto o Positivismo proclama em altos brados que ele é uma religião, o Espiritismo jamais pretendeu ser nada mais do que uma ciência, uma filosofia em vias de desenvolvimento, ou antes, uma pesquisa das forças ocultas ainda inexplicadas da natureza. A objetividade dos seus diversos fenômenos foi demonstrada por mais de um dos verdadeiros representantes da ciência, tanto quanto negada ineficazmente pelos seus ‘macacos’</w:t>
      </w:r>
      <w:r>
        <w:rPr/>
        <w:t>.</w:t>
      </w:r>
      <w:r>
        <w:rPr>
          <w:rStyle w:val="Caracteresdenotaderodap"/>
          <w:rStyle w:val="Ncoradanotaderodap"/>
        </w:rPr>
        <w:footnoteReference w:id="37"/>
      </w:r>
      <w:r>
        <w:rPr/>
        <w:t xml:space="preserve">      </w:t>
      </w:r>
    </w:p>
    <w:p>
      <w:pPr>
        <w:pStyle w:val="Normal"/>
        <w:spacing w:lineRule="auto" w:line="360"/>
        <w:ind w:left="360" w:hanging="0"/>
        <w:jc w:val="both"/>
        <w:rPr/>
      </w:pPr>
      <w:r>
        <w:rPr/>
      </w:r>
    </w:p>
    <w:p>
      <w:pPr>
        <w:pStyle w:val="Normal"/>
        <w:spacing w:lineRule="auto" w:line="360"/>
        <w:jc w:val="both"/>
        <w:rPr/>
      </w:pPr>
      <w:r>
        <w:rPr/>
        <w:tab/>
        <w:t>A recusa pelas ciências oficialmente estabelecidas em examinar os fenômenos ocultos constitui um ultraje à própria missão da ciência segundo Blavatsky. Em um ensaio de 1868</w:t>
      </w:r>
      <w:r>
        <w:rPr>
          <w:rStyle w:val="Caracteresdenotaderodap"/>
          <w:rStyle w:val="Ncoradanotaderodap"/>
        </w:rPr>
        <w:footnoteReference w:id="38"/>
      </w:r>
      <w:r>
        <w:rPr/>
        <w:t xml:space="preserve">, John Tyndall (1820-1893) examinou o que se conhecia dos processos cerebrais, o processo de tomada de consciência e o elo entre eles. A precariedade com que a ciência de então explicava o abismo entre processos cerebrais e processos cognitivos abriam o flanco do materialismo para inúmeras alternativas, algumas não muito ortodoxas. O ensaio de Tyndall junto com a obra de George Ladd eram o que Blavatsky considerava o canto do cisne da ciência materialista e positivista da segunda metade do século XIX. </w:t>
      </w:r>
    </w:p>
    <w:p>
      <w:pPr>
        <w:pStyle w:val="Normal"/>
        <w:spacing w:lineRule="auto" w:line="360"/>
        <w:jc w:val="both"/>
        <w:rPr/>
      </w:pPr>
      <w:r>
        <w:rPr/>
        <w:tab/>
        <w:t xml:space="preserve">O conceito de éter está intimamente relacionado ao conceito, não tão inteligível, de força. Essa relação entre éter ou meio etéreo e força, ao menos nas ciências naturais, constitui condição necessária em quase todas as teorias do éter. No debate instaurado entre a teosofia e a ciência positivista e materialista, a determinação do elemento psíquico é condição fundamental na legitimação dos estudos ocultos. Se o conceito de éter exige ou é exigido na relação com o conceito de força, desde que as ciências ocultas não façam referência a forças já conhecidas (dessa forma a teosofia seria reduzida a alguma ciência já estabelecida), a correlação do éter a alguma força ainda não examinada pelas ciências poderia ser uma via salutar em justificar os estudos ocultos na condição de ciência. </w:t>
      </w:r>
    </w:p>
    <w:p>
      <w:pPr>
        <w:pStyle w:val="Normal"/>
        <w:spacing w:lineRule="auto" w:line="360"/>
        <w:jc w:val="both"/>
        <w:rPr/>
      </w:pPr>
      <w:r>
        <w:rPr/>
        <w:tab/>
        <w:t xml:space="preserve">No capítulo cinco de </w:t>
      </w:r>
      <w:r>
        <w:rPr>
          <w:i/>
        </w:rPr>
        <w:t>Ísis sem véu</w:t>
      </w:r>
      <w:r>
        <w:rPr/>
        <w:t>, Blavatsky apresenta uma grande lista de termos que se referem ao mesmo conteúdo semântico que o termo éter ou meio etéreo. A delimitação do conceito de éter associada a um meio físico que se relacione com a interação de forças e campos tal qual formulada, de maneiras distintas, pela ciência moderna constitui uma limitação no que os antigos já haviam formulado com maior amplitude. Cito Blavatsky:</w:t>
      </w:r>
    </w:p>
    <w:p>
      <w:pPr>
        <w:pStyle w:val="Normal"/>
        <w:spacing w:lineRule="auto" w:line="360"/>
        <w:jc w:val="both"/>
        <w:rPr/>
      </w:pPr>
      <w:r>
        <w:rPr/>
        <w:t xml:space="preserve"> </w:t>
      </w:r>
    </w:p>
    <w:p>
      <w:pPr>
        <w:pStyle w:val="Normal"/>
        <w:spacing w:lineRule="auto" w:line="360"/>
        <w:ind w:left="360" w:hanging="0"/>
        <w:jc w:val="both"/>
        <w:rPr/>
      </w:pPr>
      <w:r>
        <w:rPr>
          <w:i/>
        </w:rPr>
        <w:t>O caos dos antigos; o sagrado fogo zoroastrino, ou o Âtas-Behrâm dos pârsîs; o fogo de Hermes; o fogo de Elmes dos antigos alemães; o relâmpago de Cibele; a tocha ardente de Apolo; a chama sobre o altar de Pan; o fogo inextinguível do templo de Acrópolis, e do de Vesta; a chama ígnea do elmo de Plutão; as chispas brilhantes sobre os capacetes dos Dióscuros, sobre a cabeça de Górgona, o elmo de Palas, e o caduceu de Mercúrio; πϋρ άσβεστου; o Ptah egípcio, ou Râ; o Zeus Kataibates (o que desce) grego; as línguas de fogo pentecostais; a sarça ardente de Moisés; a coluna de fogo do Êxodo, e a ‘lâmpada ardente’ de Abraão; o fogo eterno do ‘poço sem fundo’; os vapores do oráculo de Delfos; a luz sideral dos Rosa-cruzes; o ÂKÂSA dos adeptos hindus; a luz astral de Éliphas Lévi, a aura nervosa e o fluido dos magnetizadores; o od de Reichenbach; o globo ígneo, ou o gato-meteoro de Babinet; o Psicode e a força ectênica de Thury; a força psíquica de Sergeant E. W. Cox e do Sr. Crookes; o magnetismo atmosférico de alguns naturalistas; galvanismo; e, finalmente, eletricidade, são apenas nomes diversos para inúmeras manifestações diferentes, ou efeitos da mesma misteriosa causa que a tudo penetra – o grego Archaeus ou Άρχαίος</w:t>
      </w:r>
      <w:r>
        <w:rPr/>
        <w:t>.</w:t>
      </w:r>
      <w:r>
        <w:rPr>
          <w:rStyle w:val="Caracteresdenotaderodap"/>
          <w:rStyle w:val="Ncoradanotaderodap"/>
        </w:rPr>
        <w:footnoteReference w:id="39"/>
      </w:r>
      <w:r>
        <w:rPr/>
        <w:t xml:space="preserve">               </w:t>
      </w:r>
    </w:p>
    <w:p>
      <w:pPr>
        <w:pStyle w:val="Normal"/>
        <w:spacing w:lineRule="auto" w:line="360"/>
        <w:jc w:val="both"/>
        <w:rPr/>
      </w:pPr>
      <w:r>
        <w:rPr/>
        <w:t xml:space="preserve">      </w:t>
      </w:r>
    </w:p>
    <w:p>
      <w:pPr>
        <w:pStyle w:val="Normal"/>
        <w:spacing w:lineRule="auto" w:line="360"/>
        <w:jc w:val="both"/>
        <w:rPr/>
      </w:pPr>
      <w:r>
        <w:rPr/>
        <w:tab/>
        <w:t xml:space="preserve">Em meados da década de 1870 (a obra </w:t>
      </w:r>
      <w:r>
        <w:rPr>
          <w:i/>
        </w:rPr>
        <w:t>Ísis sem véu</w:t>
      </w:r>
      <w:r>
        <w:rPr/>
        <w:t xml:space="preserve"> é publicada no final dessa década), circula uma noticia de que Thomas Edson tinha descoberto uma nova força na natureza. Mesmo que os teósofos considerem que a correlação entre éter e força seja um tanto quanto precária, a hipótese de novas forças na natureza sempre traziam a reboque a suposição de um meio etéreo que ultrapassasse os limites naturais, incluindo fenômenos ocultos. O caráter mediador do éter permanecia para os fenômenos ocultos, diferenciando-se do éter dos físicos quanto à amplitude dos fenômenos a que se associava. Considero o caso do éter como um bom exemplo de conceitos importados de determinadas áreas científicas a sistemas em ascensão com pretensão de legitimação entre a comunidade científica (as razões pelas quais se buscam essa legitimação é tema de outro ensaio, não tratarei dessa questão aqui). Nesses casos, os conceitos têm seus “raios de ação” ampliados com o intuito de abarcar campos fenomênicos explorados pela “nova ciência”. Diferente do primeiro caso analisado, aqui o conteúdo precede a forma. Não se trata de importação de conceitos no nível metateórico, mas de conceitos específicos relacionados a determinadas teorias e objetos ou fenômenos determinados. Os conceitos não são modificados por completo, mas alterados o suficiente para permitir o selo da ciência à proposta apresentada. O próximo caso examinado se refere a um nível posterior ao problema do éter. Examinarei o intercambio de conceitos em obras não científicas e sem pretensão de sê-lo, porém que operem com conceitos modificados por supostas teorias científicas. Defenderei ser esse o caso mais frequente de ocorrência na literatura e nas artes em geral. </w:t>
      </w:r>
    </w:p>
    <w:p>
      <w:pPr>
        <w:pStyle w:val="Normal"/>
        <w:spacing w:lineRule="auto" w:line="360"/>
        <w:jc w:val="both"/>
        <w:rPr/>
      </w:pPr>
      <w:r>
        <w:rPr/>
        <w:tab/>
        <w:t xml:space="preserve">Uma crítica plausível a minha proposta seria da parcialidade em examinar uma via de mão dupla pelo viés apenas de uma possibilidade (no intercâmbio conceitual da ciência à arte). Acredito que se trate mesmo de uma via de mão dupla; sendo que o caminho das artes para a ciência também ocorra com frequência no intercâmbio conceitual. Examinarei esse ponto em outro ensaio.   </w:t>
      </w:r>
    </w:p>
    <w:p>
      <w:pPr>
        <w:pStyle w:val="Normal"/>
        <w:spacing w:lineRule="auto" w:line="360"/>
        <w:jc w:val="both"/>
        <w:rPr/>
      </w:pPr>
      <w:r>
        <w:rPr/>
      </w:r>
    </w:p>
    <w:p>
      <w:pPr>
        <w:pStyle w:val="Normal"/>
        <w:spacing w:lineRule="auto" w:line="360"/>
        <w:jc w:val="both"/>
        <w:rPr>
          <w:b/>
          <w:b/>
        </w:rPr>
      </w:pPr>
      <w:r>
        <w:rPr>
          <w:b/>
        </w:rPr>
        <w:t>Rudyard Kipling, o conceito de raça e o imperialismo justificado</w:t>
      </w:r>
    </w:p>
    <w:p>
      <w:pPr>
        <w:pStyle w:val="Normal"/>
        <w:spacing w:lineRule="auto" w:line="360"/>
        <w:jc w:val="both"/>
        <w:rPr>
          <w:b/>
          <w:b/>
        </w:rPr>
      </w:pPr>
      <w:r>
        <w:rPr>
          <w:b/>
        </w:rPr>
      </w:r>
    </w:p>
    <w:p>
      <w:pPr>
        <w:pStyle w:val="Normal"/>
        <w:numPr>
          <w:ilvl w:val="0"/>
          <w:numId w:val="0"/>
        </w:numPr>
        <w:shd w:fill="FFFFFF" w:val="clear"/>
        <w:spacing w:lineRule="auto" w:line="360" w:before="280" w:after="280"/>
        <w:jc w:val="right"/>
        <w:outlineLvl w:val="0"/>
        <w:rPr>
          <w:b/>
          <w:b/>
          <w:bCs/>
          <w:color w:val="000000"/>
          <w:kern w:val="2"/>
        </w:rPr>
      </w:pPr>
      <w:r>
        <w:rPr>
          <w:b/>
          <w:bCs/>
          <w:color w:val="000000"/>
          <w:kern w:val="2"/>
        </w:rPr>
        <w:t>A Song of the English</w:t>
      </w:r>
      <w:r>
        <w:rPr>
          <w:rStyle w:val="Caracteresdenotaderodap"/>
          <w:rStyle w:val="Ncoradanotaderodap"/>
          <w:b/>
          <w:bCs/>
          <w:color w:val="000000"/>
          <w:kern w:val="2"/>
          <w:lang w:val="en-US"/>
        </w:rPr>
        <w:footnoteReference w:id="40"/>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pPr>
      <w:r>
        <w:rPr>
          <w:i/>
          <w:iCs/>
          <w:color w:val="000000"/>
        </w:rPr>
        <w:t xml:space="preserve">Fair is our lot -- O goodly </w:t>
      </w:r>
      <w:r>
        <w:rPr>
          <w:i/>
          <w:iCs/>
          <w:color w:val="000000"/>
          <w:lang w:val="en-US"/>
        </w:rPr>
        <w:t>is our heritage!</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(Humble ye, my people, and be fearful in your mirth!)</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For the Lord our God Most High</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He hath made the deep as dry,</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He hath smote for us a pathway to the ends of all the Earth!</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Yea, though we sinned -- and our rulers went from righteousness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Deep in all dishonour though we stained our garments' hem.</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Oh be ye not dismayed,</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Though we stumbled and we strayed,</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We were led by evil counsellors -- the Lord shall deal with them!</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Hold ye the Faith -- the Faith our Fathers seal]\ed us;</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Whoring not with visions -- overwise and overstale.</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Except ye pay the Lord</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Single heart and single sword,</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Of your children in their bondage shall He ask them treble-tale!</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Keep ye the Law -- be swift in all obedience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Clear the land of evil, drive the road and bridge the ford.</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Make ye sure to each his own</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That he reap where he hath sown;</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By the peace among Our peoples let men know we serve the Lord!</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    .    .    .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Hear now a song -- a song of broken interludes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A song of little cunning; of a singer nothing worth.</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Through the naked words and mean</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i/>
          <w:i/>
          <w:iCs/>
          <w:color w:val="000000"/>
          <w:lang w:val="en-US"/>
        </w:rPr>
      </w:pPr>
      <w:r>
        <w:rPr>
          <w:i/>
          <w:iCs/>
          <w:color w:val="000000"/>
          <w:lang w:val="en-US"/>
        </w:rPr>
        <w:t xml:space="preserve"> </w:t>
      </w:r>
      <w:r>
        <w:rPr>
          <w:i/>
          <w:iCs/>
          <w:color w:val="000000"/>
          <w:lang w:val="en-US"/>
        </w:rPr>
        <w:t>May ye see the truth between</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right"/>
        <w:rPr>
          <w:color w:val="000000"/>
          <w:lang w:val="en-US"/>
        </w:rPr>
      </w:pPr>
      <w:r>
        <w:rPr>
          <w:i/>
          <w:iCs/>
          <w:color w:val="000000"/>
          <w:lang w:val="en-US"/>
        </w:rPr>
        <w:t>As the singer knew and touched it in the ends of all the Earth!</w:t>
      </w:r>
    </w:p>
    <w:p>
      <w:pPr>
        <w:pStyle w:val="Normal"/>
        <w:spacing w:lineRule="auto" w:line="360"/>
        <w:jc w:val="both"/>
        <w:rPr>
          <w:lang w:val="en-US"/>
        </w:rPr>
      </w:pPr>
      <w:r>
        <w:rPr>
          <w:lang w:val="en-US"/>
        </w:rPr>
        <w:tab/>
      </w:r>
    </w:p>
    <w:p>
      <w:pPr>
        <w:pStyle w:val="Normal"/>
        <w:spacing w:lineRule="auto" w:line="360"/>
        <w:ind w:firstLine="708"/>
        <w:jc w:val="both"/>
        <w:rPr>
          <w:lang w:val="en-US"/>
        </w:rPr>
      </w:pPr>
      <w:r>
        <w:rPr>
          <w:lang w:val="en-US"/>
        </w:rPr>
      </w:r>
    </w:p>
    <w:p>
      <w:pPr>
        <w:pStyle w:val="Normal"/>
        <w:spacing w:lineRule="auto" w:line="360"/>
        <w:ind w:firstLine="708"/>
        <w:jc w:val="both"/>
        <w:rPr/>
      </w:pPr>
      <w:r>
        <w:rPr/>
        <w:t xml:space="preserve">O terceiro caso configura o mais difícil dos três em se examinar. A transposição de conceitos na obra literária encontra como obstáculo a não declaração explicita do conteúdo semântico dos conceitos. A possibilidade de sentido figurativo também obscurece a tentativa de rastrear, mesmo que tangencialmente, as relações de conteúdo dos conceitos com suas respectivas representações discursivas no campo científico. Determinado termo pode fazer referência em uma mesma obra a conteúdos conceituais diametralmente opostos. A identificação da variação desses conceitos, às vezes, somente é possível pelo exame detido do contexto em que é empregado. Diferentemente dos dois primeiros casos examinados anteriormente, os conceitos científicos presentes em uma obra literária podem não guardar relação alguma com o mesmo conceito utilizado num determinado discurso científico (acredito ser essa armadilha no qual a tese de Laura Otis esbarra em alguns momentos, uma vez que se preocupa quase que majoritariamente, com a ocorrência das mesmas palavras e não se preocupa tanto com os conceitos). Dado esse terreno pantanoso como cenário inicial, defendo que em muitas situações os conceitos científicos presentes na obra literária corroboram visões de mundo a partir de determinadas áreas em conflito com outras por legitimação e hegemonia. </w:t>
      </w:r>
    </w:p>
    <w:p>
      <w:pPr>
        <w:pStyle w:val="Normal"/>
        <w:spacing w:lineRule="auto" w:line="360"/>
        <w:jc w:val="both"/>
        <w:rPr/>
      </w:pPr>
      <w:r>
        <w:rPr/>
        <w:tab/>
        <w:t>As relações que as artes e a cultura em geral possuem com a sociedade, para além da complexa teia que formam, estabelecem vias em ambos os sentidos. As relações extra-literárias que o conceito de raça presente na obra de Rudyard Kipling (1865-1936) estabelece com discursos científicos podem ser aproximadas com outros conceitos próximos ao contexto histórico específico em que sua obra foi produzida. Conceitos como nacionalismo e nação, em intima relação com o imperialismo típico do século XIX marcam fortemente as concepções de raça, inclusive do ponto de vista biológico. A maneira como Edward Said</w:t>
      </w:r>
      <w:r>
        <w:rPr>
          <w:rStyle w:val="Caracteresdenotaderodap"/>
          <w:rStyle w:val="Ncoradanotaderodap"/>
        </w:rPr>
        <w:footnoteReference w:id="41"/>
      </w:r>
      <w:r>
        <w:rPr/>
        <w:t xml:space="preserve"> (1935-2003) explora as relações entre a literatura e um determinado estereótipo do Oriente parecem-nos uma ótima orientação para adentrarmos obras como a de Kipling. Said parte do pressuposto de que as ideias, culturas e histórias não podem ser exploradas sem que suas configurações de poder o sejam em igual medida examinadas. O conteúdo semântico associado à ideia de Oriente, analisada por Said, extrapola conteúdos tão somente teóricos. Se referem a práticas de jogos de poder que ultrapassam individualmente determinada obra, artística ou não. </w:t>
      </w:r>
    </w:p>
    <w:p>
      <w:pPr>
        <w:pStyle w:val="Normal"/>
        <w:spacing w:lineRule="auto" w:line="360"/>
        <w:jc w:val="both"/>
        <w:rPr/>
      </w:pPr>
      <w:r>
        <w:rPr/>
      </w:r>
    </w:p>
    <w:p>
      <w:pPr>
        <w:pStyle w:val="Normal"/>
        <w:spacing w:lineRule="auto" w:line="360"/>
        <w:ind w:left="360" w:hanging="0"/>
        <w:jc w:val="both"/>
        <w:rPr/>
      </w:pPr>
      <w:r>
        <w:rPr>
          <w:i/>
        </w:rPr>
        <w:t>A relação entre o Ocidente e o Oriente é uma relação de poder, de dominação, de graus variáveis de uma hegemonia complexa. (...) O Orientalismo não é uma visionária fantasia européia sobre o Oriente, mas um corpo elaborado de teoria e prática em que, por muitas gerações, tem-se feito um considerável investimento material</w:t>
      </w:r>
      <w:r>
        <w:rPr/>
        <w:t>.</w:t>
      </w:r>
      <w:r>
        <w:rPr>
          <w:rStyle w:val="Caracteresdenotaderodap"/>
          <w:rStyle w:val="Ncoradanotaderodap"/>
        </w:rPr>
        <w:footnoteReference w:id="42"/>
      </w:r>
      <w:r>
        <w:rPr/>
        <w:t xml:space="preserve">            </w:t>
      </w:r>
    </w:p>
    <w:p>
      <w:pPr>
        <w:pStyle w:val="Normal"/>
        <w:spacing w:lineRule="auto" w:line="360"/>
        <w:jc w:val="both"/>
        <w:rPr>
          <w:b/>
          <w:b/>
        </w:rPr>
      </w:pPr>
      <w:r>
        <w:rPr>
          <w:b/>
        </w:rPr>
        <w:t xml:space="preserve">   </w:t>
      </w:r>
    </w:p>
    <w:p>
      <w:pPr>
        <w:pStyle w:val="Normal"/>
        <w:spacing w:lineRule="auto" w:line="360"/>
        <w:jc w:val="both"/>
        <w:rPr/>
      </w:pPr>
      <w:r>
        <w:rPr/>
        <w:tab/>
        <w:t>Um erro que deve ser evitado, em vista dessas relações de poder que se estabelecem entre o que se convencionou chamar cultura geral e os rumos políticos e econômicos das sociedades, diz respeito à redução de determinada obra de arte às tensões extrínsecas, dando a falsa impressão de que se trata apenas de um aparato dessas instituições. A complexidade da obra de um autor do quilate de Kipling está assegurada como condição prévia. O que interessa na obra de Kipling nesse ensaio são as expressões e manifestações de elementos residuais dessas relações de poder. O conceito de raça será objeto dessa análise.</w:t>
      </w:r>
    </w:p>
    <w:p>
      <w:pPr>
        <w:pStyle w:val="Normal"/>
        <w:spacing w:lineRule="auto" w:line="360"/>
        <w:jc w:val="both"/>
        <w:rPr/>
      </w:pPr>
      <w:r>
        <w:rPr/>
        <w:tab/>
        <w:t xml:space="preserve">Uma primeira e importante pergunta que podemos fazer é se há um conceito de raça homogêneo no século XIX que permita o direcionamento do exame direto para a obra de Kipling e a busca de elementos indicativos do uso desse conceito tal qual formulado pelas ciências. A resposta à pergunta é negativa. Acredito que seja justamente devido a uma variabilidade no conceito de raça que gere confusões na maneira como se examina a presença desse conceito em obras de caráter não científico. Há o pressuposto de que raça seja um conceito acentuadamente biológico. Ao menos a partir das primeiras décadas do século XIX essa dimensão científica do conceito de raça parece ser um consenso. A mistura de elementos científicos com elementos extra-científicos parece ser uma das razões das confusões na maneira como o termo raça aparece em obras das mais diferentes naturezas. Examinarei algumas ocorrências do termo raça com o intuito de apresentar, mesmo que parcialmente, essa variabilidade na formulação e uso do conceito.        </w:t>
      </w:r>
    </w:p>
    <w:p>
      <w:pPr>
        <w:pStyle w:val="Normal"/>
        <w:spacing w:lineRule="auto" w:line="360"/>
        <w:jc w:val="both"/>
        <w:rPr/>
      </w:pPr>
      <w:r>
        <w:rPr/>
        <w:tab/>
        <w:t xml:space="preserve">Segundo o antropólogo Juan Comas (1900-1979), a confusão no uso de conceitos como </w:t>
      </w:r>
      <w:r>
        <w:rPr>
          <w:i/>
        </w:rPr>
        <w:t>arianismo</w:t>
      </w:r>
      <w:r>
        <w:rPr/>
        <w:t xml:space="preserve"> ou </w:t>
      </w:r>
      <w:r>
        <w:rPr>
          <w:i/>
        </w:rPr>
        <w:t>nordicismo</w:t>
      </w:r>
      <w:r>
        <w:rPr/>
        <w:t xml:space="preserve">, conceitos com forte relação com a noção de raça, se deve a associação sinonímica do termo </w:t>
      </w:r>
      <w:r>
        <w:rPr>
          <w:i/>
        </w:rPr>
        <w:t>raça</w:t>
      </w:r>
      <w:r>
        <w:rPr/>
        <w:t xml:space="preserve"> com os termos </w:t>
      </w:r>
      <w:r>
        <w:rPr>
          <w:i/>
        </w:rPr>
        <w:t>língua</w:t>
      </w:r>
      <w:r>
        <w:rPr/>
        <w:t xml:space="preserve"> e </w:t>
      </w:r>
      <w:r>
        <w:rPr>
          <w:i/>
        </w:rPr>
        <w:t>nação</w:t>
      </w:r>
      <w:r>
        <w:rPr>
          <w:rStyle w:val="Caracteresdenotaderodap"/>
          <w:rStyle w:val="Ncoradanotaderodap"/>
          <w:i/>
        </w:rPr>
        <w:footnoteReference w:id="43"/>
      </w:r>
      <w:r>
        <w:rPr/>
        <w:t xml:space="preserve">. Essa confusão remete, de acordo com Comas, aos primeiros usos do termo composto </w:t>
      </w:r>
      <w:r>
        <w:rPr>
          <w:i/>
        </w:rPr>
        <w:t>raça ariana</w:t>
      </w:r>
      <w:r>
        <w:rPr/>
        <w:t xml:space="preserve">, utilizado por volta de 1861 pelo orientalista Max Müller (1823-1900). Müller condenou a confusão que tais termos geram, uma vez que o termo raça se refere a elementos constitutivos da biologia, enquanto o termo ariano se refere a elementos linguísticos. Examinando dicionários em períodos distintos do século XIX observa-se que essa confusão em torno do conceito de raça antecede Müller. </w:t>
      </w:r>
    </w:p>
    <w:p>
      <w:pPr>
        <w:pStyle w:val="Normal"/>
        <w:spacing w:lineRule="auto" w:line="360"/>
        <w:jc w:val="both"/>
        <w:rPr/>
      </w:pPr>
      <w:r>
        <w:rPr/>
        <w:tab/>
        <w:t xml:space="preserve">No verbete </w:t>
      </w:r>
      <w:r>
        <w:rPr>
          <w:i/>
        </w:rPr>
        <w:t>Race</w:t>
      </w:r>
      <w:r>
        <w:rPr/>
        <w:t xml:space="preserve"> do dictionary of terms used in medicine and the collateral sciences de 1845, a ideia geral de raça se associa à palavra espécie. As raças do homem são formas diferentes de uma espécie capaz de união fecunda, segue a definição afirmando que a propagação das raças/espécies se dá por meio de geração. As raças não são definidas como diferentes espécies de um gênero, caso contrário, os seus híbridos seriam infecundos</w:t>
      </w:r>
      <w:r>
        <w:rPr>
          <w:rStyle w:val="Caracteresdenotaderodap"/>
          <w:rStyle w:val="Ncoradanotaderodap"/>
        </w:rPr>
        <w:footnoteReference w:id="44"/>
      </w:r>
      <w:r>
        <w:rPr/>
        <w:t xml:space="preserve">. Seguindo a classificação das raças humanas de Johann Friedrich Blumenbach (1752-1840), segue-se à definição de raça a descrição dos cinco tipos de raças humanas: (1) raça caucasiana, pele branca, cabelos ondulados de tonalidade clara ou escura; rosto oval; ângulo facial grande, a partir de 80° até aproximadamente 85,3°. Compõem essa raça os europeus (exceto os povos da Lapônia e finlandeses), os povos da Ásia ocidental e do norte da África; (2) raça mongol, caracterizada pela pele amarela, cabelo preto, reto e escasso; face larga e plana; (3) raça americana, possui a pele marrom, cabelos de cor preto, reto e escasso. Compõem essa raça todos os americanos não incluídos nas raças anteriores; (4) raça etíope, pele negra ou marrom, cabelo preto, grosso e curto; crânio estreito e longo; ângulo facial entre 70° e 75°. Todos os africanos com exceção daqueles da raça caucasiana; (5) raça malaia, pele negra, cabelo preto, macio, curto e abundante; crânio moderadamente estreito. </w:t>
      </w:r>
    </w:p>
    <w:p>
      <w:pPr>
        <w:pStyle w:val="Normal"/>
        <w:spacing w:lineRule="auto" w:line="360"/>
        <w:jc w:val="both"/>
        <w:rPr/>
      </w:pPr>
      <w:r>
        <w:rPr/>
        <w:tab/>
        <w:t xml:space="preserve">O termo raça aparece em dicionários anteriores à década de 1840 de forma dúbia ou vaga. No dictionary of arts and sciences de 1818, a palavra raça é utilizada, por exemplo, no verbete </w:t>
      </w:r>
      <w:r>
        <w:rPr>
          <w:i/>
        </w:rPr>
        <w:t>Dynasty</w:t>
      </w:r>
      <w:r>
        <w:rPr/>
        <w:t xml:space="preserve"> para designar os elementos de sucessão de reis da mesma linhagem ou família</w:t>
      </w:r>
      <w:r>
        <w:rPr>
          <w:rStyle w:val="Caracteresdenotaderodap"/>
          <w:rStyle w:val="Ncoradanotaderodap"/>
        </w:rPr>
        <w:footnoteReference w:id="45"/>
      </w:r>
      <w:r>
        <w:rPr/>
        <w:t xml:space="preserve">. No dictionary of the German terms used in medicine de 1879, a correlação entre o termo raça e o sangue como constituintes de uma teoria biológica das raças já aparece de forma mais clara. O termo </w:t>
      </w:r>
      <w:r>
        <w:rPr>
          <w:i/>
        </w:rPr>
        <w:t>Geblüt</w:t>
      </w:r>
      <w:r>
        <w:rPr/>
        <w:t xml:space="preserve"> (gen-es) designa sangue; a massa de sangue no corpo; linha, raça, consanguinidade</w:t>
      </w:r>
      <w:r>
        <w:rPr>
          <w:rStyle w:val="Caracteresdenotaderodap"/>
          <w:rStyle w:val="Ncoradanotaderodap"/>
        </w:rPr>
        <w:footnoteReference w:id="46"/>
      </w:r>
      <w:r>
        <w:rPr/>
        <w:t xml:space="preserve">. Outras duas palavras que designam raça, mas em associação ao termo espécie são </w:t>
      </w:r>
      <w:r>
        <w:rPr>
          <w:i/>
        </w:rPr>
        <w:t>Geschlechtsart</w:t>
      </w:r>
      <w:r>
        <w:rPr/>
        <w:t xml:space="preserve"> e </w:t>
      </w:r>
      <w:r>
        <w:rPr>
          <w:i/>
        </w:rPr>
        <w:t>Geschlecht</w:t>
      </w:r>
      <w:r>
        <w:rPr/>
        <w:t xml:space="preserve"> (gen. –es; pl. –er): sexo; espécie; tipo; raça</w:t>
      </w:r>
      <w:r>
        <w:rPr>
          <w:rStyle w:val="Caracteresdenotaderodap"/>
          <w:rStyle w:val="Ncoradanotaderodap"/>
        </w:rPr>
        <w:footnoteReference w:id="47"/>
      </w:r>
      <w:r>
        <w:rPr/>
        <w:t xml:space="preserve">. A associação do termo raça à espécie humana permaneceu em dicionários do final do século XIX. No Phrenological dictionary de 1894, o verbete </w:t>
      </w:r>
      <w:r>
        <w:rPr>
          <w:i/>
        </w:rPr>
        <w:t>Amativeness</w:t>
      </w:r>
      <w:r>
        <w:rPr/>
        <w:t xml:space="preserve"> (termo utilizado pelos frenologistas no século XIX para designar a área associada ao amor e atração sexual) faz referência a uma estrutura localizada no cerebelo e que estaria relacionada à reprodução. A palavra raça designa espécie humana nesse verbete</w:t>
      </w:r>
      <w:r>
        <w:rPr>
          <w:rStyle w:val="Caracteresdenotaderodap"/>
          <w:rStyle w:val="Ncoradanotaderodap"/>
        </w:rPr>
        <w:footnoteReference w:id="48"/>
      </w:r>
      <w:r>
        <w:rPr/>
        <w:t xml:space="preserve">. Essas e outras variações do termo constituem nosso ponto de partida para adentrarmos o universo literário de Kipling em busca do conceito de raça.    </w:t>
      </w:r>
    </w:p>
    <w:p>
      <w:pPr>
        <w:pStyle w:val="Normal"/>
        <w:spacing w:lineRule="auto" w:line="360"/>
        <w:jc w:val="both"/>
        <w:rPr/>
      </w:pPr>
      <w:r>
        <w:rPr/>
        <w:tab/>
        <w:t>Rudyard Kipling nasceu em Bombaim na Índia em 1865. Conhecido como o escritor do imperialismo, Kipling recebeu o prêmio Nobel em 1907. Ele foi o primeiro “britânico” a receber a honraria</w:t>
      </w:r>
      <w:r>
        <w:rPr>
          <w:rStyle w:val="Caracteresdenotaderodap"/>
          <w:rStyle w:val="Ncoradanotaderodap"/>
        </w:rPr>
        <w:footnoteReference w:id="49"/>
      </w:r>
      <w:r>
        <w:rPr/>
        <w:t xml:space="preserve">. Kipling é conhecido também como um mestre do conto curto. Escreveu inúmeros contos de terror e fantástico.        </w:t>
      </w:r>
    </w:p>
    <w:p>
      <w:pPr>
        <w:pStyle w:val="Normal"/>
        <w:spacing w:lineRule="auto" w:line="360"/>
        <w:jc w:val="both"/>
        <w:rPr/>
      </w:pPr>
      <w:r>
        <w:rPr/>
        <w:tab/>
        <w:t xml:space="preserve">Nos </w:t>
      </w:r>
      <w:r>
        <w:rPr>
          <w:i/>
        </w:rPr>
        <w:t>Jungle Books</w:t>
      </w:r>
      <w:r>
        <w:rPr>
          <w:rStyle w:val="Caracteresdenotaderodap"/>
          <w:rStyle w:val="Ncoradanotaderodap"/>
          <w:i/>
        </w:rPr>
        <w:footnoteReference w:id="50"/>
      </w:r>
      <w:r>
        <w:rPr/>
        <w:t xml:space="preserve"> (livros do jângal) Kipling desenvolveu verdadeiros manuais de educação. As leis da selva presentes na série estabelecem relações hierárquicas rígidas e indicativas de uma ordenação natural. Visto de uma perspectiva universalista, os jungle books mostram as tensões decorrentes da relação entre as forças de ordem e desordem próprias da natureza. Essa caracterização pode ser inferida em outras obras em que Kipling transfere as relações de hierarquia do mundo natural e selvagem (a selva) para a civilização. Em outra obra muito conhecida, o romance Kim</w:t>
      </w:r>
      <w:r>
        <w:rPr>
          <w:rStyle w:val="Caracteresdenotaderodap"/>
          <w:rStyle w:val="Ncoradanotaderodap"/>
        </w:rPr>
        <w:footnoteReference w:id="51"/>
      </w:r>
      <w:r>
        <w:rPr/>
        <w:t xml:space="preserve"> de 1901, Kipling apresenta-nos um cenário em que ingleses e colonos (indianos) convivem em um ambiente desprovido de tensões decorrentes do processo de dominação inglesa na Índia. Said</w:t>
      </w:r>
      <w:r>
        <w:rPr>
          <w:rStyle w:val="Caracteresdenotaderodap"/>
          <w:rStyle w:val="Ncoradanotaderodap"/>
        </w:rPr>
        <w:footnoteReference w:id="52"/>
      </w:r>
      <w:r>
        <w:rPr/>
        <w:t xml:space="preserve"> considera que a ausência de conflitos é um forte indicativo da maneira atenuada como Kipling via o processo e as relações entre ingleses e indianos em fins do século XIX. Kim representa a ponte entre os dois mundos, o híbrido</w:t>
      </w:r>
      <w:r>
        <w:rPr>
          <w:rStyle w:val="Caracteresdenotaderodap"/>
          <w:rStyle w:val="Ncoradanotaderodap"/>
        </w:rPr>
        <w:footnoteReference w:id="53"/>
      </w:r>
      <w:r>
        <w:rPr/>
        <w:t xml:space="preserve">.  </w:t>
      </w:r>
    </w:p>
    <w:p>
      <w:pPr>
        <w:pStyle w:val="Normal"/>
        <w:spacing w:lineRule="auto" w:line="360"/>
        <w:jc w:val="both"/>
        <w:rPr/>
      </w:pPr>
      <w:r>
        <w:rPr/>
        <w:tab/>
        <w:t xml:space="preserve">A singularidade de Kim é devida justamente a sua condição de filho de um soldado inglês. Em uma passagem em que no acampamento, um dos padres pergunta sobre a possibilidade de existirem outros meninos tal como Kim, o mesmo conclui não ser possível já que Kim é um </w:t>
      </w:r>
      <w:r>
        <w:rPr>
          <w:i/>
        </w:rPr>
        <w:t>lusus naturae</w:t>
      </w:r>
      <w:r>
        <w:rPr/>
        <w:t xml:space="preserve"> (um ser raro, mas podendo ter a conotação de aberração). </w:t>
      </w:r>
    </w:p>
    <w:p>
      <w:pPr>
        <w:pStyle w:val="Normal"/>
        <w:spacing w:lineRule="auto" w:line="360"/>
        <w:jc w:val="both"/>
        <w:rPr/>
      </w:pPr>
      <w:r>
        <w:rPr/>
      </w:r>
    </w:p>
    <w:p>
      <w:pPr>
        <w:pStyle w:val="Normal"/>
        <w:jc w:val="both"/>
        <w:rPr>
          <w:lang w:val="en-US"/>
        </w:rPr>
      </w:pPr>
      <w:r>
        <w:rPr/>
        <w:drawing>
          <wp:inline distT="0" distB="0" distL="0" distR="0">
            <wp:extent cx="2018665" cy="2755265"/>
            <wp:effectExtent l="0" t="0" r="0" b="0"/>
            <wp:docPr id="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
                    <pic:cNvPicPr>
                      <a:picLocks noChangeAspect="1" noChangeArrowheads="1"/>
                    </pic:cNvPicPr>
                  </pic:nvPicPr>
                  <pic:blipFill>
                    <a:blip r:embed="rId2"/>
                    <a:stretch>
                      <a:fillRect/>
                    </a:stretch>
                  </pic:blipFill>
                  <pic:spPr bwMode="auto">
                    <a:xfrm>
                      <a:off x="0" y="0"/>
                      <a:ext cx="2018665" cy="2755265"/>
                    </a:xfrm>
                    <a:prstGeom prst="rect">
                      <a:avLst/>
                    </a:prstGeom>
                    <a:ln w="38100">
                      <a:solidFill>
                        <a:srgbClr val="000000"/>
                      </a:solidFill>
                    </a:ln>
                  </pic:spPr>
                </pic:pic>
              </a:graphicData>
            </a:graphic>
          </wp:inline>
        </w:drawing>
      </w:r>
      <w:r>
        <w:rPr/>
        <w:t xml:space="preserve">   </w:t>
      </w:r>
      <w:r>
        <w:rPr>
          <w:b/>
        </w:rPr>
        <w:t xml:space="preserve">Figura 1: </w:t>
      </w:r>
      <w:r>
        <w:rPr/>
        <w:t xml:space="preserve">Ilustração de capa de </w:t>
      </w:r>
      <w:r>
        <w:rPr>
          <w:i/>
        </w:rPr>
        <w:t>The jungle book</w:t>
      </w:r>
      <w:r>
        <w:rPr/>
        <w:t xml:space="preserve">. </w:t>
      </w:r>
      <w:r>
        <w:rPr>
          <w:lang w:val="en-US"/>
        </w:rPr>
        <w:t xml:space="preserve">Fonte: </w:t>
      </w:r>
      <w:r>
        <w:rPr>
          <w:b/>
          <w:i/>
          <w:lang w:val="en-US"/>
        </w:rPr>
        <w:t>The Writings in prose and verse of Rudyard Kipling</w:t>
      </w:r>
      <w:r>
        <w:rPr>
          <w:lang w:val="en-US"/>
        </w:rPr>
        <w:t xml:space="preserve">. Vol. 7. New York: Charles Scribner’s sons, 1898.  </w:t>
      </w:r>
    </w:p>
    <w:p>
      <w:pPr>
        <w:pStyle w:val="Normal"/>
        <w:spacing w:lineRule="auto" w:line="360"/>
        <w:jc w:val="both"/>
        <w:rPr>
          <w:lang w:val="en-US"/>
        </w:rPr>
      </w:pPr>
      <w:r>
        <w:rPr>
          <w:lang w:val="en-US"/>
        </w:rPr>
      </w:r>
    </w:p>
    <w:p>
      <w:pPr>
        <w:pStyle w:val="Normal"/>
        <w:spacing w:lineRule="auto" w:line="360"/>
        <w:jc w:val="both"/>
        <w:rPr/>
      </w:pPr>
      <w:r>
        <w:rPr>
          <w:lang w:val="en-US"/>
        </w:rPr>
        <w:tab/>
      </w:r>
      <w:r>
        <w:rPr/>
        <w:t xml:space="preserve">A concepção advinda da obra de Kipling do conceito de raça que se aproxima da visão apresentada pelo escritor pode ser rastreada pela maneira como a ideia de como os elementos constitutivos da natureza das personagens são atribuídos ao nascimento. A força da noção de que se nasce com determinadas características que serão fundamentais para a formação do individuo é presença central nas principais concepções de raça que se formam no final do século XIX. Destaco a seguir a correlação entre o conceito de raça e outros conceitos correlatos (nação, nacionalidade, língua são alguns desses conceitos). Há uma passagem em que o bom nascimento de um cavalo é utilizado por uma das personagens para se falar do destino de Kim. Cito Kipling: </w:t>
      </w:r>
    </w:p>
    <w:p>
      <w:pPr>
        <w:pStyle w:val="Normal"/>
        <w:spacing w:lineRule="auto" w:line="360"/>
        <w:jc w:val="both"/>
        <w:rPr/>
      </w:pPr>
      <w:r>
        <w:rPr/>
      </w:r>
    </w:p>
    <w:p>
      <w:pPr>
        <w:pStyle w:val="Normal"/>
        <w:spacing w:lineRule="auto" w:line="360"/>
        <w:ind w:firstLine="708"/>
        <w:jc w:val="both"/>
        <w:rPr>
          <w:i/>
          <w:i/>
        </w:rPr>
      </w:pPr>
      <w:r>
        <w:rPr>
          <w:i/>
        </w:rPr>
        <w:t>O afegão ouviu e aproximou-se.</w:t>
      </w:r>
    </w:p>
    <w:p>
      <w:pPr>
        <w:pStyle w:val="Normal"/>
        <w:numPr>
          <w:ilvl w:val="0"/>
          <w:numId w:val="5"/>
        </w:numPr>
        <w:spacing w:lineRule="auto" w:line="360"/>
        <w:jc w:val="both"/>
        <w:rPr>
          <w:i/>
          <w:i/>
        </w:rPr>
      </w:pPr>
      <w:r>
        <w:rPr>
          <w:i/>
        </w:rPr>
        <w:t>Então, que há? Indagou o coronel.</w:t>
      </w:r>
    </w:p>
    <w:p>
      <w:pPr>
        <w:pStyle w:val="Normal"/>
        <w:numPr>
          <w:ilvl w:val="0"/>
          <w:numId w:val="5"/>
        </w:numPr>
        <w:spacing w:lineRule="auto" w:line="360"/>
        <w:jc w:val="both"/>
        <w:rPr>
          <w:i/>
          <w:i/>
        </w:rPr>
      </w:pPr>
      <w:r>
        <w:rPr>
          <w:i/>
        </w:rPr>
        <w:t xml:space="preserve">É a respeito do potro, disse Mahbub. Quando um cavalo já é de nascença pônei de pólo, lépido em correr atrás da bola mesmo antes de ter aprendido, quando um potro desses conhece o jogo por adivinhação, acho que é um crime deixá-lo ir para a carroça. </w:t>
      </w:r>
    </w:p>
    <w:p>
      <w:pPr>
        <w:pStyle w:val="Normal"/>
        <w:numPr>
          <w:ilvl w:val="1"/>
          <w:numId w:val="5"/>
        </w:numPr>
        <w:spacing w:lineRule="auto" w:line="360"/>
        <w:jc w:val="both"/>
        <w:rPr>
          <w:i/>
          <w:i/>
        </w:rPr>
      </w:pPr>
      <w:r>
        <w:rPr>
          <w:i/>
        </w:rPr>
        <w:t xml:space="preserve">(...) </w:t>
      </w:r>
    </w:p>
    <w:p>
      <w:pPr>
        <w:pStyle w:val="Normal"/>
        <w:spacing w:lineRule="auto" w:line="360"/>
        <w:ind w:left="708" w:hanging="0"/>
        <w:jc w:val="both"/>
        <w:rPr>
          <w:b/>
          <w:b/>
          <w:i/>
          <w:i/>
        </w:rPr>
      </w:pPr>
      <w:r>
        <w:rPr>
          <w:i/>
        </w:rPr>
        <w:t>O afegão fez uma saudação quase militar e, voltando-se para Kim: “Paciência, amiguinho”, murmurou em voz baixa. “sua fortuna está feita. Eles vão mandá-lo para Nucklao</w:t>
      </w:r>
      <w:r>
        <w:rPr>
          <w:rStyle w:val="Caracteresdenotaderodap"/>
          <w:rStyle w:val="Ncoradanotaderodap"/>
          <w:i/>
        </w:rPr>
        <w:footnoteReference w:id="54"/>
      </w:r>
      <w:r>
        <w:rPr>
          <w:i/>
        </w:rPr>
        <w:t>.</w:t>
      </w:r>
    </w:p>
    <w:p>
      <w:pPr>
        <w:pStyle w:val="Normal"/>
        <w:spacing w:lineRule="auto" w:line="360"/>
        <w:jc w:val="both"/>
        <w:rPr>
          <w:b/>
          <w:b/>
          <w:i/>
          <w:i/>
        </w:rPr>
      </w:pPr>
      <w:r>
        <w:rPr>
          <w:b/>
          <w:i/>
        </w:rPr>
      </w:r>
    </w:p>
    <w:p>
      <w:pPr>
        <w:pStyle w:val="Normal"/>
        <w:spacing w:lineRule="auto" w:line="360"/>
        <w:ind w:firstLine="708"/>
        <w:jc w:val="both"/>
        <w:rPr/>
      </w:pPr>
      <w:r>
        <w:rPr/>
        <w:t xml:space="preserve">Ao longo da narrativa, torna-se um tanto quanto claro que o destino de Kim se deve principalmente, senão exclusivamente, em função de sua “parte inglesa” pelo lado paterno. Kipling conhecia muito bem um livro editado por seu pai, John L. Kipling intitulado </w:t>
      </w:r>
      <w:r>
        <w:rPr>
          <w:i/>
        </w:rPr>
        <w:t>Beast and man in Índia</w:t>
      </w:r>
      <w:r>
        <w:rPr/>
        <w:t xml:space="preserve"> de 1904. Nessa obra há um capítulo em que se relacionam os animais com o sobrenatural. Muitas das histórias de horror de Kipling dialogam com as lendas indianas que estabelecem essas relações, das quais vemos no livro de seu pai. No conto </w:t>
      </w:r>
      <w:r>
        <w:rPr>
          <w:i/>
        </w:rPr>
        <w:t>Tick Boileau rapa a mesa</w:t>
      </w:r>
      <w:r>
        <w:rPr>
          <w:rStyle w:val="Caracteresdenotaderodap"/>
          <w:rStyle w:val="Ncoradanotaderodap"/>
          <w:i/>
        </w:rPr>
        <w:footnoteReference w:id="55"/>
      </w:r>
      <w:r>
        <w:rPr/>
        <w:t xml:space="preserve">, o sobrenatural é utilizado para gerar um efeito cômico, uma das marcas dos contos curtos de Kipling. Em outro conto publicado originalmente na Civil and Military Gazette em 1886, com o título </w:t>
      </w:r>
      <w:r>
        <w:rPr>
          <w:i/>
        </w:rPr>
        <w:t>In the house of Suddhoo</w:t>
      </w:r>
      <w:r>
        <w:rPr>
          <w:rStyle w:val="Caracteresdenotaderodap"/>
          <w:rStyle w:val="Ncoradanotaderodap"/>
          <w:i/>
        </w:rPr>
        <w:footnoteReference w:id="56"/>
      </w:r>
      <w:r>
        <w:rPr/>
        <w:t xml:space="preserve"> (na casa de Suddhoo), observa-se a ausência de tensão nas relações entre ingleses (colonos) e indianos (nativos). A narrativa se passa a partir da ação de um prestidigitador que se propõe a ajudar o filho de Suddhoo com magia, porém, o mesmo é desmascarado durante o processo por uma velha indiana e o narrador da história. Todo o desenrolar da trama se dá de forma absolutamente normal entre os eventos que são de ordem natural e aqueles que supostamente são de ordem sobrenatural. Há uma série de contos curtos de Kipling em que esse cenário se repete</w:t>
      </w:r>
      <w:r>
        <w:rPr>
          <w:rStyle w:val="Caracteresdenotaderodap"/>
          <w:rStyle w:val="Ncoradanotaderodap"/>
        </w:rPr>
        <w:footnoteReference w:id="57"/>
      </w:r>
      <w:r>
        <w:rPr/>
        <w:t xml:space="preserve">. </w:t>
      </w:r>
    </w:p>
    <w:p>
      <w:pPr>
        <w:pStyle w:val="Normal"/>
        <w:spacing w:lineRule="auto" w:line="360"/>
        <w:jc w:val="both"/>
        <w:rPr/>
      </w:pPr>
      <w:r>
        <w:rPr/>
      </w:r>
    </w:p>
    <w:p>
      <w:pPr>
        <w:pStyle w:val="Normal"/>
        <w:spacing w:lineRule="auto" w:line="360"/>
        <w:jc w:val="both"/>
        <w:rPr>
          <w:b/>
          <w:b/>
        </w:rPr>
      </w:pPr>
      <w:r>
        <w:rPr>
          <w:b/>
        </w:rPr>
        <w:t xml:space="preserve">Cadeia das metamorfoses conceituais </w:t>
      </w:r>
    </w:p>
    <w:p>
      <w:pPr>
        <w:pStyle w:val="Normal"/>
        <w:spacing w:lineRule="auto" w:line="360"/>
        <w:jc w:val="both"/>
        <w:rPr>
          <w:b/>
          <w:b/>
        </w:rPr>
      </w:pPr>
      <w:r>
        <w:rPr>
          <w:b/>
        </w:rPr>
      </w:r>
    </w:p>
    <w:p>
      <w:pPr>
        <w:pStyle w:val="Normal"/>
        <w:spacing w:lineRule="auto" w:line="360"/>
        <w:jc w:val="both"/>
        <w:rPr/>
      </w:pPr>
      <w:r>
        <w:rPr/>
        <w:tab/>
        <w:t>Quando examinamos um conceito de forma isolada em dado contexto discursivo recorremos invariavelmente a outros conceitos ou ideias gerais para o compreendermos. Algumas dessas ideias gerais ou simplesmente conceitos gerais estão mais próximos do conceito em análise. Em alguns casos, esses conceitos mais gerais contribuem na formação do conceito em questão. Essas relações conceituais formam verdadeiras cadeias conceituais, onde o exame de um dado conceito isoladamente não seja possível sem recorrermos aos conceitos mais centrais da cadeia. Esses conceitos sendo deslocados de discursos distintos (científico, artístico ou outros) sofrem modificações significativas (conforme apresentei nos três casos examinados anteriormente), ocasionando uma metamorfose na cadeia quando examinados em determinados recortes temporais. Vejamos o caso do conceito de raça e seus conceitos correlatos.</w:t>
      </w:r>
    </w:p>
    <w:p>
      <w:pPr>
        <w:pStyle w:val="Normal"/>
        <w:spacing w:lineRule="auto" w:line="360"/>
        <w:jc w:val="both"/>
        <w:rPr/>
      </w:pPr>
      <w:r>
        <w:rPr/>
        <w:tab/>
        <w:t xml:space="preserve">Identificamos alguns conceitos correlatos ao conceito de raça, principalmente no século XIX, e que foram apropriados na composição de narrativas literárias (principalmente de horror e fantasia), bem como no discurso científico. São os conceitos de Nação e nacionalismo, Espécie, Língua entre outros. Considerando o conceito de raça como o conceito central da relação que se objetiva estabelecer, os outros conceitos ocupariam de certa maneira posição tangencial para que compreendamos o significado do conceito de raça. Essa proposta não pressupõe qualquer hierarquia entre os conceitos. As cadeias conceituais, vistas no tempo, se desenvolvem paralelamente umas em relação às outras. É quando decide-se examinar um conceito que ele assume papel central em relação aos outros, tão somente como um instrumento de análise.  </w:t>
      </w:r>
    </w:p>
    <w:p>
      <w:pPr>
        <w:pStyle w:val="Normal"/>
        <w:spacing w:lineRule="auto" w:line="360"/>
        <w:jc w:val="both"/>
        <w:rPr/>
      </w:pPr>
      <w:r>
        <w:rPr/>
        <w:tab/>
        <w:t xml:space="preserve">Na tabela a seguir (tabela 1) apresento um exemplo de como operar com essa noção de cadeias de metamorfoses conceituais.   </w:t>
      </w:r>
    </w:p>
    <w:tbl>
      <w:tblPr>
        <w:tblW w:w="9640" w:type="dxa"/>
        <w:jc w:val="left"/>
        <w:tblInd w:w="-431" w:type="dxa"/>
        <w:tblLayout w:type="fixed"/>
        <w:tblCellMar>
          <w:top w:w="0" w:type="dxa"/>
          <w:left w:w="108" w:type="dxa"/>
          <w:bottom w:w="0" w:type="dxa"/>
          <w:right w:w="108" w:type="dxa"/>
        </w:tblCellMar>
      </w:tblPr>
      <w:tblGrid>
        <w:gridCol w:w="993"/>
        <w:gridCol w:w="164"/>
        <w:gridCol w:w="1050"/>
        <w:gridCol w:w="1094"/>
        <w:gridCol w:w="953"/>
        <w:gridCol w:w="708"/>
        <w:gridCol w:w="60"/>
        <w:gridCol w:w="649"/>
        <w:gridCol w:w="142"/>
        <w:gridCol w:w="930"/>
        <w:gridCol w:w="204"/>
        <w:gridCol w:w="709"/>
        <w:gridCol w:w="425"/>
        <w:gridCol w:w="383"/>
        <w:gridCol w:w="326"/>
        <w:gridCol w:w="850"/>
      </w:tblGrid>
      <w:tr>
        <w:trPr/>
        <w:tc>
          <w:tcPr>
            <w:tcW w:w="9640" w:type="dxa"/>
            <w:gridSpan w:val="16"/>
            <w:tcBorders>
              <w:top w:val="single" w:sz="4" w:space="0" w:color="000000"/>
              <w:left w:val="single" w:sz="4" w:space="0" w:color="000000"/>
              <w:right w:val="single" w:sz="4" w:space="0" w:color="000000"/>
            </w:tcBorders>
          </w:tcPr>
          <w:p>
            <w:pPr>
              <w:pStyle w:val="Normal"/>
              <w:spacing w:lineRule="auto" w:line="360"/>
              <w:jc w:val="center"/>
              <w:rPr>
                <w:b/>
                <w:b/>
                <w:sz w:val="18"/>
                <w:szCs w:val="18"/>
              </w:rPr>
            </w:pPr>
            <w:r>
              <w:rPr>
                <w:b/>
                <w:sz w:val="18"/>
                <w:szCs w:val="18"/>
              </w:rPr>
              <w:t xml:space="preserve">Conceitos de Raça                                                   </w:t>
            </w:r>
            <w:r>
              <w:rPr>
                <w:b/>
                <w:color w:val="FABF8F"/>
                <w:sz w:val="18"/>
                <w:szCs w:val="18"/>
              </w:rPr>
              <w:t xml:space="preserve"> </w:t>
            </w:r>
          </w:p>
        </w:tc>
      </w:tr>
      <w:tr>
        <w:trPr/>
        <w:tc>
          <w:tcPr>
            <w:tcW w:w="993" w:type="dxa"/>
            <w:tcBorders>
              <w:left w:val="single" w:sz="4" w:space="0" w:color="000000"/>
            </w:tcBorders>
          </w:tcPr>
          <w:p>
            <w:pPr>
              <w:pStyle w:val="Normal"/>
              <w:spacing w:lineRule="auto" w:line="360"/>
              <w:jc w:val="both"/>
              <w:rPr>
                <w:b/>
                <w:b/>
                <w:sz w:val="18"/>
                <w:szCs w:val="18"/>
              </w:rPr>
            </w:pPr>
            <w:r>
              <w:rPr>
                <w:b/>
                <w:sz w:val="18"/>
                <w:szCs w:val="18"/>
              </w:rPr>
              <w:t>Período</w:t>
            </w:r>
          </w:p>
        </w:tc>
        <w:tc>
          <w:tcPr>
            <w:tcW w:w="1214" w:type="dxa"/>
            <w:gridSpan w:val="2"/>
            <w:tcBorders/>
          </w:tcPr>
          <w:p>
            <w:pPr>
              <w:pStyle w:val="Normal"/>
              <w:spacing w:lineRule="auto" w:line="360"/>
              <w:jc w:val="both"/>
              <w:rPr>
                <w:b/>
                <w:b/>
                <w:sz w:val="18"/>
                <w:szCs w:val="18"/>
              </w:rPr>
            </w:pPr>
            <w:r>
              <w:rPr>
                <w:b/>
                <w:sz w:val="18"/>
                <w:szCs w:val="18"/>
              </w:rPr>
              <w:t>1800s</w:t>
            </w:r>
          </w:p>
        </w:tc>
        <w:tc>
          <w:tcPr>
            <w:tcW w:w="1094" w:type="dxa"/>
            <w:tcBorders/>
          </w:tcPr>
          <w:p>
            <w:pPr>
              <w:pStyle w:val="Normal"/>
              <w:spacing w:lineRule="auto" w:line="360"/>
              <w:jc w:val="both"/>
              <w:rPr>
                <w:b/>
                <w:b/>
                <w:sz w:val="18"/>
                <w:szCs w:val="18"/>
              </w:rPr>
            </w:pPr>
            <w:r>
              <w:rPr>
                <w:b/>
                <w:sz w:val="18"/>
                <w:szCs w:val="18"/>
              </w:rPr>
              <w:t>1810s</w:t>
            </w:r>
          </w:p>
        </w:tc>
        <w:tc>
          <w:tcPr>
            <w:tcW w:w="953" w:type="dxa"/>
            <w:tcBorders/>
          </w:tcPr>
          <w:p>
            <w:pPr>
              <w:pStyle w:val="Normal"/>
              <w:spacing w:lineRule="auto" w:line="360"/>
              <w:jc w:val="both"/>
              <w:rPr>
                <w:b/>
                <w:b/>
                <w:sz w:val="18"/>
                <w:szCs w:val="18"/>
              </w:rPr>
            </w:pPr>
            <w:r>
              <w:rPr>
                <w:b/>
                <w:sz w:val="18"/>
                <w:szCs w:val="18"/>
              </w:rPr>
              <w:t>1820s</w:t>
            </w:r>
          </w:p>
        </w:tc>
        <w:tc>
          <w:tcPr>
            <w:tcW w:w="708" w:type="dxa"/>
            <w:tcBorders/>
          </w:tcPr>
          <w:p>
            <w:pPr>
              <w:pStyle w:val="Normal"/>
              <w:spacing w:lineRule="auto" w:line="360"/>
              <w:jc w:val="both"/>
              <w:rPr>
                <w:b/>
                <w:b/>
                <w:sz w:val="18"/>
                <w:szCs w:val="18"/>
              </w:rPr>
            </w:pPr>
            <w:r>
              <w:rPr>
                <w:b/>
                <w:sz w:val="18"/>
                <w:szCs w:val="18"/>
              </w:rPr>
              <w:t>1830s</w:t>
            </w:r>
          </w:p>
        </w:tc>
        <w:tc>
          <w:tcPr>
            <w:tcW w:w="709" w:type="dxa"/>
            <w:gridSpan w:val="2"/>
            <w:tcBorders/>
          </w:tcPr>
          <w:p>
            <w:pPr>
              <w:pStyle w:val="Normal"/>
              <w:spacing w:lineRule="auto" w:line="360"/>
              <w:jc w:val="both"/>
              <w:rPr>
                <w:b/>
                <w:b/>
                <w:sz w:val="18"/>
                <w:szCs w:val="18"/>
              </w:rPr>
            </w:pPr>
            <w:r>
              <w:rPr>
                <w:b/>
                <w:sz w:val="18"/>
                <w:szCs w:val="18"/>
              </w:rPr>
              <w:t>1840s</w:t>
            </w:r>
          </w:p>
        </w:tc>
        <w:tc>
          <w:tcPr>
            <w:tcW w:w="1276" w:type="dxa"/>
            <w:gridSpan w:val="3"/>
            <w:tcBorders/>
          </w:tcPr>
          <w:p>
            <w:pPr>
              <w:pStyle w:val="Normal"/>
              <w:spacing w:lineRule="auto" w:line="360"/>
              <w:jc w:val="both"/>
              <w:rPr>
                <w:b/>
                <w:b/>
                <w:sz w:val="18"/>
                <w:szCs w:val="18"/>
              </w:rPr>
            </w:pPr>
            <w:r>
              <w:rPr>
                <w:b/>
                <w:sz w:val="18"/>
                <w:szCs w:val="18"/>
              </w:rPr>
              <w:t>1850s</w:t>
            </w:r>
          </w:p>
        </w:tc>
        <w:tc>
          <w:tcPr>
            <w:tcW w:w="1134" w:type="dxa"/>
            <w:gridSpan w:val="2"/>
            <w:tcBorders/>
            <w:shd w:fill="FBD4B4" w:val="clear"/>
          </w:tcPr>
          <w:p>
            <w:pPr>
              <w:pStyle w:val="Normal"/>
              <w:spacing w:lineRule="auto" w:line="360"/>
              <w:jc w:val="both"/>
              <w:rPr>
                <w:b/>
                <w:b/>
                <w:sz w:val="18"/>
                <w:szCs w:val="18"/>
              </w:rPr>
            </w:pPr>
            <w:r>
              <w:rPr>
                <w:b/>
                <w:sz w:val="18"/>
                <w:szCs w:val="18"/>
              </w:rPr>
              <w:t>1860s</w:t>
            </w:r>
          </w:p>
        </w:tc>
        <w:tc>
          <w:tcPr>
            <w:tcW w:w="709" w:type="dxa"/>
            <w:gridSpan w:val="2"/>
            <w:tcBorders/>
          </w:tcPr>
          <w:p>
            <w:pPr>
              <w:pStyle w:val="Normal"/>
              <w:spacing w:lineRule="auto" w:line="360"/>
              <w:jc w:val="both"/>
              <w:rPr>
                <w:b/>
                <w:b/>
                <w:sz w:val="18"/>
                <w:szCs w:val="18"/>
              </w:rPr>
            </w:pPr>
            <w:r>
              <w:rPr>
                <w:b/>
                <w:sz w:val="18"/>
                <w:szCs w:val="18"/>
              </w:rPr>
              <w:t>1870s</w:t>
            </w:r>
          </w:p>
        </w:tc>
        <w:tc>
          <w:tcPr>
            <w:tcW w:w="850" w:type="dxa"/>
            <w:tcBorders>
              <w:right w:val="single" w:sz="4" w:space="0" w:color="000000"/>
            </w:tcBorders>
          </w:tcPr>
          <w:p>
            <w:pPr>
              <w:pStyle w:val="Normal"/>
              <w:spacing w:lineRule="auto" w:line="360"/>
              <w:jc w:val="both"/>
              <w:rPr>
                <w:b/>
                <w:b/>
                <w:sz w:val="18"/>
                <w:szCs w:val="18"/>
              </w:rPr>
            </w:pPr>
            <w:r>
              <w:rPr>
                <w:b/>
                <w:sz w:val="18"/>
                <w:szCs w:val="18"/>
              </w:rPr>
              <w:t>1880s</w:t>
            </w:r>
          </w:p>
        </w:tc>
      </w:tr>
      <w:tr>
        <w:trPr/>
        <w:tc>
          <w:tcPr>
            <w:tcW w:w="993" w:type="dxa"/>
            <w:tcBorders>
              <w:left w:val="single" w:sz="4" w:space="0" w:color="000000"/>
            </w:tcBorders>
          </w:tcPr>
          <w:p>
            <w:pPr>
              <w:pStyle w:val="Normal"/>
              <w:spacing w:lineRule="auto" w:line="360"/>
              <w:jc w:val="both"/>
              <w:rPr>
                <w:b/>
                <w:b/>
                <w:sz w:val="18"/>
                <w:szCs w:val="18"/>
              </w:rPr>
            </w:pPr>
            <w:r>
              <w:rPr>
                <w:b/>
                <w:sz w:val="18"/>
                <w:szCs w:val="18"/>
              </w:rPr>
              <w:t>Fonte</w:t>
            </w:r>
          </w:p>
        </w:tc>
        <w:tc>
          <w:tcPr>
            <w:tcW w:w="1214" w:type="dxa"/>
            <w:gridSpan w:val="2"/>
            <w:tcBorders/>
          </w:tcPr>
          <w:p>
            <w:pPr>
              <w:pStyle w:val="Normal"/>
              <w:spacing w:lineRule="auto" w:line="360"/>
              <w:jc w:val="center"/>
              <w:rPr>
                <w:sz w:val="18"/>
                <w:szCs w:val="18"/>
              </w:rPr>
            </w:pPr>
            <w:r>
              <w:rPr>
                <w:sz w:val="18"/>
                <w:szCs w:val="18"/>
              </w:rPr>
              <w:t>Ciências</w:t>
            </w:r>
          </w:p>
          <w:p>
            <w:pPr>
              <w:pStyle w:val="Normal"/>
              <w:spacing w:lineRule="auto" w:line="360"/>
              <w:jc w:val="center"/>
              <w:rPr>
                <w:sz w:val="18"/>
                <w:szCs w:val="18"/>
              </w:rPr>
            </w:pPr>
            <w:r>
              <w:rPr>
                <w:sz w:val="18"/>
                <w:szCs w:val="18"/>
              </w:rPr>
              <w:t>biológicas</w:t>
            </w:r>
          </w:p>
          <w:p>
            <w:pPr>
              <w:pStyle w:val="Normal"/>
              <w:spacing w:lineRule="auto" w:line="360"/>
              <w:jc w:val="center"/>
              <w:rPr>
                <w:sz w:val="18"/>
                <w:szCs w:val="18"/>
              </w:rPr>
            </w:pPr>
            <w:r>
              <w:rPr>
                <w:sz w:val="18"/>
                <w:szCs w:val="18"/>
              </w:rPr>
              <w:t>(dimensão científica)</w:t>
            </w:r>
          </w:p>
        </w:tc>
        <w:tc>
          <w:tcPr>
            <w:tcW w:w="1094" w:type="dxa"/>
            <w:tcBorders/>
          </w:tcPr>
          <w:p>
            <w:pPr>
              <w:pStyle w:val="Normal"/>
              <w:spacing w:lineRule="auto" w:line="360"/>
              <w:jc w:val="both"/>
              <w:rPr>
                <w:sz w:val="18"/>
                <w:szCs w:val="18"/>
              </w:rPr>
            </w:pPr>
            <w:r>
              <w:rPr>
                <w:sz w:val="18"/>
                <w:szCs w:val="18"/>
              </w:rPr>
              <w:t>Literatura</w:t>
            </w:r>
          </w:p>
          <w:p>
            <w:pPr>
              <w:pStyle w:val="Normal"/>
              <w:spacing w:lineRule="auto" w:line="360"/>
              <w:jc w:val="both"/>
              <w:rPr>
                <w:sz w:val="18"/>
                <w:szCs w:val="18"/>
              </w:rPr>
            </w:pPr>
            <w:r>
              <w:rPr>
                <w:sz w:val="18"/>
                <w:szCs w:val="18"/>
              </w:rPr>
              <w:t>(Dimensão artística)</w:t>
            </w:r>
          </w:p>
        </w:tc>
        <w:tc>
          <w:tcPr>
            <w:tcW w:w="953" w:type="dxa"/>
            <w:tcBorders/>
          </w:tcPr>
          <w:p>
            <w:pPr>
              <w:pStyle w:val="Normal"/>
              <w:spacing w:lineRule="auto" w:line="360"/>
              <w:jc w:val="both"/>
              <w:rPr>
                <w:sz w:val="18"/>
                <w:szCs w:val="18"/>
              </w:rPr>
            </w:pPr>
            <w:r>
              <w:rPr>
                <w:sz w:val="18"/>
                <w:szCs w:val="18"/>
              </w:rPr>
              <w:t>Idem</w:t>
            </w:r>
          </w:p>
        </w:tc>
        <w:tc>
          <w:tcPr>
            <w:tcW w:w="708" w:type="dxa"/>
            <w:tcBorders/>
          </w:tcPr>
          <w:p>
            <w:pPr>
              <w:pStyle w:val="Normal"/>
              <w:spacing w:lineRule="auto" w:line="360"/>
              <w:jc w:val="both"/>
              <w:rPr>
                <w:sz w:val="18"/>
                <w:szCs w:val="18"/>
              </w:rPr>
            </w:pPr>
            <w:r>
              <w:rPr>
                <w:sz w:val="18"/>
                <w:szCs w:val="18"/>
              </w:rPr>
              <w:t>Idem</w:t>
            </w:r>
          </w:p>
        </w:tc>
        <w:tc>
          <w:tcPr>
            <w:tcW w:w="709" w:type="dxa"/>
            <w:gridSpan w:val="2"/>
            <w:tcBorders/>
          </w:tcPr>
          <w:p>
            <w:pPr>
              <w:pStyle w:val="Normal"/>
              <w:spacing w:lineRule="auto" w:line="360"/>
              <w:jc w:val="both"/>
              <w:rPr>
                <w:sz w:val="18"/>
                <w:szCs w:val="18"/>
              </w:rPr>
            </w:pPr>
            <w:r>
              <w:rPr>
                <w:sz w:val="18"/>
                <w:szCs w:val="18"/>
              </w:rPr>
              <w:t>Idem</w:t>
            </w:r>
          </w:p>
        </w:tc>
        <w:tc>
          <w:tcPr>
            <w:tcW w:w="1276" w:type="dxa"/>
            <w:gridSpan w:val="3"/>
            <w:tcBorders/>
          </w:tcPr>
          <w:p>
            <w:pPr>
              <w:pStyle w:val="Normal"/>
              <w:spacing w:lineRule="auto" w:line="360"/>
              <w:jc w:val="both"/>
              <w:rPr>
                <w:sz w:val="18"/>
                <w:szCs w:val="18"/>
              </w:rPr>
            </w:pPr>
            <w:r>
              <w:rPr>
                <w:sz w:val="18"/>
                <w:szCs w:val="18"/>
              </w:rPr>
              <w:t>Ciências Socias</w:t>
            </w:r>
          </w:p>
          <w:p>
            <w:pPr>
              <w:pStyle w:val="Normal"/>
              <w:spacing w:lineRule="auto" w:line="360"/>
              <w:jc w:val="both"/>
              <w:rPr>
                <w:sz w:val="18"/>
                <w:szCs w:val="18"/>
              </w:rPr>
            </w:pPr>
            <w:r>
              <w:rPr>
                <w:sz w:val="18"/>
                <w:szCs w:val="18"/>
              </w:rPr>
              <w:t>(Dimensão social)</w:t>
            </w:r>
          </w:p>
        </w:tc>
        <w:tc>
          <w:tcPr>
            <w:tcW w:w="1134" w:type="dxa"/>
            <w:gridSpan w:val="2"/>
            <w:tcBorders/>
            <w:shd w:fill="FBD4B4" w:val="clear"/>
          </w:tcPr>
          <w:p>
            <w:pPr>
              <w:pStyle w:val="Normal"/>
              <w:spacing w:lineRule="auto" w:line="360"/>
              <w:jc w:val="both"/>
              <w:rPr>
                <w:sz w:val="18"/>
                <w:szCs w:val="18"/>
              </w:rPr>
            </w:pPr>
            <w:r>
              <w:rPr>
                <w:sz w:val="18"/>
                <w:szCs w:val="18"/>
              </w:rPr>
              <w:t>Ciências Socias</w:t>
            </w:r>
          </w:p>
          <w:p>
            <w:pPr>
              <w:pStyle w:val="Normal"/>
              <w:spacing w:lineRule="auto" w:line="360"/>
              <w:jc w:val="both"/>
              <w:rPr>
                <w:sz w:val="18"/>
                <w:szCs w:val="18"/>
              </w:rPr>
            </w:pPr>
            <w:r>
              <w:rPr>
                <w:sz w:val="18"/>
                <w:szCs w:val="18"/>
              </w:rPr>
              <w:t>(Dimensão social)</w:t>
            </w:r>
          </w:p>
        </w:tc>
        <w:tc>
          <w:tcPr>
            <w:tcW w:w="709" w:type="dxa"/>
            <w:gridSpan w:val="2"/>
            <w:tcBorders/>
          </w:tcPr>
          <w:p>
            <w:pPr>
              <w:pStyle w:val="Normal"/>
              <w:spacing w:lineRule="auto" w:line="360"/>
              <w:jc w:val="both"/>
              <w:rPr>
                <w:sz w:val="18"/>
                <w:szCs w:val="18"/>
              </w:rPr>
            </w:pPr>
            <w:r>
              <w:rPr>
                <w:sz w:val="18"/>
                <w:szCs w:val="18"/>
              </w:rPr>
              <w:t>Idem</w:t>
            </w:r>
          </w:p>
        </w:tc>
        <w:tc>
          <w:tcPr>
            <w:tcW w:w="850" w:type="dxa"/>
            <w:tcBorders>
              <w:right w:val="single" w:sz="4" w:space="0" w:color="000000"/>
            </w:tcBorders>
          </w:tcPr>
          <w:p>
            <w:pPr>
              <w:pStyle w:val="Normal"/>
              <w:spacing w:lineRule="auto" w:line="360"/>
              <w:jc w:val="both"/>
              <w:rPr>
                <w:sz w:val="18"/>
                <w:szCs w:val="18"/>
              </w:rPr>
            </w:pPr>
            <w:r>
              <w:rPr>
                <w:sz w:val="18"/>
                <w:szCs w:val="18"/>
              </w:rPr>
              <w:t>Idem</w:t>
            </w:r>
          </w:p>
        </w:tc>
      </w:tr>
      <w:tr>
        <w:trPr/>
        <w:tc>
          <w:tcPr>
            <w:tcW w:w="9640" w:type="dxa"/>
            <w:gridSpan w:val="16"/>
            <w:tcBorders>
              <w:left w:val="single" w:sz="4" w:space="0" w:color="000000"/>
              <w:right w:val="single" w:sz="4" w:space="0" w:color="000000"/>
            </w:tcBorders>
          </w:tcPr>
          <w:p>
            <w:pPr>
              <w:pStyle w:val="Normal"/>
              <w:spacing w:lineRule="auto" w:line="360"/>
              <w:jc w:val="center"/>
              <w:rPr>
                <w:b/>
                <w:b/>
                <w:sz w:val="18"/>
                <w:szCs w:val="18"/>
              </w:rPr>
            </w:pPr>
            <w:r>
              <w:rPr>
                <w:b/>
                <w:sz w:val="18"/>
                <w:szCs w:val="18"/>
              </w:rPr>
              <w:t>Conceitos de Nação</w:t>
            </w:r>
          </w:p>
        </w:tc>
      </w:tr>
      <w:tr>
        <w:trPr/>
        <w:tc>
          <w:tcPr>
            <w:tcW w:w="1157" w:type="dxa"/>
            <w:gridSpan w:val="2"/>
            <w:tcBorders>
              <w:left w:val="single" w:sz="4" w:space="0" w:color="000000"/>
            </w:tcBorders>
          </w:tcPr>
          <w:p>
            <w:pPr>
              <w:pStyle w:val="Normal"/>
              <w:spacing w:lineRule="auto" w:line="360"/>
              <w:jc w:val="both"/>
              <w:rPr>
                <w:b/>
                <w:b/>
                <w:sz w:val="18"/>
                <w:szCs w:val="18"/>
              </w:rPr>
            </w:pPr>
            <w:r>
              <w:rPr>
                <w:b/>
                <w:sz w:val="18"/>
                <w:szCs w:val="18"/>
              </w:rPr>
              <w:t>Período</w:t>
            </w:r>
          </w:p>
        </w:tc>
        <w:tc>
          <w:tcPr>
            <w:tcW w:w="1050" w:type="dxa"/>
            <w:tcBorders/>
          </w:tcPr>
          <w:p>
            <w:pPr>
              <w:pStyle w:val="Normal"/>
              <w:spacing w:lineRule="auto" w:line="360"/>
              <w:jc w:val="both"/>
              <w:rPr>
                <w:b/>
                <w:b/>
                <w:sz w:val="18"/>
                <w:szCs w:val="18"/>
              </w:rPr>
            </w:pPr>
            <w:r>
              <w:rPr>
                <w:b/>
                <w:sz w:val="18"/>
                <w:szCs w:val="18"/>
              </w:rPr>
              <w:t>1800s</w:t>
            </w:r>
          </w:p>
        </w:tc>
        <w:tc>
          <w:tcPr>
            <w:tcW w:w="1094" w:type="dxa"/>
            <w:tcBorders/>
          </w:tcPr>
          <w:p>
            <w:pPr>
              <w:pStyle w:val="Normal"/>
              <w:spacing w:lineRule="auto" w:line="360"/>
              <w:jc w:val="both"/>
              <w:rPr>
                <w:b/>
                <w:b/>
                <w:sz w:val="18"/>
                <w:szCs w:val="18"/>
              </w:rPr>
            </w:pPr>
            <w:r>
              <w:rPr>
                <w:b/>
                <w:sz w:val="18"/>
                <w:szCs w:val="18"/>
              </w:rPr>
              <w:t>1810s</w:t>
            </w:r>
          </w:p>
        </w:tc>
        <w:tc>
          <w:tcPr>
            <w:tcW w:w="953" w:type="dxa"/>
            <w:tcBorders/>
          </w:tcPr>
          <w:p>
            <w:pPr>
              <w:pStyle w:val="Normal"/>
              <w:spacing w:lineRule="auto" w:line="360"/>
              <w:jc w:val="both"/>
              <w:rPr>
                <w:b/>
                <w:b/>
                <w:sz w:val="18"/>
                <w:szCs w:val="18"/>
              </w:rPr>
            </w:pPr>
            <w:r>
              <w:rPr>
                <w:b/>
                <w:sz w:val="18"/>
                <w:szCs w:val="18"/>
              </w:rPr>
              <w:t>1820s</w:t>
            </w:r>
          </w:p>
        </w:tc>
        <w:tc>
          <w:tcPr>
            <w:tcW w:w="768" w:type="dxa"/>
            <w:gridSpan w:val="2"/>
            <w:tcBorders/>
          </w:tcPr>
          <w:p>
            <w:pPr>
              <w:pStyle w:val="Normal"/>
              <w:spacing w:lineRule="auto" w:line="360"/>
              <w:jc w:val="both"/>
              <w:rPr>
                <w:b/>
                <w:b/>
                <w:sz w:val="18"/>
                <w:szCs w:val="18"/>
              </w:rPr>
            </w:pPr>
            <w:r>
              <w:rPr>
                <w:b/>
                <w:sz w:val="18"/>
                <w:szCs w:val="18"/>
              </w:rPr>
              <w:t>1830s</w:t>
            </w:r>
          </w:p>
        </w:tc>
        <w:tc>
          <w:tcPr>
            <w:tcW w:w="791" w:type="dxa"/>
            <w:gridSpan w:val="2"/>
            <w:tcBorders/>
          </w:tcPr>
          <w:p>
            <w:pPr>
              <w:pStyle w:val="Normal"/>
              <w:spacing w:lineRule="auto" w:line="360"/>
              <w:jc w:val="both"/>
              <w:rPr>
                <w:b/>
                <w:b/>
                <w:sz w:val="18"/>
                <w:szCs w:val="18"/>
              </w:rPr>
            </w:pPr>
            <w:r>
              <w:rPr>
                <w:b/>
                <w:sz w:val="18"/>
                <w:szCs w:val="18"/>
              </w:rPr>
              <w:t>1840s</w:t>
            </w:r>
          </w:p>
        </w:tc>
        <w:tc>
          <w:tcPr>
            <w:tcW w:w="930" w:type="dxa"/>
            <w:tcBorders/>
          </w:tcPr>
          <w:p>
            <w:pPr>
              <w:pStyle w:val="Normal"/>
              <w:spacing w:lineRule="auto" w:line="360"/>
              <w:jc w:val="both"/>
              <w:rPr>
                <w:b/>
                <w:b/>
                <w:sz w:val="18"/>
                <w:szCs w:val="18"/>
              </w:rPr>
            </w:pPr>
            <w:r>
              <w:rPr>
                <w:b/>
                <w:sz w:val="18"/>
                <w:szCs w:val="18"/>
              </w:rPr>
              <w:t>1850s</w:t>
            </w:r>
          </w:p>
        </w:tc>
        <w:tc>
          <w:tcPr>
            <w:tcW w:w="913" w:type="dxa"/>
            <w:gridSpan w:val="2"/>
            <w:tcBorders/>
            <w:shd w:fill="FBD4B4" w:val="clear"/>
          </w:tcPr>
          <w:p>
            <w:pPr>
              <w:pStyle w:val="Normal"/>
              <w:spacing w:lineRule="auto" w:line="360"/>
              <w:jc w:val="both"/>
              <w:rPr>
                <w:b/>
                <w:b/>
                <w:sz w:val="18"/>
                <w:szCs w:val="18"/>
              </w:rPr>
            </w:pPr>
            <w:r>
              <w:rPr>
                <w:b/>
                <w:sz w:val="18"/>
                <w:szCs w:val="18"/>
              </w:rPr>
              <w:t>1860s</w:t>
            </w:r>
          </w:p>
        </w:tc>
        <w:tc>
          <w:tcPr>
            <w:tcW w:w="808" w:type="dxa"/>
            <w:gridSpan w:val="2"/>
            <w:tcBorders/>
          </w:tcPr>
          <w:p>
            <w:pPr>
              <w:pStyle w:val="Normal"/>
              <w:spacing w:lineRule="auto" w:line="360"/>
              <w:jc w:val="both"/>
              <w:rPr>
                <w:b/>
                <w:b/>
                <w:sz w:val="18"/>
                <w:szCs w:val="18"/>
              </w:rPr>
            </w:pPr>
            <w:r>
              <w:rPr>
                <w:b/>
                <w:sz w:val="18"/>
                <w:szCs w:val="18"/>
              </w:rPr>
              <w:t>1870s</w:t>
            </w:r>
          </w:p>
        </w:tc>
        <w:tc>
          <w:tcPr>
            <w:tcW w:w="1176" w:type="dxa"/>
            <w:gridSpan w:val="2"/>
            <w:tcBorders>
              <w:right w:val="single" w:sz="4" w:space="0" w:color="000000"/>
            </w:tcBorders>
          </w:tcPr>
          <w:p>
            <w:pPr>
              <w:pStyle w:val="Normal"/>
              <w:spacing w:lineRule="auto" w:line="360"/>
              <w:jc w:val="both"/>
              <w:rPr>
                <w:b/>
                <w:b/>
                <w:sz w:val="18"/>
                <w:szCs w:val="18"/>
              </w:rPr>
            </w:pPr>
            <w:r>
              <w:rPr>
                <w:b/>
                <w:sz w:val="18"/>
                <w:szCs w:val="18"/>
              </w:rPr>
              <w:t>1880s</w:t>
            </w:r>
          </w:p>
        </w:tc>
      </w:tr>
      <w:tr>
        <w:trPr/>
        <w:tc>
          <w:tcPr>
            <w:tcW w:w="1157" w:type="dxa"/>
            <w:gridSpan w:val="2"/>
            <w:tcBorders>
              <w:left w:val="single" w:sz="4" w:space="0" w:color="000000"/>
            </w:tcBorders>
          </w:tcPr>
          <w:p>
            <w:pPr>
              <w:pStyle w:val="Normal"/>
              <w:spacing w:lineRule="auto" w:line="360"/>
              <w:jc w:val="both"/>
              <w:rPr>
                <w:b/>
                <w:b/>
                <w:sz w:val="18"/>
                <w:szCs w:val="18"/>
              </w:rPr>
            </w:pPr>
            <w:r>
              <w:rPr>
                <w:b/>
                <w:sz w:val="18"/>
                <w:szCs w:val="18"/>
              </w:rPr>
              <w:t>Fonte</w:t>
            </w:r>
          </w:p>
        </w:tc>
        <w:tc>
          <w:tcPr>
            <w:tcW w:w="1050" w:type="dxa"/>
            <w:tcBorders/>
          </w:tcPr>
          <w:p>
            <w:pPr>
              <w:pStyle w:val="Normal"/>
              <w:spacing w:lineRule="auto" w:line="360"/>
              <w:jc w:val="both"/>
              <w:rPr>
                <w:sz w:val="18"/>
                <w:szCs w:val="18"/>
              </w:rPr>
            </w:pPr>
            <w:r>
              <w:rPr>
                <w:sz w:val="18"/>
                <w:szCs w:val="18"/>
              </w:rPr>
              <w:t>Ciências</w:t>
            </w:r>
          </w:p>
          <w:p>
            <w:pPr>
              <w:pStyle w:val="Normal"/>
              <w:spacing w:lineRule="auto" w:line="360"/>
              <w:jc w:val="both"/>
              <w:rPr>
                <w:sz w:val="18"/>
                <w:szCs w:val="18"/>
              </w:rPr>
            </w:pPr>
            <w:r>
              <w:rPr>
                <w:sz w:val="18"/>
                <w:szCs w:val="18"/>
              </w:rPr>
              <w:t>biológicas</w:t>
            </w:r>
          </w:p>
          <w:p>
            <w:pPr>
              <w:pStyle w:val="Normal"/>
              <w:spacing w:lineRule="auto" w:line="360"/>
              <w:jc w:val="both"/>
              <w:rPr>
                <w:sz w:val="18"/>
                <w:szCs w:val="18"/>
              </w:rPr>
            </w:pPr>
            <w:r>
              <w:rPr>
                <w:sz w:val="18"/>
                <w:szCs w:val="18"/>
              </w:rPr>
              <w:t>(dimensão científica)</w:t>
            </w:r>
          </w:p>
        </w:tc>
        <w:tc>
          <w:tcPr>
            <w:tcW w:w="1094" w:type="dxa"/>
            <w:tcBorders/>
          </w:tcPr>
          <w:p>
            <w:pPr>
              <w:pStyle w:val="Normal"/>
              <w:spacing w:lineRule="auto" w:line="360"/>
              <w:jc w:val="both"/>
              <w:rPr>
                <w:sz w:val="18"/>
                <w:szCs w:val="18"/>
              </w:rPr>
            </w:pPr>
            <w:r>
              <w:rPr>
                <w:sz w:val="18"/>
                <w:szCs w:val="18"/>
              </w:rPr>
              <w:t>Literatura</w:t>
            </w:r>
          </w:p>
          <w:p>
            <w:pPr>
              <w:pStyle w:val="Normal"/>
              <w:spacing w:lineRule="auto" w:line="360"/>
              <w:jc w:val="both"/>
              <w:rPr>
                <w:sz w:val="18"/>
                <w:szCs w:val="18"/>
              </w:rPr>
            </w:pPr>
            <w:r>
              <w:rPr>
                <w:sz w:val="18"/>
                <w:szCs w:val="18"/>
              </w:rPr>
              <w:t>(Dimensão artística)</w:t>
            </w:r>
          </w:p>
        </w:tc>
        <w:tc>
          <w:tcPr>
            <w:tcW w:w="953" w:type="dxa"/>
            <w:tcBorders/>
          </w:tcPr>
          <w:p>
            <w:pPr>
              <w:pStyle w:val="Normal"/>
              <w:spacing w:lineRule="auto" w:line="360"/>
              <w:jc w:val="both"/>
              <w:rPr>
                <w:sz w:val="18"/>
                <w:szCs w:val="18"/>
              </w:rPr>
            </w:pPr>
            <w:r>
              <w:rPr>
                <w:sz w:val="18"/>
                <w:szCs w:val="18"/>
              </w:rPr>
              <w:t>Religião</w:t>
            </w:r>
          </w:p>
          <w:p>
            <w:pPr>
              <w:pStyle w:val="Normal"/>
              <w:spacing w:lineRule="auto" w:line="360"/>
              <w:jc w:val="both"/>
              <w:rPr>
                <w:sz w:val="18"/>
                <w:szCs w:val="18"/>
              </w:rPr>
            </w:pPr>
            <w:r>
              <w:rPr>
                <w:sz w:val="18"/>
                <w:szCs w:val="18"/>
              </w:rPr>
              <w:t>(Dimensão teológica)</w:t>
            </w:r>
          </w:p>
        </w:tc>
        <w:tc>
          <w:tcPr>
            <w:tcW w:w="768" w:type="dxa"/>
            <w:gridSpan w:val="2"/>
            <w:tcBorders/>
          </w:tcPr>
          <w:p>
            <w:pPr>
              <w:pStyle w:val="Normal"/>
              <w:spacing w:lineRule="auto" w:line="360"/>
              <w:jc w:val="both"/>
              <w:rPr>
                <w:sz w:val="18"/>
                <w:szCs w:val="18"/>
              </w:rPr>
            </w:pPr>
            <w:r>
              <w:rPr>
                <w:sz w:val="18"/>
                <w:szCs w:val="18"/>
              </w:rPr>
              <w:t>Idem</w:t>
            </w:r>
          </w:p>
        </w:tc>
        <w:tc>
          <w:tcPr>
            <w:tcW w:w="791" w:type="dxa"/>
            <w:gridSpan w:val="2"/>
            <w:tcBorders/>
          </w:tcPr>
          <w:p>
            <w:pPr>
              <w:pStyle w:val="Normal"/>
              <w:spacing w:lineRule="auto" w:line="360"/>
              <w:jc w:val="both"/>
              <w:rPr>
                <w:sz w:val="18"/>
                <w:szCs w:val="18"/>
              </w:rPr>
            </w:pPr>
            <w:r>
              <w:rPr>
                <w:sz w:val="18"/>
                <w:szCs w:val="18"/>
              </w:rPr>
              <w:t>Idem</w:t>
            </w:r>
          </w:p>
        </w:tc>
        <w:tc>
          <w:tcPr>
            <w:tcW w:w="930" w:type="dxa"/>
            <w:tcBorders/>
          </w:tcPr>
          <w:p>
            <w:pPr>
              <w:pStyle w:val="Normal"/>
              <w:spacing w:lineRule="auto" w:line="360"/>
              <w:jc w:val="both"/>
              <w:rPr>
                <w:sz w:val="18"/>
                <w:szCs w:val="18"/>
              </w:rPr>
            </w:pPr>
            <w:r>
              <w:rPr>
                <w:sz w:val="18"/>
                <w:szCs w:val="18"/>
              </w:rPr>
              <w:t>Ciências Socias</w:t>
            </w:r>
          </w:p>
          <w:p>
            <w:pPr>
              <w:pStyle w:val="Normal"/>
              <w:spacing w:lineRule="auto" w:line="360"/>
              <w:jc w:val="both"/>
              <w:rPr>
                <w:sz w:val="18"/>
                <w:szCs w:val="18"/>
              </w:rPr>
            </w:pPr>
            <w:r>
              <w:rPr>
                <w:sz w:val="18"/>
                <w:szCs w:val="18"/>
              </w:rPr>
              <w:t>(Dimensão social)</w:t>
            </w:r>
          </w:p>
        </w:tc>
        <w:tc>
          <w:tcPr>
            <w:tcW w:w="913" w:type="dxa"/>
            <w:gridSpan w:val="2"/>
            <w:tcBorders/>
            <w:shd w:fill="FBD4B4" w:val="clear"/>
          </w:tcPr>
          <w:p>
            <w:pPr>
              <w:pStyle w:val="Normal"/>
              <w:spacing w:lineRule="auto" w:line="360"/>
              <w:jc w:val="both"/>
              <w:rPr>
                <w:sz w:val="18"/>
                <w:szCs w:val="18"/>
              </w:rPr>
            </w:pPr>
            <w:r>
              <w:rPr>
                <w:sz w:val="18"/>
                <w:szCs w:val="18"/>
              </w:rPr>
              <w:t>Literatura</w:t>
            </w:r>
          </w:p>
          <w:p>
            <w:pPr>
              <w:pStyle w:val="Normal"/>
              <w:spacing w:lineRule="auto" w:line="360"/>
              <w:jc w:val="both"/>
              <w:rPr>
                <w:sz w:val="18"/>
                <w:szCs w:val="18"/>
              </w:rPr>
            </w:pPr>
            <w:r>
              <w:rPr>
                <w:sz w:val="18"/>
                <w:szCs w:val="18"/>
              </w:rPr>
              <w:t>(Dimensão artística)</w:t>
            </w:r>
          </w:p>
        </w:tc>
        <w:tc>
          <w:tcPr>
            <w:tcW w:w="808" w:type="dxa"/>
            <w:gridSpan w:val="2"/>
            <w:tcBorders/>
          </w:tcPr>
          <w:p>
            <w:pPr>
              <w:pStyle w:val="Normal"/>
              <w:spacing w:lineRule="auto" w:line="360"/>
              <w:jc w:val="both"/>
              <w:rPr>
                <w:sz w:val="18"/>
                <w:szCs w:val="18"/>
              </w:rPr>
            </w:pPr>
            <w:r>
              <w:rPr>
                <w:sz w:val="18"/>
                <w:szCs w:val="18"/>
              </w:rPr>
              <w:t>Idem</w:t>
            </w:r>
          </w:p>
        </w:tc>
        <w:tc>
          <w:tcPr>
            <w:tcW w:w="1176" w:type="dxa"/>
            <w:gridSpan w:val="2"/>
            <w:tcBorders>
              <w:right w:val="single" w:sz="4" w:space="0" w:color="000000"/>
            </w:tcBorders>
          </w:tcPr>
          <w:p>
            <w:pPr>
              <w:pStyle w:val="Normal"/>
              <w:spacing w:lineRule="auto" w:line="360"/>
              <w:jc w:val="both"/>
              <w:rPr>
                <w:sz w:val="18"/>
                <w:szCs w:val="18"/>
              </w:rPr>
            </w:pPr>
            <w:r>
              <w:rPr>
                <w:sz w:val="18"/>
                <w:szCs w:val="18"/>
              </w:rPr>
              <w:t>Idem</w:t>
            </w:r>
          </w:p>
        </w:tc>
      </w:tr>
      <w:tr>
        <w:trPr/>
        <w:tc>
          <w:tcPr>
            <w:tcW w:w="9640" w:type="dxa"/>
            <w:gridSpan w:val="16"/>
            <w:tcBorders>
              <w:left w:val="single" w:sz="4" w:space="0" w:color="000000"/>
              <w:right w:val="single" w:sz="4" w:space="0" w:color="000000"/>
            </w:tcBorders>
          </w:tcPr>
          <w:p>
            <w:pPr>
              <w:pStyle w:val="Normal"/>
              <w:spacing w:lineRule="auto" w:line="360"/>
              <w:jc w:val="center"/>
              <w:rPr>
                <w:b/>
                <w:b/>
                <w:sz w:val="18"/>
                <w:szCs w:val="18"/>
              </w:rPr>
            </w:pPr>
            <w:r>
              <w:rPr>
                <w:b/>
                <w:sz w:val="18"/>
                <w:szCs w:val="18"/>
              </w:rPr>
              <w:t>Conceitos de Espécie</w:t>
            </w:r>
          </w:p>
        </w:tc>
      </w:tr>
      <w:tr>
        <w:trPr/>
        <w:tc>
          <w:tcPr>
            <w:tcW w:w="1157" w:type="dxa"/>
            <w:gridSpan w:val="2"/>
            <w:tcBorders>
              <w:left w:val="single" w:sz="4" w:space="0" w:color="000000"/>
            </w:tcBorders>
          </w:tcPr>
          <w:p>
            <w:pPr>
              <w:pStyle w:val="Normal"/>
              <w:spacing w:lineRule="auto" w:line="360"/>
              <w:jc w:val="both"/>
              <w:rPr>
                <w:b/>
                <w:b/>
                <w:sz w:val="18"/>
                <w:szCs w:val="18"/>
              </w:rPr>
            </w:pPr>
            <w:r>
              <w:rPr>
                <w:b/>
                <w:sz w:val="18"/>
                <w:szCs w:val="18"/>
              </w:rPr>
              <w:t>Período</w:t>
            </w:r>
          </w:p>
        </w:tc>
        <w:tc>
          <w:tcPr>
            <w:tcW w:w="1050" w:type="dxa"/>
            <w:tcBorders/>
          </w:tcPr>
          <w:p>
            <w:pPr>
              <w:pStyle w:val="Normal"/>
              <w:spacing w:lineRule="auto" w:line="360"/>
              <w:jc w:val="both"/>
              <w:rPr>
                <w:b/>
                <w:b/>
                <w:sz w:val="18"/>
                <w:szCs w:val="18"/>
              </w:rPr>
            </w:pPr>
            <w:r>
              <w:rPr>
                <w:b/>
                <w:sz w:val="18"/>
                <w:szCs w:val="18"/>
              </w:rPr>
              <w:t>1800s</w:t>
            </w:r>
          </w:p>
        </w:tc>
        <w:tc>
          <w:tcPr>
            <w:tcW w:w="1094" w:type="dxa"/>
            <w:tcBorders/>
          </w:tcPr>
          <w:p>
            <w:pPr>
              <w:pStyle w:val="Normal"/>
              <w:spacing w:lineRule="auto" w:line="360"/>
              <w:jc w:val="both"/>
              <w:rPr>
                <w:b/>
                <w:b/>
                <w:sz w:val="18"/>
                <w:szCs w:val="18"/>
              </w:rPr>
            </w:pPr>
            <w:r>
              <w:rPr>
                <w:b/>
                <w:sz w:val="18"/>
                <w:szCs w:val="18"/>
              </w:rPr>
              <w:t>1810s</w:t>
            </w:r>
          </w:p>
        </w:tc>
        <w:tc>
          <w:tcPr>
            <w:tcW w:w="953" w:type="dxa"/>
            <w:tcBorders/>
          </w:tcPr>
          <w:p>
            <w:pPr>
              <w:pStyle w:val="Normal"/>
              <w:spacing w:lineRule="auto" w:line="360"/>
              <w:jc w:val="both"/>
              <w:rPr>
                <w:b/>
                <w:b/>
                <w:sz w:val="18"/>
                <w:szCs w:val="18"/>
              </w:rPr>
            </w:pPr>
            <w:r>
              <w:rPr>
                <w:b/>
                <w:sz w:val="18"/>
                <w:szCs w:val="18"/>
              </w:rPr>
              <w:t>1820s</w:t>
            </w:r>
          </w:p>
        </w:tc>
        <w:tc>
          <w:tcPr>
            <w:tcW w:w="768" w:type="dxa"/>
            <w:gridSpan w:val="2"/>
            <w:tcBorders/>
          </w:tcPr>
          <w:p>
            <w:pPr>
              <w:pStyle w:val="Normal"/>
              <w:spacing w:lineRule="auto" w:line="360"/>
              <w:jc w:val="both"/>
              <w:rPr>
                <w:b/>
                <w:b/>
                <w:sz w:val="18"/>
                <w:szCs w:val="18"/>
              </w:rPr>
            </w:pPr>
            <w:r>
              <w:rPr>
                <w:b/>
                <w:sz w:val="18"/>
                <w:szCs w:val="18"/>
              </w:rPr>
              <w:t>1830s</w:t>
            </w:r>
          </w:p>
        </w:tc>
        <w:tc>
          <w:tcPr>
            <w:tcW w:w="791" w:type="dxa"/>
            <w:gridSpan w:val="2"/>
            <w:tcBorders/>
          </w:tcPr>
          <w:p>
            <w:pPr>
              <w:pStyle w:val="Normal"/>
              <w:spacing w:lineRule="auto" w:line="360"/>
              <w:jc w:val="both"/>
              <w:rPr>
                <w:b/>
                <w:b/>
                <w:sz w:val="18"/>
                <w:szCs w:val="18"/>
              </w:rPr>
            </w:pPr>
            <w:r>
              <w:rPr>
                <w:b/>
                <w:sz w:val="18"/>
                <w:szCs w:val="18"/>
              </w:rPr>
              <w:t>1840s</w:t>
            </w:r>
          </w:p>
        </w:tc>
        <w:tc>
          <w:tcPr>
            <w:tcW w:w="930" w:type="dxa"/>
            <w:tcBorders/>
          </w:tcPr>
          <w:p>
            <w:pPr>
              <w:pStyle w:val="Normal"/>
              <w:spacing w:lineRule="auto" w:line="360"/>
              <w:jc w:val="both"/>
              <w:rPr>
                <w:b/>
                <w:b/>
                <w:sz w:val="18"/>
                <w:szCs w:val="18"/>
              </w:rPr>
            </w:pPr>
            <w:r>
              <w:rPr>
                <w:b/>
                <w:sz w:val="18"/>
                <w:szCs w:val="18"/>
              </w:rPr>
              <w:t>1850s</w:t>
            </w:r>
          </w:p>
        </w:tc>
        <w:tc>
          <w:tcPr>
            <w:tcW w:w="913" w:type="dxa"/>
            <w:gridSpan w:val="2"/>
            <w:tcBorders/>
            <w:shd w:fill="FBD4B4" w:val="clear"/>
          </w:tcPr>
          <w:p>
            <w:pPr>
              <w:pStyle w:val="Normal"/>
              <w:spacing w:lineRule="auto" w:line="360"/>
              <w:jc w:val="both"/>
              <w:rPr>
                <w:b/>
                <w:b/>
                <w:sz w:val="18"/>
                <w:szCs w:val="18"/>
              </w:rPr>
            </w:pPr>
            <w:r>
              <w:rPr>
                <w:b/>
                <w:sz w:val="18"/>
                <w:szCs w:val="18"/>
              </w:rPr>
              <w:t>1860s</w:t>
            </w:r>
          </w:p>
        </w:tc>
        <w:tc>
          <w:tcPr>
            <w:tcW w:w="808" w:type="dxa"/>
            <w:gridSpan w:val="2"/>
            <w:tcBorders/>
          </w:tcPr>
          <w:p>
            <w:pPr>
              <w:pStyle w:val="Normal"/>
              <w:spacing w:lineRule="auto" w:line="360"/>
              <w:jc w:val="both"/>
              <w:rPr>
                <w:b/>
                <w:b/>
                <w:sz w:val="18"/>
                <w:szCs w:val="18"/>
              </w:rPr>
            </w:pPr>
            <w:r>
              <w:rPr>
                <w:b/>
                <w:sz w:val="18"/>
                <w:szCs w:val="18"/>
              </w:rPr>
              <w:t>1870s</w:t>
            </w:r>
          </w:p>
        </w:tc>
        <w:tc>
          <w:tcPr>
            <w:tcW w:w="1176" w:type="dxa"/>
            <w:gridSpan w:val="2"/>
            <w:tcBorders>
              <w:right w:val="single" w:sz="4" w:space="0" w:color="000000"/>
            </w:tcBorders>
          </w:tcPr>
          <w:p>
            <w:pPr>
              <w:pStyle w:val="Normal"/>
              <w:spacing w:lineRule="auto" w:line="360"/>
              <w:jc w:val="both"/>
              <w:rPr>
                <w:b/>
                <w:b/>
                <w:sz w:val="18"/>
                <w:szCs w:val="18"/>
              </w:rPr>
            </w:pPr>
            <w:r>
              <w:rPr>
                <w:b/>
                <w:sz w:val="18"/>
                <w:szCs w:val="18"/>
              </w:rPr>
              <w:t>1880s</w:t>
            </w:r>
          </w:p>
        </w:tc>
      </w:tr>
      <w:tr>
        <w:trPr/>
        <w:tc>
          <w:tcPr>
            <w:tcW w:w="1157" w:type="dxa"/>
            <w:gridSpan w:val="2"/>
            <w:tcBorders>
              <w:left w:val="single" w:sz="4" w:space="0" w:color="000000"/>
              <w:bottom w:val="single" w:sz="4" w:space="0" w:color="000000"/>
            </w:tcBorders>
          </w:tcPr>
          <w:p>
            <w:pPr>
              <w:pStyle w:val="Normal"/>
              <w:spacing w:lineRule="auto" w:line="360"/>
              <w:jc w:val="both"/>
              <w:rPr>
                <w:b/>
                <w:b/>
                <w:sz w:val="18"/>
                <w:szCs w:val="18"/>
              </w:rPr>
            </w:pPr>
            <w:r>
              <w:rPr>
                <w:b/>
                <w:sz w:val="18"/>
                <w:szCs w:val="18"/>
              </w:rPr>
              <w:t>Fonte</w:t>
            </w:r>
          </w:p>
        </w:tc>
        <w:tc>
          <w:tcPr>
            <w:tcW w:w="1050" w:type="dxa"/>
            <w:tcBorders>
              <w:bottom w:val="single" w:sz="4" w:space="0" w:color="000000"/>
            </w:tcBorders>
          </w:tcPr>
          <w:p>
            <w:pPr>
              <w:pStyle w:val="Normal"/>
              <w:spacing w:lineRule="auto" w:line="360"/>
              <w:jc w:val="both"/>
              <w:rPr>
                <w:sz w:val="18"/>
                <w:szCs w:val="18"/>
              </w:rPr>
            </w:pPr>
            <w:r>
              <w:rPr>
                <w:sz w:val="18"/>
                <w:szCs w:val="18"/>
              </w:rPr>
              <w:t>Ciências</w:t>
            </w:r>
          </w:p>
          <w:p>
            <w:pPr>
              <w:pStyle w:val="Normal"/>
              <w:spacing w:lineRule="auto" w:line="360"/>
              <w:jc w:val="both"/>
              <w:rPr>
                <w:sz w:val="18"/>
                <w:szCs w:val="18"/>
              </w:rPr>
            </w:pPr>
            <w:r>
              <w:rPr>
                <w:sz w:val="18"/>
                <w:szCs w:val="18"/>
              </w:rPr>
              <w:t>biológicas</w:t>
            </w:r>
          </w:p>
          <w:p>
            <w:pPr>
              <w:pStyle w:val="Normal"/>
              <w:spacing w:lineRule="auto" w:line="360"/>
              <w:jc w:val="both"/>
              <w:rPr>
                <w:sz w:val="18"/>
                <w:szCs w:val="18"/>
              </w:rPr>
            </w:pPr>
            <w:r>
              <w:rPr>
                <w:sz w:val="18"/>
                <w:szCs w:val="18"/>
              </w:rPr>
              <w:t>(dimensão científica)</w:t>
            </w:r>
          </w:p>
        </w:tc>
        <w:tc>
          <w:tcPr>
            <w:tcW w:w="1094" w:type="dxa"/>
            <w:tcBorders>
              <w:bottom w:val="single" w:sz="4" w:space="0" w:color="000000"/>
            </w:tcBorders>
          </w:tcPr>
          <w:p>
            <w:pPr>
              <w:pStyle w:val="Normal"/>
              <w:spacing w:lineRule="auto" w:line="360"/>
              <w:jc w:val="both"/>
              <w:rPr>
                <w:sz w:val="18"/>
                <w:szCs w:val="18"/>
              </w:rPr>
            </w:pPr>
            <w:r>
              <w:rPr>
                <w:sz w:val="18"/>
                <w:szCs w:val="18"/>
              </w:rPr>
              <w:t>Literatura</w:t>
            </w:r>
          </w:p>
          <w:p>
            <w:pPr>
              <w:pStyle w:val="Normal"/>
              <w:spacing w:lineRule="auto" w:line="360"/>
              <w:jc w:val="both"/>
              <w:rPr>
                <w:sz w:val="18"/>
                <w:szCs w:val="18"/>
              </w:rPr>
            </w:pPr>
            <w:r>
              <w:rPr>
                <w:sz w:val="18"/>
                <w:szCs w:val="18"/>
              </w:rPr>
              <w:t>(Dimensão artística)</w:t>
            </w:r>
          </w:p>
        </w:tc>
        <w:tc>
          <w:tcPr>
            <w:tcW w:w="953" w:type="dxa"/>
            <w:tcBorders>
              <w:bottom w:val="single" w:sz="4" w:space="0" w:color="000000"/>
            </w:tcBorders>
          </w:tcPr>
          <w:p>
            <w:pPr>
              <w:pStyle w:val="Normal"/>
              <w:spacing w:lineRule="auto" w:line="360"/>
              <w:jc w:val="both"/>
              <w:rPr>
                <w:sz w:val="18"/>
                <w:szCs w:val="18"/>
              </w:rPr>
            </w:pPr>
            <w:r>
              <w:rPr>
                <w:sz w:val="18"/>
                <w:szCs w:val="18"/>
              </w:rPr>
              <w:t>Religião</w:t>
            </w:r>
          </w:p>
          <w:p>
            <w:pPr>
              <w:pStyle w:val="Normal"/>
              <w:spacing w:lineRule="auto" w:line="360"/>
              <w:jc w:val="both"/>
              <w:rPr>
                <w:sz w:val="18"/>
                <w:szCs w:val="18"/>
              </w:rPr>
            </w:pPr>
            <w:r>
              <w:rPr>
                <w:sz w:val="18"/>
                <w:szCs w:val="18"/>
              </w:rPr>
              <w:t>(Dimensão teológica)</w:t>
            </w:r>
          </w:p>
        </w:tc>
        <w:tc>
          <w:tcPr>
            <w:tcW w:w="768" w:type="dxa"/>
            <w:gridSpan w:val="2"/>
            <w:tcBorders>
              <w:bottom w:val="single" w:sz="4" w:space="0" w:color="000000"/>
            </w:tcBorders>
          </w:tcPr>
          <w:p>
            <w:pPr>
              <w:pStyle w:val="Normal"/>
              <w:spacing w:lineRule="auto" w:line="360"/>
              <w:jc w:val="both"/>
              <w:rPr>
                <w:sz w:val="18"/>
                <w:szCs w:val="18"/>
              </w:rPr>
            </w:pPr>
            <w:r>
              <w:rPr>
                <w:sz w:val="18"/>
                <w:szCs w:val="18"/>
              </w:rPr>
              <w:t>Idem</w:t>
            </w:r>
          </w:p>
        </w:tc>
        <w:tc>
          <w:tcPr>
            <w:tcW w:w="791" w:type="dxa"/>
            <w:gridSpan w:val="2"/>
            <w:tcBorders>
              <w:bottom w:val="single" w:sz="4" w:space="0" w:color="000000"/>
            </w:tcBorders>
          </w:tcPr>
          <w:p>
            <w:pPr>
              <w:pStyle w:val="Normal"/>
              <w:spacing w:lineRule="auto" w:line="360"/>
              <w:jc w:val="both"/>
              <w:rPr>
                <w:sz w:val="18"/>
                <w:szCs w:val="18"/>
              </w:rPr>
            </w:pPr>
            <w:r>
              <w:rPr>
                <w:sz w:val="18"/>
                <w:szCs w:val="18"/>
              </w:rPr>
              <w:t>Idem</w:t>
            </w:r>
          </w:p>
        </w:tc>
        <w:tc>
          <w:tcPr>
            <w:tcW w:w="930" w:type="dxa"/>
            <w:tcBorders>
              <w:bottom w:val="single" w:sz="4" w:space="0" w:color="000000"/>
            </w:tcBorders>
          </w:tcPr>
          <w:p>
            <w:pPr>
              <w:pStyle w:val="Normal"/>
              <w:spacing w:lineRule="auto" w:line="360"/>
              <w:jc w:val="both"/>
              <w:rPr>
                <w:sz w:val="18"/>
                <w:szCs w:val="18"/>
              </w:rPr>
            </w:pPr>
            <w:r>
              <w:rPr>
                <w:sz w:val="18"/>
                <w:szCs w:val="18"/>
              </w:rPr>
              <w:t>Idem</w:t>
            </w:r>
          </w:p>
        </w:tc>
        <w:tc>
          <w:tcPr>
            <w:tcW w:w="913" w:type="dxa"/>
            <w:gridSpan w:val="2"/>
            <w:tcBorders>
              <w:bottom w:val="single" w:sz="4" w:space="0" w:color="000000"/>
            </w:tcBorders>
            <w:shd w:fill="FBD4B4" w:val="clear"/>
          </w:tcPr>
          <w:p>
            <w:pPr>
              <w:pStyle w:val="Normal"/>
              <w:spacing w:lineRule="auto" w:line="360"/>
              <w:jc w:val="both"/>
              <w:rPr>
                <w:sz w:val="18"/>
                <w:szCs w:val="18"/>
              </w:rPr>
            </w:pPr>
            <w:r>
              <w:rPr>
                <w:sz w:val="18"/>
                <w:szCs w:val="18"/>
              </w:rPr>
              <w:t>Ciências biológicas</w:t>
            </w:r>
          </w:p>
          <w:p>
            <w:pPr>
              <w:pStyle w:val="Normal"/>
              <w:spacing w:lineRule="auto" w:line="360"/>
              <w:jc w:val="both"/>
              <w:rPr/>
            </w:pPr>
            <w:r>
              <w:rPr>
                <w:sz w:val="18"/>
                <w:szCs w:val="18"/>
              </w:rPr>
              <w:t>(Dimensão científica)</w:t>
            </w:r>
          </w:p>
        </w:tc>
        <w:tc>
          <w:tcPr>
            <w:tcW w:w="808" w:type="dxa"/>
            <w:gridSpan w:val="2"/>
            <w:tcBorders>
              <w:bottom w:val="single" w:sz="4" w:space="0" w:color="000000"/>
            </w:tcBorders>
          </w:tcPr>
          <w:p>
            <w:pPr>
              <w:pStyle w:val="Normal"/>
              <w:spacing w:lineRule="auto" w:line="360"/>
              <w:jc w:val="both"/>
              <w:rPr>
                <w:sz w:val="18"/>
                <w:szCs w:val="18"/>
              </w:rPr>
            </w:pPr>
            <w:r>
              <w:rPr>
                <w:sz w:val="18"/>
                <w:szCs w:val="18"/>
              </w:rPr>
              <w:t>Idem</w:t>
            </w:r>
          </w:p>
        </w:tc>
        <w:tc>
          <w:tcPr>
            <w:tcW w:w="1176" w:type="dxa"/>
            <w:gridSpan w:val="2"/>
            <w:tcBorders>
              <w:bottom w:val="single" w:sz="4" w:space="0" w:color="000000"/>
              <w:right w:val="single" w:sz="4" w:space="0" w:color="000000"/>
            </w:tcBorders>
          </w:tcPr>
          <w:p>
            <w:pPr>
              <w:pStyle w:val="Normal"/>
              <w:spacing w:lineRule="auto" w:line="360"/>
              <w:jc w:val="both"/>
              <w:rPr>
                <w:sz w:val="18"/>
                <w:szCs w:val="18"/>
              </w:rPr>
            </w:pPr>
            <w:r>
              <w:rPr>
                <w:sz w:val="18"/>
                <w:szCs w:val="18"/>
              </w:rPr>
              <w:t>Idem</w:t>
            </w:r>
          </w:p>
        </w:tc>
      </w:tr>
    </w:tbl>
    <w:p>
      <w:pPr>
        <w:pStyle w:val="Normal"/>
        <w:jc w:val="both"/>
        <w:rPr/>
      </w:pPr>
      <w:r>
        <w:rPr>
          <w:b/>
        </w:rPr>
        <w:t>Tabela 1:</w:t>
      </w:r>
      <w:r>
        <w:rPr/>
        <w:t xml:space="preserve"> Representação esquemática de três cadeias conceituais examinadas temporalmente (recorte de 1800-1880), em que se apresentam as metamorfoses dos conceitos de Raça, Nação e Espécie. As colunas em destaque indicam uma cadeia vertical que organiza e estabiliza os conceitos em relação a um conceito organizador (o conceito de evolução, por exemplo). </w:t>
      </w:r>
    </w:p>
    <w:p>
      <w:pPr>
        <w:pStyle w:val="Normal"/>
        <w:spacing w:lineRule="auto" w:line="360"/>
        <w:jc w:val="both"/>
        <w:rPr/>
      </w:pPr>
      <w:r>
        <w:rPr/>
      </w:r>
    </w:p>
    <w:p>
      <w:pPr>
        <w:pStyle w:val="Normal"/>
        <w:spacing w:lineRule="auto" w:line="360"/>
        <w:ind w:firstLine="709"/>
        <w:jc w:val="both"/>
        <w:rPr/>
      </w:pPr>
      <w:r>
        <w:rPr/>
        <w:t xml:space="preserve">Na tabela 1, apresento um exemplo esquemático de como podemos utilizar a ideia de cadeias de metamorfoses conceituais para examinar as relações entre conceitos de maneira bem ampla (proponho usar esse tipo de tabela para expor de maneira esquemática o resultado, parcial ou final, de determinada pesquisa sobre a evolução de um ou mais conceitos). Vejamos como essa proposta se constitui a partir do exemplo da tabela acima. Primeiramente não estou propondo abarcar determinado conceito por meio de definições em um conjunto de tabelas. A tabela 1 é apenas um esquema de como proponho a análise estrutural do problema. Supondo que o pesquisador objetive examinar as metamorfoses que o conceito de raça tenha sofrido ao longo de parte do século XIX (entre os anos 1800 e 1880) e a maneira como esse conceito influenciou e sofreu influencia de conceitos correlatos (no exemplo, os conceitos de nação e espécie); ele irá examinar a ocorrência desse conceito nesse período (veja que nessa proposta a preeminência de autores, escolas de pensamento, instituições etc não é imperativo. O pesquisador tão somente irá em busca do conceito, o suporte ou fontes, podem ser de qualquer natureza desde que permitam a compreensão do objeto de pesquisa). </w:t>
      </w:r>
    </w:p>
    <w:p>
      <w:pPr>
        <w:pStyle w:val="Normal"/>
        <w:spacing w:lineRule="auto" w:line="360"/>
        <w:ind w:firstLine="709"/>
        <w:jc w:val="both"/>
        <w:rPr/>
      </w:pPr>
      <w:r>
        <w:rPr/>
        <w:t xml:space="preserve">No intervalo entre os anos de 1800 e 1880 os três conceitos sofreram metamorfoses independentemente um do outro (lembremos que não assumi nenhuma hierarquia entre os conceitos). A maneira como esses conceitos se modificam é tributária da maneira como são operacionalizados e utilizados em contextos discursivos distintos. A pesquisa deverá indicar esse processo. O que defendo é que em dado momento é possível se referir ao conceito central (em função da escolha de pesquisa) e de seus correlatos por meio de um conceito organizador. Esse conceito organizador permite, parcialmente, a estabilização dos demais em torno de algum(s) pressuposto(s) fundamental(s). Na tabela 1, em destaque está a década de 1860. A título de exemplo, podemos considerar que nesse momento o conceito de evolução (podemos fortalecer a dimensão biológica, por exemplo) organiza os demais conceitos. Nesse momento (no caso trata-se de uma década, mas podemos nos referir ao aspecto temporal, geográfico, linguístico etc) a inteligibilidade dos conceitos de raça, nação e espécie passam, necessariamente, pela noção de evolução (no caso, o conceito de evolução evocado aqui não é o mesmo que os naturalistas utilizavam, pois pressupõe fortemente uma ideia de progresso linear e de melhora, diferentemente de como se pensou a ideia de evolução entre as espécies). </w:t>
      </w:r>
    </w:p>
    <w:p>
      <w:pPr>
        <w:pStyle w:val="Normal"/>
        <w:spacing w:lineRule="auto" w:line="360"/>
        <w:ind w:firstLine="709"/>
        <w:jc w:val="both"/>
        <w:rPr/>
      </w:pPr>
      <w:r>
        <w:rPr/>
        <w:t xml:space="preserve">Nesse cenário teríamos, então, um conjunto de cadeias conceituais em desenvolvimento paralelas e que em dado momento é ‘atravessada’ por uma cadeia conceitual organizadora (o conceito de evolução no exemplo dado aqui não precisa ser homogêneo. Uma ideia geral de evolução já é suficiente para gerar esse efeito). A maneira de localizar essas cadeias e suas relações é justamente fora de gêneros discursivos específicos. A noção de áreas do saber não permite visualizar esse modelo. Se examinarmos o conceito de raça tão somente na cultura científica do século XIX, em particular entre os biólogos, talvez não possamos indicar as metamorfoses que o conceito sofreu, uma vez que negligenciaríamos todas as outras dimensões. Não significa também que o pesquisador deve examinar tudo aleatoriamente. É necessária uma seleção cuidadosa do material de trabalho que lhe permita adentrar o conceito e suas metamorfoses nos distintos universos discursivos. Essa proposta será examinada e testada nos demais ensaios do presente livro. Trata-se de uma proposta metodológica de análise de conceitos (na sua formação e, principalmente, utilização) em instâncias discursivas distintas e como esse intercâmbio ocorre e favorece a compreensão dos fenômenos examinados pelos distintos campos de pesquisa. </w:t>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jc w:val="center"/>
        <w:rPr/>
      </w:pPr>
      <w:r>
        <w:rPr>
          <w:b/>
        </w:rPr>
        <w:t>Um panorama na formação das ciências biomédicas no século XIX</w:t>
      </w:r>
    </w:p>
    <w:p>
      <w:pPr>
        <w:pStyle w:val="Normal"/>
        <w:spacing w:lineRule="auto" w:line="360"/>
        <w:jc w:val="both"/>
        <w:rPr>
          <w:b/>
          <w:b/>
        </w:rPr>
      </w:pPr>
      <w:r>
        <w:rPr>
          <w:b/>
        </w:rPr>
      </w:r>
    </w:p>
    <w:p>
      <w:pPr>
        <w:pStyle w:val="Corpodotexto"/>
        <w:spacing w:lineRule="auto" w:line="360"/>
        <w:ind w:hanging="0"/>
        <w:rPr/>
      </w:pPr>
      <w:r>
        <w:rPr>
          <w:rFonts w:cs="Times New Roman" w:ascii="Times New Roman" w:hAnsi="Times New Roman"/>
          <w:bCs/>
          <w:sz w:val="24"/>
          <w:szCs w:val="24"/>
        </w:rPr>
        <w:tab/>
        <w:t xml:space="preserve">O final do século XVIII representou um período de intensas mudanças nas estruturas sociais e políticas na Europa. Eventos no campo político-social como a independência dos Estados Unidos em 1776, a revolução francesa a partir de 1789 e seus desdobramentos até o que o historiador Eric Hobsbawm chamou de </w:t>
      </w:r>
      <w:r>
        <w:rPr>
          <w:rFonts w:cs="Times New Roman" w:ascii="Times New Roman" w:hAnsi="Times New Roman"/>
          <w:bCs/>
          <w:i/>
          <w:sz w:val="24"/>
          <w:szCs w:val="24"/>
        </w:rPr>
        <w:t>dupla revolução</w:t>
      </w:r>
      <w:r>
        <w:rPr>
          <w:rFonts w:cs="Times New Roman" w:ascii="Times New Roman" w:hAnsi="Times New Roman"/>
          <w:bCs/>
          <w:sz w:val="24"/>
          <w:szCs w:val="24"/>
        </w:rPr>
        <w:t xml:space="preserve"> em 1848, além da revolução industrial inglesa, representaram um impacto em quase todo mundo Ocidental. Em termos políticos e ideológicos, foi a revolução francesa que obteve um maior impacto.</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As causas da revolução francesa encontram-se na situação específica da França no período anterior e a conflitos no campo referente à cobrança de impostos exemplarmente analisados pelo historiador Emmanuel Le Roy Ladurie (1929); esse ponto parece não encontrar divergência entre os interpretes do período, mas visto de uma perspectiva global, a tensão entre os interesses estabelecidos do antigo regime e as estruturas oficiais frente às forças sociais emergentes eram mais agudos na França que em outros países da Europa. A França assumiu o papel de símbolo da negação e combate ao antigo regime.</w:t>
      </w:r>
    </w:p>
    <w:p>
      <w:pPr>
        <w:pStyle w:val="Corpodotexto"/>
        <w:tabs>
          <w:tab w:val="clear" w:pos="708"/>
          <w:tab w:val="left" w:pos="720" w:leader="none"/>
        </w:tabs>
        <w:spacing w:lineRule="auto" w:line="360"/>
        <w:ind w:hanging="0"/>
        <w:rPr>
          <w:rFonts w:ascii="Times New Roman" w:hAnsi="Times New Roman" w:cs="Times New Roman"/>
          <w:bCs/>
          <w:sz w:val="24"/>
          <w:szCs w:val="24"/>
        </w:rPr>
      </w:pPr>
      <w:r>
        <w:rPr>
          <w:rFonts w:cs="Times New Roman" w:ascii="Times New Roman" w:hAnsi="Times New Roman"/>
          <w:bCs/>
          <w:sz w:val="24"/>
          <w:szCs w:val="24"/>
        </w:rPr>
        <w:tab/>
        <w:t>Se a revolução francesa exerceu tamanha influência na primeira metade do século XIX na constituição do pensamento moderno, outro evento moldaria o cenário dos países europeus e posteriormente do mundo contemporâneo, a revolução industrial inglesa. Na primeira metade do século XIX, a indústria do algodão foi a primeira a se desenvolver, conforme análise de Hobsbawm:</w:t>
      </w:r>
    </w:p>
    <w:p>
      <w:pPr>
        <w:pStyle w:val="Corpodotexto"/>
        <w:tabs>
          <w:tab w:val="clear" w:pos="708"/>
          <w:tab w:val="left" w:pos="720" w:leader="none"/>
        </w:tabs>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ind w:left="540" w:hanging="0"/>
        <w:rPr/>
      </w:pPr>
      <w:r>
        <w:rPr>
          <w:rFonts w:cs="Times New Roman" w:ascii="Times New Roman" w:hAnsi="Times New Roman"/>
          <w:bCs/>
          <w:i/>
          <w:sz w:val="24"/>
          <w:szCs w:val="24"/>
        </w:rPr>
        <w:t>Até a década de 1830, o algodão era a única indústria britânica em que predominava a fábrica ou o engenho; a princípio (1780-1815), principalmente na fiação, na cardação e em algumas operações auxiliares, depois (de 1815) também cada vez mais na tecelagem</w:t>
      </w:r>
      <w:r>
        <w:rPr>
          <w:rStyle w:val="Caracteresdenotaderodap"/>
          <w:rStyle w:val="Ncoradanotaderodap"/>
          <w:rFonts w:cs="Times New Roman" w:ascii="Times New Roman" w:hAnsi="Times New Roman"/>
          <w:bCs/>
          <w:i/>
          <w:sz w:val="24"/>
          <w:szCs w:val="24"/>
        </w:rPr>
        <w:footnoteReference w:id="58"/>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 xml:space="preserve">Uma consequência considerável no processo de desenvolvimento da economia a partir do desenvolvimento industrial se refere à mobilização e transferência de mão-de-obra do campo para as cidades, implicando em um aumento considerável da população não rural. Outro setor que se desenvolveu muito rapidamente na primeira metade do século XIX foi o setor ferroviário. Por volta de 1830, em todo o mundo não tinham mais do que algumas dezenas de quilômetros de ferrovias, sendo que a linha Liverpool-Manchester constituía a linha central. Nos anos 1850 o número já passava dos 37 mil. Esse período de rápida expansão ficou conhecido como as </w:t>
      </w:r>
      <w:r>
        <w:rPr>
          <w:rFonts w:cs="Times New Roman" w:ascii="Times New Roman" w:hAnsi="Times New Roman"/>
          <w:bCs/>
          <w:i/>
          <w:sz w:val="24"/>
          <w:szCs w:val="24"/>
        </w:rPr>
        <w:t>coqueluches ferroviárias</w:t>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Uma característica marcante do antigo regime foi a ideia de uma igualdade natural. Os desdobramentos na economia decorrentes da revolução industrial coadunam com as condições sociais decorrentes do "rompimento" com o antigo regime pós-revolução francesa. Para Hobsbawm, as mudanças apontadas acima são mais tributárias de condicionantes sociais que tecnológicos. A condição dos homens na sociedade do antigo regime era determinada por meio do nascimento (essa ideia foi importada para muitas obras de horror no final do século XIX como elemento de composição das personagens, principalmente as consideradas maléficas em obras com forte tendência maniqueísta, tornando-se uma marca na composição das personagens desse gênero). Havia na estrutura social a ideia recorrente de que direitos naturais configuram e ao mesmo tempo justificam a desigualdade natural, a começar pelo direito natural e divino do rei em governar</w:t>
      </w:r>
      <w:r>
        <w:rPr>
          <w:rStyle w:val="Caracteresdenotaderodap"/>
          <w:rStyle w:val="Ncoradanotaderodap"/>
          <w:rFonts w:cs="Times New Roman" w:ascii="Times New Roman" w:hAnsi="Times New Roman"/>
          <w:bCs/>
          <w:sz w:val="24"/>
          <w:szCs w:val="24"/>
        </w:rPr>
        <w:footnoteReference w:id="59"/>
      </w:r>
      <w:r>
        <w:rPr>
          <w:rFonts w:cs="Times New Roman" w:ascii="Times New Roman" w:hAnsi="Times New Roman"/>
          <w:bCs/>
          <w:sz w:val="24"/>
          <w:szCs w:val="24"/>
        </w:rPr>
        <w:t xml:space="preserve">. Com o desenvolvimento econômico de uma classe burguesa, a ideia de direito natural identificado por via do nascimento é posta em xeque, somente sendo justificável a distinção pela via do trabalho. As ideias revolucionárias na França defendiam a noção de que é possível criar um ordenamento geral acima dos costumes, ou seja, a lei passa a ser responsável por produzir justiça. O Estado, nesse novo ordenamento, se torna mantenedor da lei e da ordem, acima dos costumes locais. A nova ordem não nega o direito natural, mas não mais se aceitam que os costumes sejam parâmetros desse direito natural, faz-se necessário uma normatização que justifique o direito natural.   </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A lei, à maneira como se configurou, em termos teóricos, na revolução francesa e posteriormente, se pretendeu responsável por gerar justiça na sociedade em oposição à manutenção dos costumes em prol do bem comum. Importante estabelecer que no debate, a lei (tributária da razão) não negava os costumes (tributário dos hábitos). O direito de igualdade natural entre os homens foi primordial na oposição ao antigo regime, o que não impediu a burguesia de ressignificar critérios de participação política e social, mantendo privilégios, de acordo com algumas interpretações.</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 xml:space="preserve">O século XIX viu nascer na literatura o ‘grande romance’, a característica central desses romances era, por meio da narrativa da vida de algumas personagens, alcançar a totalidade do ser (Lukács chamou esse gênero de romance de formação, tendo como o representante máximo nesse momento o livro de Goethe </w:t>
      </w:r>
      <w:r>
        <w:rPr>
          <w:rFonts w:cs="Times New Roman" w:ascii="Times New Roman" w:hAnsi="Times New Roman"/>
          <w:bCs/>
          <w:i/>
          <w:sz w:val="24"/>
          <w:szCs w:val="24"/>
        </w:rPr>
        <w:t>Os anos de aprendizado de Wihelm Mester</w:t>
      </w:r>
      <w:r>
        <w:rPr>
          <w:rFonts w:cs="Times New Roman" w:ascii="Times New Roman" w:hAnsi="Times New Roman"/>
          <w:bCs/>
          <w:sz w:val="24"/>
          <w:szCs w:val="24"/>
        </w:rPr>
        <w:t xml:space="preserve">). Um dos representantes dessa literatura foi Charles Dickens (1812-1870). Um bom retrato de quão precária era a situação social da França pré-revolucionária nos é mostrado por Dickens em seu romance </w:t>
      </w:r>
      <w:r>
        <w:rPr>
          <w:rFonts w:cs="Times New Roman" w:ascii="Times New Roman" w:hAnsi="Times New Roman"/>
          <w:bCs/>
          <w:i/>
          <w:sz w:val="24"/>
          <w:szCs w:val="24"/>
        </w:rPr>
        <w:t>Um conto de duas cidades</w:t>
      </w:r>
      <w:r>
        <w:rPr>
          <w:rFonts w:cs="Times New Roman" w:ascii="Times New Roman" w:hAnsi="Times New Roman"/>
          <w:bCs/>
          <w:sz w:val="24"/>
          <w:szCs w:val="24"/>
        </w:rPr>
        <w:t xml:space="preserve"> de 1859, onde o narrador descreve a situação de pobreza uma década antes da revolução:</w:t>
      </w:r>
    </w:p>
    <w:p>
      <w:pPr>
        <w:pStyle w:val="Corpodotexto"/>
        <w:tabs>
          <w:tab w:val="clear" w:pos="708"/>
          <w:tab w:val="left" w:pos="720" w:leader="none"/>
        </w:tabs>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ind w:left="540" w:hanging="0"/>
        <w:rPr/>
      </w:pPr>
      <w:r>
        <w:rPr>
          <w:rFonts w:cs="Times New Roman" w:ascii="Times New Roman" w:hAnsi="Times New Roman"/>
          <w:bCs/>
          <w:i/>
          <w:sz w:val="24"/>
          <w:szCs w:val="24"/>
        </w:rPr>
        <w:t>(...) as crianças tinham rostos de anciões e vozes graves; e nelas e nos rostos adultos, lavrada em todos os sulcos de velhice e aflorando a todo instante, estava a marca, a fome. Predominava em todos os cantos. A fome era posta para fora das casas altas, nas roupas pobres penduradas em postes e fios; a fome estava embutida nelas com palha e farrapos e madeira e papel; a fome se repetia em todos os fragmentos da módica quantidade de lenha que o homem serrava; a fome descia as chaminés sem fumaça e subia a rua imunda em cujo lixo não havia nenhum pedaço de carne comestível. A fome estava inscrita nas prateleiras do padeiro, escrita em cada pãozinho de seu estoque reduzido de pão ruim; na salsicharia, em cada preparado de carne de cão posto à venda. A fome chacoalhava seus ossos secos junto com as castanhas torradas no cilindro giratório; a fome se despedaçava em átomos com cada tigela insignificante de lascas grossas de batata, fritas em relutantes gotas de óleo</w:t>
      </w:r>
      <w:r>
        <w:rPr>
          <w:rStyle w:val="Caracteresdenotaderodap"/>
          <w:rStyle w:val="Ncoradanotaderodap"/>
          <w:rFonts w:cs="Times New Roman" w:ascii="Times New Roman" w:hAnsi="Times New Roman"/>
          <w:bCs/>
          <w:i/>
          <w:sz w:val="24"/>
          <w:szCs w:val="24"/>
        </w:rPr>
        <w:footnoteReference w:id="60"/>
      </w:r>
      <w:r>
        <w:rPr>
          <w:rFonts w:cs="Times New Roman" w:ascii="Times New Roman" w:hAnsi="Times New Roman"/>
          <w:bCs/>
          <w:i/>
          <w:sz w:val="24"/>
          <w:szCs w:val="24"/>
        </w:rPr>
        <w:t>.</w:t>
      </w:r>
      <w:r>
        <w:rPr>
          <w:rFonts w:cs="Times New Roman" w:ascii="Times New Roman" w:hAnsi="Times New Roman"/>
          <w:bCs/>
          <w:sz w:val="24"/>
          <w:szCs w:val="24"/>
        </w:rPr>
        <w:t xml:space="preserve">    </w:t>
        <w:tab/>
        <w:t xml:space="preserve">   </w:t>
      </w:r>
    </w:p>
    <w:p>
      <w:pPr>
        <w:pStyle w:val="Corpodotexto"/>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 xml:space="preserve">Dickens era inglês e nasceu no ano de 1812, ou seja, posterior aos eventos narrados em sua obra, além do que, trata-se de uma obra de ficção. Dickens não escreveu uma obra de história, mas apesar das ressalvas, o romance deixa vestígios do momento em que é concebido e que certamente podem ser inspecionados pela história. Dickens retratou como poucos as consequências da revolução industrial na Inglaterra em romances como </w:t>
      </w:r>
      <w:r>
        <w:rPr>
          <w:rFonts w:cs="Times New Roman" w:ascii="Times New Roman" w:hAnsi="Times New Roman"/>
          <w:bCs/>
          <w:i/>
          <w:sz w:val="24"/>
          <w:szCs w:val="24"/>
        </w:rPr>
        <w:t xml:space="preserve">Oliver Twist </w:t>
      </w:r>
      <w:r>
        <w:rPr>
          <w:rFonts w:cs="Times New Roman" w:ascii="Times New Roman" w:hAnsi="Times New Roman"/>
          <w:bCs/>
          <w:sz w:val="24"/>
          <w:szCs w:val="24"/>
        </w:rPr>
        <w:t xml:space="preserve">(1837-1839), </w:t>
      </w:r>
      <w:r>
        <w:rPr>
          <w:rFonts w:cs="Times New Roman" w:ascii="Times New Roman" w:hAnsi="Times New Roman"/>
          <w:bCs/>
          <w:i/>
          <w:sz w:val="24"/>
          <w:szCs w:val="24"/>
        </w:rPr>
        <w:t xml:space="preserve">David Copperfield </w:t>
      </w:r>
      <w:r>
        <w:rPr>
          <w:rFonts w:cs="Times New Roman" w:ascii="Times New Roman" w:hAnsi="Times New Roman"/>
          <w:bCs/>
          <w:sz w:val="24"/>
          <w:szCs w:val="24"/>
        </w:rPr>
        <w:t xml:space="preserve">(1849-1850), </w:t>
      </w:r>
      <w:r>
        <w:rPr>
          <w:rFonts w:cs="Times New Roman" w:ascii="Times New Roman" w:hAnsi="Times New Roman"/>
          <w:bCs/>
          <w:i/>
          <w:sz w:val="24"/>
          <w:szCs w:val="24"/>
        </w:rPr>
        <w:t xml:space="preserve">Tempos difíceis </w:t>
      </w:r>
      <w:r>
        <w:rPr>
          <w:rFonts w:cs="Times New Roman" w:ascii="Times New Roman" w:hAnsi="Times New Roman"/>
          <w:bCs/>
          <w:sz w:val="24"/>
          <w:szCs w:val="24"/>
        </w:rPr>
        <w:t xml:space="preserve">(1854) entre outros. Na passagem acima do romance </w:t>
      </w:r>
      <w:r>
        <w:rPr>
          <w:rFonts w:cs="Times New Roman" w:ascii="Times New Roman" w:hAnsi="Times New Roman"/>
          <w:bCs/>
          <w:i/>
          <w:sz w:val="24"/>
          <w:szCs w:val="24"/>
        </w:rPr>
        <w:t>Um conto de duas cidades,</w:t>
      </w:r>
      <w:r>
        <w:rPr>
          <w:rFonts w:cs="Times New Roman" w:ascii="Times New Roman" w:hAnsi="Times New Roman"/>
          <w:bCs/>
          <w:sz w:val="24"/>
          <w:szCs w:val="24"/>
        </w:rPr>
        <w:t xml:space="preserve"> vê-se um retrato da condição em que se encontrava a população da França em fins do século XVIII. Em um trabalho não ficcional, o historiador Edward Palmer Thompson (1924-1993) descreve uma situação não muito diferente na constituição do mundo industrial que atribua veracidade aos acontecimentos narrados por Dickens</w:t>
      </w:r>
      <w:r>
        <w:rPr>
          <w:rStyle w:val="Caracteresdenotaderodap"/>
          <w:rStyle w:val="Ncoradanotaderodap"/>
          <w:rFonts w:cs="Times New Roman" w:ascii="Times New Roman" w:hAnsi="Times New Roman"/>
          <w:bCs/>
          <w:sz w:val="24"/>
          <w:szCs w:val="24"/>
        </w:rPr>
        <w:footnoteReference w:id="61"/>
      </w:r>
      <w:r>
        <w:rPr>
          <w:rFonts w:cs="Times New Roman" w:ascii="Times New Roman" w:hAnsi="Times New Roman"/>
          <w:bCs/>
          <w:sz w:val="24"/>
          <w:szCs w:val="24"/>
        </w:rPr>
        <w:t xml:space="preserve">.   </w:t>
      </w:r>
    </w:p>
    <w:p>
      <w:pPr>
        <w:pStyle w:val="Corpodotexto"/>
        <w:spacing w:lineRule="auto" w:line="360"/>
        <w:ind w:hanging="0"/>
        <w:rPr/>
      </w:pPr>
      <w:r>
        <w:rPr>
          <w:rFonts w:cs="Times New Roman" w:ascii="Times New Roman" w:hAnsi="Times New Roman"/>
          <w:bCs/>
          <w:sz w:val="24"/>
          <w:szCs w:val="24"/>
        </w:rPr>
        <w:tab/>
        <w:t>O romance literário, desenvolvido principalmente na Alemanha, das primeiras décadas do século XIX tem entre suas faces a oposição aos princípios de racionalidade próprios da ilustração na mentalidade do século XVIII. O termo ‘romance’ se refere ao pitoresco, ao que não está subordinado a razão</w:t>
      </w:r>
      <w:r>
        <w:rPr>
          <w:rStyle w:val="Caracteresdenotaderodap"/>
          <w:rStyle w:val="Ncoradanotaderodap"/>
          <w:rFonts w:cs="Times New Roman" w:ascii="Times New Roman" w:hAnsi="Times New Roman"/>
          <w:bCs/>
          <w:sz w:val="24"/>
          <w:szCs w:val="24"/>
        </w:rPr>
        <w:footnoteReference w:id="62"/>
      </w:r>
      <w:r>
        <w:rPr>
          <w:rFonts w:cs="Times New Roman" w:ascii="Times New Roman" w:hAnsi="Times New Roman"/>
          <w:bCs/>
          <w:sz w:val="24"/>
          <w:szCs w:val="24"/>
        </w:rPr>
        <w:t xml:space="preserve">. Tal noção dialoga com essa sociedade industrial em formação no final do século XVIII e início do século XIX. </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 xml:space="preserve">A consequência seminal da transição do antigo regime para a sociedade industrial que se formaria no século XIX foi a formação de uma sociedade do contrato em contraste a uma sociedade de costumes, embora essa divisão não se configure de maneira totalmente clara, uma vez que a defesa do uso da razão não pressupõe a exclusão do fator emocional e habitual da vida sócio-politica em uma sociedade; o sociólogo Richard Sennett explorou a exaustão essa característica da contemporaneidade em suas obras. </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No que se refere ao desenvolvimento das ciências, uma sociedade que zele pelo uso da razão encontrará nas ciências naturais um campo fértil para se agarrar, daí o status alcançado pelas ciências nessa sociedade industrial</w:t>
      </w:r>
      <w:r>
        <w:rPr>
          <w:rStyle w:val="Caracteresdenotaderodap"/>
          <w:rStyle w:val="Ncoradanotaderodap"/>
          <w:rFonts w:cs="Times New Roman" w:ascii="Times New Roman" w:hAnsi="Times New Roman"/>
          <w:bCs/>
          <w:sz w:val="24"/>
          <w:szCs w:val="24"/>
        </w:rPr>
        <w:footnoteReference w:id="63"/>
      </w:r>
      <w:r>
        <w:rPr>
          <w:rFonts w:cs="Times New Roman" w:ascii="Times New Roman" w:hAnsi="Times New Roman"/>
          <w:bCs/>
          <w:sz w:val="24"/>
          <w:szCs w:val="24"/>
        </w:rPr>
        <w:t xml:space="preserve">. As consequências da revolução francesa nas ciências são notadamente marcadas na criação de órgãos que possibilitaram o avanço técnico-científico. </w:t>
      </w:r>
    </w:p>
    <w:p>
      <w:pPr>
        <w:pStyle w:val="Corpodotexto"/>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ind w:left="540" w:hanging="0"/>
        <w:rPr/>
      </w:pPr>
      <w:r>
        <w:rPr>
          <w:rFonts w:cs="Times New Roman" w:ascii="Times New Roman" w:hAnsi="Times New Roman"/>
          <w:bCs/>
          <w:i/>
          <w:sz w:val="24"/>
          <w:szCs w:val="24"/>
        </w:rPr>
        <w:t>A revolução francesa transformou a educação técnica e científica de seu país, principalmente devido à criação da Escola Politécnica (1795) – que pretendia ser uma escola para técnicos de todas as especialidades – e do primeiro esboço da Escola Normal Superior (1794), que seria firmemente estabelecida como parte de uma reforma geral da educação secundária e superior por Napoleão</w:t>
      </w:r>
      <w:r>
        <w:rPr>
          <w:rStyle w:val="Caracteresdenotaderodap"/>
          <w:rStyle w:val="Ncoradanotaderodap"/>
          <w:rFonts w:cs="Times New Roman" w:ascii="Times New Roman" w:hAnsi="Times New Roman"/>
          <w:bCs/>
          <w:i/>
          <w:sz w:val="24"/>
          <w:szCs w:val="24"/>
        </w:rPr>
        <w:footnoteReference w:id="64"/>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ind w:left="540"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ind w:hanging="0"/>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Ao que segue Hobsbawm,</w:t>
      </w:r>
    </w:p>
    <w:p>
      <w:pPr>
        <w:pStyle w:val="Corpodotexto"/>
        <w:spacing w:lineRule="auto" w:line="360"/>
        <w:ind w:left="540"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ind w:left="540" w:hanging="0"/>
        <w:rPr/>
      </w:pPr>
      <w:r>
        <w:rPr>
          <w:rFonts w:cs="Times New Roman" w:ascii="Times New Roman" w:hAnsi="Times New Roman"/>
          <w:bCs/>
          <w:i/>
          <w:sz w:val="24"/>
          <w:szCs w:val="24"/>
        </w:rPr>
        <w:t>(...) o universo das ciências se ampliou para abraçar países e povos que até então só tinham dado contribuições insignificantes. A lista de grandes cientistas de digamos, 1750, contém muito poucos que não sejam franceses, britânicos, alemães, italianos e suíços</w:t>
      </w:r>
      <w:r>
        <w:rPr>
          <w:rStyle w:val="Caracteresdenotaderodap"/>
          <w:rStyle w:val="Ncoradanotaderodap"/>
          <w:rFonts w:cs="Times New Roman" w:ascii="Times New Roman" w:hAnsi="Times New Roman"/>
          <w:bCs/>
          <w:i/>
          <w:sz w:val="24"/>
          <w:szCs w:val="24"/>
        </w:rPr>
        <w:footnoteReference w:id="65"/>
      </w:r>
      <w:r>
        <w:rPr>
          <w:rFonts w:cs="Times New Roman" w:ascii="Times New Roman" w:hAnsi="Times New Roman"/>
          <w:bCs/>
          <w:i/>
          <w:sz w:val="24"/>
          <w:szCs w:val="24"/>
        </w:rPr>
        <w:t>. (...) A era da itinerante celebridade internacional que, como, Euler, viajou da Basiléia a São Petersburgo, e daí para Berlim, voltando à corte de Catarina a grande, passou com os velhos regimes. Daí em diante, o cientista permaneceria dentro de sua área linguística, exceto para pequenas visitas, comunicando-se com seus colegas através dos jornais especializados, tão típicos produtos deste período: as atas da Real Sociedade (1831), as Comptes Rendues de L’Academie des Sciences (1837), as atas da Sociedade Filosófica Americana (1838), ou as novas revistas especializadas tais como o Journal für Reine und Angewandte Mathematick, de Crelle, ou os Anais de Química e Física (1797)</w:t>
      </w:r>
      <w:r>
        <w:rPr>
          <w:rStyle w:val="Caracteresdenotaderodap"/>
          <w:rStyle w:val="Ncoradanotaderodap"/>
          <w:rFonts w:cs="Times New Roman" w:ascii="Times New Roman" w:hAnsi="Times New Roman"/>
          <w:bCs/>
          <w:i/>
          <w:sz w:val="24"/>
          <w:szCs w:val="24"/>
        </w:rPr>
        <w:footnoteReference w:id="66"/>
      </w:r>
      <w:r>
        <w:rPr>
          <w:rFonts w:cs="Times New Roman" w:ascii="Times New Roman" w:hAnsi="Times New Roman"/>
          <w:bCs/>
          <w:i/>
          <w:sz w:val="24"/>
          <w:szCs w:val="24"/>
        </w:rPr>
        <w:t xml:space="preserve">.      </w:t>
      </w:r>
    </w:p>
    <w:p>
      <w:pPr>
        <w:pStyle w:val="Corpodotexto"/>
        <w:spacing w:lineRule="auto" w:line="360"/>
        <w:ind w:hanging="0"/>
        <w:rPr>
          <w:rFonts w:ascii="Times New Roman" w:hAnsi="Times New Roman" w:cs="Times New Roman"/>
          <w:bCs/>
          <w:sz w:val="24"/>
          <w:szCs w:val="24"/>
        </w:rPr>
      </w:pPr>
      <w:r>
        <w:rPr>
          <w:rFonts w:cs="Times New Roman" w:ascii="Times New Roman" w:hAnsi="Times New Roman"/>
          <w:bCs/>
          <w:sz w:val="24"/>
          <w:szCs w:val="24"/>
        </w:rPr>
        <w:t xml:space="preserve"> </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 xml:space="preserve">O racionalismo próprio da ciência iluminista no século XVIII, operando internamente na sociedade pós-revolução francesa encontraria terreno favorável ao surgimento das instituições apontadas por Hobsbawm acima, o que constitui a legitimação do ideal de ciência que vigoraria até os dias de hoje.  </w:t>
      </w:r>
    </w:p>
    <w:p>
      <w:pPr>
        <w:pStyle w:val="Corpodotexto"/>
        <w:tabs>
          <w:tab w:val="clear" w:pos="708"/>
          <w:tab w:val="left" w:pos="720" w:leader="none"/>
        </w:tabs>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ind w:hanging="0"/>
        <w:rPr>
          <w:rFonts w:ascii="Times New Roman" w:hAnsi="Times New Roman" w:cs="Times New Roman"/>
          <w:b/>
          <w:b/>
          <w:bCs/>
          <w:sz w:val="24"/>
          <w:szCs w:val="24"/>
        </w:rPr>
      </w:pPr>
      <w:r>
        <w:rPr>
          <w:rFonts w:cs="Times New Roman" w:ascii="Times New Roman" w:hAnsi="Times New Roman"/>
          <w:b/>
          <w:bCs/>
          <w:sz w:val="24"/>
          <w:szCs w:val="24"/>
        </w:rPr>
        <w:t>As ciências da vida</w:t>
      </w:r>
    </w:p>
    <w:p>
      <w:pPr>
        <w:pStyle w:val="Normal"/>
        <w:spacing w:lineRule="auto" w:line="360"/>
        <w:jc w:val="both"/>
        <w:rPr>
          <w:rFonts w:ascii="Times New Roman" w:hAnsi="Times New Roman" w:cs="Times New Roman"/>
          <w:b/>
          <w:b/>
          <w:bCs/>
          <w:sz w:val="24"/>
          <w:szCs w:val="24"/>
        </w:rPr>
      </w:pPr>
      <w:r>
        <w:rPr>
          <w:rFonts w:cs="Times New Roman"/>
          <w:b/>
          <w:bCs/>
          <w:sz w:val="24"/>
          <w:szCs w:val="24"/>
        </w:rPr>
      </w:r>
    </w:p>
    <w:p>
      <w:pPr>
        <w:pStyle w:val="Normal"/>
        <w:tabs>
          <w:tab w:val="clear" w:pos="708"/>
          <w:tab w:val="left" w:pos="720" w:leader="none"/>
        </w:tabs>
        <w:spacing w:lineRule="auto" w:line="360"/>
        <w:jc w:val="both"/>
        <w:rPr/>
      </w:pPr>
      <w:r>
        <w:rPr/>
        <w:tab/>
        <w:t xml:space="preserve">Na segunda metade do século XVIII as ciências físicas eram o ramo da ciência mais bem sucedido até o momento. Isso se devia principalmente ao êxito da mecânica newtoniana. O poder preditivo, a adequação empírica e a axiomatização dos princípios físicos presentes na mecânica proposta por Newton serviam de modelo às outras ciências e também ao próprio desenvolvimento das assim chamadas outras áreas da Física. Podemos exemplificar esse cenário por meio de um problema importante compartilhado pela Física e Química no final do século XVIII; tal problema se referia à natureza do calor. Duas propostas competiam na explicação da natureza do calor: (1) o calor era causado pelas vibrações das partes de uma substância ou; (2) o calor era um fluido imponderável, que não se podia pesar ou medir suas dimensões. Na teoria do ‘calórico’, prevaleceu a segunda explicação. Ambas as explicações são concebidas mecanicamente, por vibração de partes de algo ou pela existência de um fluido, o que possibilitaria, uma vez que se pudessem medir as propriedades desse fluido ou das partes que vibram uma inferência por meio das leis da mecânica. Essa tendência em atribuir propriedades e explicações mecânicas ao mundo não constituía novidade, já que a mecânica newtoniana tinha alcançado tamanha aceitação no mundo científico do século XVIII que seria natural pensar o mundo em termos mecânicos. </w:t>
      </w:r>
    </w:p>
    <w:p>
      <w:pPr>
        <w:pStyle w:val="Normal"/>
        <w:spacing w:lineRule="auto" w:line="360"/>
        <w:jc w:val="both"/>
        <w:rPr/>
      </w:pPr>
      <w:r>
        <w:rPr/>
        <w:tab/>
        <w:t xml:space="preserve">Na Química, uma teoria de grande influência na segunda metade do século XVIII foi proposta por </w:t>
      </w:r>
      <w:r>
        <w:rPr>
          <w:bCs/>
        </w:rPr>
        <w:t>Georg Ernst Stahl (1659-1734) em meados de 1723, a teoria do ‘flogisto’, como é conhecida e descrita pelo historiador da ciência Colin A. Ronan (1920-1995):</w:t>
      </w:r>
    </w:p>
    <w:p>
      <w:pPr>
        <w:pStyle w:val="Normal"/>
        <w:spacing w:lineRule="auto" w:line="360"/>
        <w:jc w:val="both"/>
        <w:rPr>
          <w:bCs/>
        </w:rPr>
      </w:pPr>
      <w:r>
        <w:rPr>
          <w:bCs/>
        </w:rPr>
      </w:r>
    </w:p>
    <w:p>
      <w:pPr>
        <w:pStyle w:val="Normal"/>
        <w:spacing w:lineRule="auto" w:line="360"/>
        <w:ind w:left="540" w:hanging="0"/>
        <w:jc w:val="both"/>
        <w:rPr/>
      </w:pPr>
      <w:r>
        <w:rPr>
          <w:bCs/>
          <w:i/>
        </w:rPr>
        <w:t>A importância do ‘princípio do fogo’, flogisto, é que ele agia como um grande conceito unificador na química; correlacionava grande variedade de fatos, sendo aplicável não só à combustão, mas também à respiração e à calcinação (torrefação de metais a uma alta temperatura, mas sem fusão), tornando, assim, mais compreensível todas as espécies de reações. Durante os trinta ou quarenta anos seguintes, os químicos mantiveram essa teoria com todo o vigor, até que ela se tornou de tal modo embutida no pensamento químico que um grande esforço intelectual teve de ser feito para lhe dar fim</w:t>
      </w:r>
      <w:r>
        <w:rPr>
          <w:rStyle w:val="Caracteresdenotaderodap"/>
          <w:rStyle w:val="Ncoradanotaderodap"/>
          <w:bCs/>
          <w:i/>
        </w:rPr>
        <w:footnoteReference w:id="67"/>
      </w:r>
      <w:r>
        <w:rPr>
          <w:bCs/>
          <w:i/>
        </w:rPr>
        <w:t>.</w:t>
      </w:r>
      <w:r>
        <w:rPr>
          <w:bCs/>
        </w:rPr>
        <w:t xml:space="preserve">  </w:t>
      </w:r>
      <w:r>
        <w:rPr/>
        <w:t xml:space="preserve">          </w:t>
      </w:r>
    </w:p>
    <w:p>
      <w:pPr>
        <w:pStyle w:val="Normal"/>
        <w:spacing w:lineRule="auto" w:line="360"/>
        <w:jc w:val="both"/>
        <w:rPr/>
      </w:pPr>
      <w:r>
        <w:rPr/>
        <w:t xml:space="preserve">     </w:t>
      </w:r>
    </w:p>
    <w:p>
      <w:pPr>
        <w:pStyle w:val="Normal"/>
        <w:tabs>
          <w:tab w:val="clear" w:pos="708"/>
          <w:tab w:val="left" w:pos="720" w:leader="none"/>
        </w:tabs>
        <w:spacing w:lineRule="auto" w:line="360"/>
        <w:jc w:val="both"/>
        <w:rPr/>
      </w:pPr>
      <w:r>
        <w:rPr/>
        <w:tab/>
        <w:t>Nas ciências da vida, pesquisadores que no século XVII utilizaram o microscópio em suas investigações, tais como, Robert Hooke (1635-1703), Jan Swammerdam (1637-1680), Marcello Malpighi (1628-1694), Nehemiah Grew (1641-1712) e Anton van Leeuwenhoek (1632-1723) entre outros, possibilitaram o conhecimento de um novo mundo no que concerne à investigação dos organismos. O microscópio aperfeiçoado por Leeuwenhoek possuía o poder de ampliar 270 vezes, propiciando a visualização de detalhes de até 1,5 milésimo de milímetro.</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A Botânica foi outra das ciências no século XVIII fortemente influenciada pela mecânica newtoniana. Stephen Hales (1677-1761), notável botânico de sua época, publicou em 1727 o livro ‘</w:t>
      </w:r>
      <w:r>
        <w:rPr>
          <w:rFonts w:cs="Times New Roman" w:ascii="Times New Roman" w:hAnsi="Times New Roman"/>
          <w:bCs/>
          <w:i/>
          <w:sz w:val="24"/>
          <w:szCs w:val="24"/>
        </w:rPr>
        <w:t>Estática vegetal</w:t>
      </w:r>
      <w:r>
        <w:rPr>
          <w:rFonts w:cs="Times New Roman" w:ascii="Times New Roman" w:hAnsi="Times New Roman"/>
          <w:bCs/>
          <w:sz w:val="24"/>
          <w:szCs w:val="24"/>
        </w:rPr>
        <w:t xml:space="preserve">’, em que apresenta seus experimentos sobre a pressão da seiva e a passagem da água através de uma planta junto à investigação sobre a ‘transpiração’ através das folhas. </w:t>
      </w:r>
    </w:p>
    <w:p>
      <w:pPr>
        <w:pStyle w:val="Corpodotexto"/>
        <w:spacing w:lineRule="auto" w:line="360"/>
        <w:ind w:hanging="0"/>
        <w:rPr/>
      </w:pPr>
      <w:r>
        <w:rPr>
          <w:rFonts w:cs="Times New Roman" w:ascii="Times New Roman" w:hAnsi="Times New Roman"/>
          <w:bCs/>
          <w:sz w:val="24"/>
          <w:szCs w:val="24"/>
        </w:rPr>
        <w:tab/>
        <w:t>Outra posição da filosofia natural no século XVIII frente aos estudos dos seres vivos pretendia explicar os fenômenos do movimento, problema que ocupou inúmeros pesquisadores desde o século XVII. Um dos fundadores da fisiologia experimental no século XVIII, Albrecht von Haller (1708-1777) determinou em seus experimentos sobre a irritabilidade e sensibilidade do corpo humano que (1) partes do corpo estimuladas se contraem, por exemplo, os músculos; (2) Outras partes, ao serem estimuladas, provocam dor ou desconforto; Haller designou-as partes sensíveis, são os nervos, peles e demais tecidos; (3) Há partes indiferentes à estimulação, os tendões e meninges</w:t>
      </w:r>
      <w:r>
        <w:rPr>
          <w:rStyle w:val="Caracteresdenotaderodap"/>
          <w:rStyle w:val="Ncoradanotaderodap"/>
          <w:rFonts w:cs="Times New Roman" w:ascii="Times New Roman" w:hAnsi="Times New Roman"/>
          <w:bCs/>
          <w:sz w:val="24"/>
          <w:szCs w:val="24"/>
        </w:rPr>
        <w:footnoteReference w:id="68"/>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ind w:hanging="0"/>
        <w:rPr>
          <w:rFonts w:ascii="Times New Roman" w:hAnsi="Times New Roman" w:cs="Times New Roman"/>
          <w:bCs/>
          <w:sz w:val="24"/>
          <w:szCs w:val="24"/>
        </w:rPr>
      </w:pPr>
      <w:r>
        <w:rPr>
          <w:rFonts w:cs="Times New Roman" w:ascii="Times New Roman" w:hAnsi="Times New Roman"/>
          <w:bCs/>
          <w:sz w:val="24"/>
          <w:szCs w:val="24"/>
        </w:rPr>
        <w:tab/>
        <w:t xml:space="preserve">Haller trabalhou sobre a orientação de dois grandes pilares conceituais: (1) A proposta de distinção anatômica e funcional da irritabilidade e sensibilidade; (2) Tal distinção deveria se dar por meio apenas da observação e experimentação. </w:t>
      </w:r>
    </w:p>
    <w:p>
      <w:pPr>
        <w:pStyle w:val="Corpodotexto"/>
        <w:spacing w:lineRule="auto" w:line="360"/>
        <w:ind w:hanging="0"/>
        <w:rPr/>
      </w:pPr>
      <w:r>
        <w:rPr>
          <w:rFonts w:cs="Times New Roman" w:ascii="Times New Roman" w:hAnsi="Times New Roman"/>
          <w:bCs/>
          <w:sz w:val="24"/>
          <w:szCs w:val="24"/>
        </w:rPr>
        <w:tab/>
        <w:t xml:space="preserve">No tocante à Biologia mais geral, estudos sobre funções orgânicas vitais no século XVIII, movimentos voluntários e involuntários, bem como as sensações, emergiram no pensamento científico do período. Diante deste cenário, as investigações experimentais sobre os nervos e músculos foram questões centrais para se estabelecer uma relação causal entre a anatomia das partes do corpo animal responsáveis, no caso os nervos e músculos, pelos movimentos e sensações. </w:t>
      </w:r>
    </w:p>
    <w:p>
      <w:pPr>
        <w:pStyle w:val="Corpodotexto"/>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ind w:left="540" w:hanging="0"/>
        <w:rPr/>
      </w:pPr>
      <w:r>
        <w:rPr>
          <w:rFonts w:cs="Times New Roman" w:ascii="Times New Roman" w:hAnsi="Times New Roman"/>
          <w:bCs/>
          <w:i/>
          <w:sz w:val="24"/>
          <w:szCs w:val="24"/>
        </w:rPr>
        <w:t>Considerados no século XVIII como elementos de transmissão entre a alma e o corpo, responsáveis pelo movimento do corpo vivo, supôs-se que os nervos seriam percorridos por elementos sutis como ‘pneumas’, espíritos animais’, ‘fluido nervoso’ e/ou ‘éther’. Enquanto estruturas orgânicas, os nervos já haviam sido associados na filosofia mecanicista à ‘cordas vibratórias’, ‘estruturas tubulares’, ‘agregados globulares’ entrecruzados entre si e capazes de garantir a comunicação entre as diferentes partes do corpo e sua relação com o cérebro</w:t>
      </w:r>
      <w:r>
        <w:rPr>
          <w:rStyle w:val="Caracteresdenotaderodap"/>
          <w:rStyle w:val="Ncoradanotaderodap"/>
          <w:rFonts w:cs="Times New Roman" w:ascii="Times New Roman" w:hAnsi="Times New Roman"/>
          <w:bCs/>
          <w:i/>
          <w:sz w:val="24"/>
          <w:szCs w:val="24"/>
        </w:rPr>
        <w:footnoteReference w:id="69"/>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ind w:hanging="0"/>
        <w:rPr/>
      </w:pPr>
      <w:r>
        <w:rPr>
          <w:rFonts w:cs="Times New Roman" w:ascii="Times New Roman" w:hAnsi="Times New Roman"/>
          <w:bCs/>
          <w:sz w:val="24"/>
          <w:szCs w:val="24"/>
        </w:rPr>
        <w:tab/>
        <w:t>Um ano após a publicação da dissertação de Haller, em 1765, outro eminente pesquisador, Claude Nicolas Le Cat (1700-1768) publicou seu ‘</w:t>
      </w:r>
      <w:r>
        <w:rPr>
          <w:rFonts w:cs="Times New Roman" w:ascii="Times New Roman" w:hAnsi="Times New Roman"/>
          <w:bCs/>
          <w:i/>
          <w:sz w:val="24"/>
          <w:szCs w:val="24"/>
        </w:rPr>
        <w:t>Traité de l’existence de la nature et des proprieté de fluide des nerfes, et principalemente de son action dans les proprieté de fluide des nerfes, et principalemente de son action dans les mouvement musculaires</w:t>
      </w:r>
      <w:r>
        <w:rPr>
          <w:rFonts w:cs="Times New Roman" w:ascii="Times New Roman" w:hAnsi="Times New Roman"/>
          <w:bCs/>
          <w:sz w:val="24"/>
          <w:szCs w:val="24"/>
        </w:rPr>
        <w:t xml:space="preserve">’.  Le Cat propôs uma ação externa ao corpo e que semelhante a um motor, esse ‘fluido universal’, em contato com a respiração chegaria aos nervos posteriormente estimulando os músculos.    </w:t>
      </w:r>
    </w:p>
    <w:p>
      <w:pPr>
        <w:pStyle w:val="Corpodotexto"/>
        <w:spacing w:lineRule="auto" w:line="360"/>
        <w:ind w:hanging="0"/>
        <w:rPr/>
      </w:pPr>
      <w:r>
        <w:rPr>
          <w:rFonts w:cs="Times New Roman" w:ascii="Times New Roman" w:hAnsi="Times New Roman"/>
          <w:bCs/>
          <w:sz w:val="24"/>
          <w:szCs w:val="24"/>
        </w:rPr>
        <w:tab/>
        <w:t xml:space="preserve">Se os estudos sobre a natureza dos nervos e músculos tiveram destaque, entre outros problemas, nas ciências orgânicas no século XVIII, dentro de um contexto em que as explicações científicas tendiam a buscar similaridade com a mecânica newtoniana em função do êxito dos trabalhos alcançados por Newton, não constitui novidade que surgissem modelos explicativos do sistema nervoso por meio de explicações puramente mecânicas. É nesse cenário que as chamadas ciências biomédicas se desenvolveram no início do século XIX. </w:t>
      </w:r>
    </w:p>
    <w:p>
      <w:pPr>
        <w:pStyle w:val="Corpodotexto"/>
        <w:spacing w:lineRule="auto" w:line="360"/>
        <w:ind w:hanging="0"/>
        <w:rPr>
          <w:rFonts w:ascii="Times New Roman" w:hAnsi="Times New Roman" w:cs="Times New Roman"/>
          <w:bCs/>
          <w:sz w:val="24"/>
          <w:szCs w:val="24"/>
        </w:rPr>
      </w:pPr>
      <w:r>
        <w:rPr>
          <w:rFonts w:cs="Times New Roman" w:ascii="Times New Roman" w:hAnsi="Times New Roman"/>
          <w:bCs/>
          <w:sz w:val="24"/>
          <w:szCs w:val="24"/>
        </w:rPr>
        <w:tab/>
      </w:r>
    </w:p>
    <w:p>
      <w:pPr>
        <w:pStyle w:val="Normal"/>
        <w:spacing w:lineRule="auto" w:line="360"/>
        <w:jc w:val="both"/>
        <w:rPr>
          <w:b/>
          <w:b/>
        </w:rPr>
      </w:pPr>
      <w:r>
        <w:rPr>
          <w:b/>
        </w:rPr>
        <w:t>As ciências biomédicas clássicas e os pressupostos da Anatomia comparada</w:t>
      </w:r>
    </w:p>
    <w:p>
      <w:pPr>
        <w:pStyle w:val="Normal"/>
        <w:spacing w:lineRule="auto" w:line="360"/>
        <w:jc w:val="both"/>
        <w:rPr>
          <w:b/>
          <w:b/>
        </w:rPr>
      </w:pPr>
      <w:r>
        <w:rPr>
          <w:b/>
        </w:rPr>
      </w:r>
    </w:p>
    <w:p>
      <w:pPr>
        <w:pStyle w:val="Normal"/>
        <w:spacing w:lineRule="auto" w:line="360"/>
        <w:ind w:firstLine="708"/>
        <w:jc w:val="both"/>
        <w:rPr/>
      </w:pPr>
      <w:r>
        <w:rPr/>
        <w:t xml:space="preserve">Quando fazemos referência às chamadas ciências biomédicas comumente pensamos nas disciplinas associadas à Medicina e Biologia com enfoque na pesquisa (de base ou aplicada). Pensamos comumente em Fisiologia, Anatomia, Biofísica, Imunologia, Histologia, Citologia, Patologia e outras, sendo que algumas são consideradas ramos do grande tronco das ciências biológicas (importante destacar que o processo de institucionalização da Biologia como disciplina científica ocorreu durante o século XIX). </w:t>
      </w:r>
    </w:p>
    <w:p>
      <w:pPr>
        <w:pStyle w:val="Normal"/>
        <w:spacing w:lineRule="auto" w:line="360"/>
        <w:ind w:firstLine="708"/>
        <w:jc w:val="both"/>
        <w:rPr/>
      </w:pPr>
      <w:r>
        <w:rPr/>
        <w:t>Situar essas disciplinas no início do século XIX constitui um problema, pois o processo de institucionalização dessas áreas somente ocorreu durante os séculos XIX e XX. Um exemplo desse contexto é o fato de nos dicionários científicos das primeiras décadas do século XIX o verbete Anatomia indicar uma dúzia de subdivisões para os estudos em Anatomia que incluíam quase todas as demais áreas acima citadas, sob diferentes designações. Sem receio de cometermos grandes equívocos, podemos dizer que no início do século XIX há duas grandes disciplinas na pesquisa no que se conhecerá posteriormente na composição com outras das ciências biomédicas, são os estudos em Anatomia e Fisiologia. Apresentarei como algumas pesquisas (Frenologia e Fisiognomonia serão destacadas aqui em função da apropriação dos conceitos nessas áreas que muitos literatos no século XIX fizeram e que examino em ensaios mais a frente) buscaram legitimidade a partir do confronto e associação com essas duas áreas científicas. Para tal devemos antes compreender alguns pressupostos de base que se estabeleceram, principalmente na Anatomia, e que serviram de referencial para essas outras áreas em conflito na busca de legitimidade.</w:t>
      </w:r>
    </w:p>
    <w:p>
      <w:pPr>
        <w:pStyle w:val="Normal"/>
        <w:spacing w:lineRule="auto" w:line="360"/>
        <w:ind w:firstLine="708"/>
        <w:jc w:val="both"/>
        <w:rPr/>
      </w:pPr>
      <w:r>
        <w:rPr/>
        <w:t xml:space="preserve">Buscando compreender como os conceitos são importados e transitam em diversos níveis discursivos (tema central dessa proposta), veremos como a Frenologia e a Fisiognomonia buscaram legitimidade a partir de pressupostos da Anatomia comparada desenvolvida, principalmente a partir dos trabalhos de Georges Cuvier (1769-1832) e como no final do século XIX conceitos como o de atavismo serviram de base para os estudos de criminologia. Esse mesmo modelo conceitual será utilizado na composição das personagens de horror (examino o caso do romance </w:t>
      </w:r>
      <w:r>
        <w:rPr>
          <w:i/>
        </w:rPr>
        <w:t>Drácula</w:t>
      </w:r>
      <w:r>
        <w:rPr/>
        <w:t xml:space="preserve"> de Bram Stoker em outro momento mais a frente).</w:t>
      </w:r>
    </w:p>
    <w:p>
      <w:pPr>
        <w:pStyle w:val="Normal"/>
        <w:spacing w:lineRule="auto" w:line="360"/>
        <w:ind w:firstLine="708"/>
        <w:jc w:val="both"/>
        <w:rPr/>
      </w:pPr>
      <w:r>
        <w:rPr/>
        <w:t>Georges Cuvier é comumente considerado um pesquisador de grande importância da Paleontologia moderna</w:t>
      </w:r>
      <w:r>
        <w:rPr>
          <w:rStyle w:val="Caracteresdenotaderodap"/>
          <w:rStyle w:val="Ncoradanotaderodap"/>
        </w:rPr>
        <w:footnoteReference w:id="70"/>
      </w:r>
      <w:r>
        <w:rPr/>
        <w:t>. Fez inúmeras contribuições ao estudo da Anatomia comparada e propôs o que Caponi</w:t>
      </w:r>
      <w:r>
        <w:rPr>
          <w:rStyle w:val="Caracteresdenotaderodap"/>
          <w:rStyle w:val="Ncoradanotaderodap"/>
        </w:rPr>
        <w:footnoteReference w:id="71"/>
      </w:r>
      <w:r>
        <w:rPr/>
        <w:t xml:space="preserve"> chamou de paradigma evolutivo pré-darwiniano. Desejo chamar a atenção para alguns aspectos dos princípios estabelecidos por Cuvier para a Anatomia comparada e que, mesmo após o advento do darwinismo, seguirá como pedra angular de propostas em áreas aplicadas, tal como a criminologia, operando internamente com o conceito de atavismo. Uma maneira econômica de destacarmos esses aspectos é nos dirigindo diretamente aos pressupostos da anatomia cuvieriana em comparação com as modificações que essas mesmas sofrerão a partir da obra de Darwin. </w:t>
      </w:r>
    </w:p>
    <w:p>
      <w:pPr>
        <w:pStyle w:val="Normal"/>
        <w:spacing w:lineRule="auto" w:line="360"/>
        <w:ind w:firstLine="708"/>
        <w:jc w:val="both"/>
        <w:rPr/>
      </w:pPr>
      <w:r>
        <w:rPr/>
        <w:t xml:space="preserve">A noção de fisiologia em Cuvier coincide, com certo exagero de minha parte, com a ideia de </w:t>
      </w:r>
      <w:r>
        <w:rPr>
          <w:i/>
        </w:rPr>
        <w:t>economia animal</w:t>
      </w:r>
      <w:r>
        <w:rPr/>
        <w:t>. A ideia de economia animal examinada por Caponi se refere a ordem intra-orgânica que pode ser designada como organização tão somente. A noção de função cuvieriana difere da ideia darwiniana associada à adaptação do organismo. O efeito total ou a contribuição global de um conjunto de órgãos ao funcionamento de um organismo constitui sua função. O papel que cada parte anatômica exerce no cumprimento dessa função configura a utilidade da mesma. Segundo Caponi, é nesse sentido que Cuvier afirmava que a anatomia comparada permitiria conhecer a função de um órgão e de cada uma de suas partes.</w:t>
      </w:r>
    </w:p>
    <w:p>
      <w:pPr>
        <w:pStyle w:val="Normal"/>
        <w:spacing w:lineRule="auto" w:line="360"/>
        <w:ind w:firstLine="708"/>
        <w:jc w:val="both"/>
        <w:rPr/>
      </w:pPr>
      <w:r>
        <w:rPr/>
        <w:t xml:space="preserve">O princípio das condições de existência foi formulado em 1817 na obra </w:t>
      </w:r>
      <w:r>
        <w:rPr>
          <w:i/>
        </w:rPr>
        <w:t>Le Règne Animal</w:t>
      </w:r>
      <w:r>
        <w:rPr/>
        <w:t>; constitui o pressuposto inaugural do programa cuvieriano e possui sentido interno, enquanto em Darwin o sentido será externo (adaptativo)</w:t>
      </w:r>
      <w:r>
        <w:rPr>
          <w:rStyle w:val="Caracteresdenotaderodap"/>
          <w:rStyle w:val="Ncoradanotaderodap"/>
        </w:rPr>
        <w:footnoteReference w:id="72"/>
      </w:r>
      <w:r>
        <w:rPr/>
        <w:t>. Cito a passagem em que Cuvier formula tal princípio.</w:t>
      </w:r>
    </w:p>
    <w:p>
      <w:pPr>
        <w:pStyle w:val="Normal"/>
        <w:spacing w:lineRule="auto" w:line="360"/>
        <w:ind w:firstLine="708"/>
        <w:jc w:val="both"/>
        <w:rPr/>
      </w:pPr>
      <w:r>
        <w:rPr/>
        <w:t xml:space="preserve"> </w:t>
      </w:r>
    </w:p>
    <w:p>
      <w:pPr>
        <w:pStyle w:val="Normal"/>
        <w:spacing w:lineRule="auto" w:line="360"/>
        <w:ind w:left="708" w:hanging="0"/>
        <w:jc w:val="both"/>
        <w:rPr/>
      </w:pPr>
      <w:r>
        <w:rPr>
          <w:i/>
        </w:rPr>
        <w:t>Como nada pode existir se não reúne as condições que tornam sua existência possível, as diferentes partes de cada ser devem estar coordenadas de maneira tal que possibilitem o ser total, não somente em si mesmo, sim também em relação aqueles seres que o circundam</w:t>
      </w:r>
      <w:r>
        <w:rPr>
          <w:rStyle w:val="Caracteresdenotaderodap"/>
          <w:rStyle w:val="Ncoradanotaderodap"/>
          <w:i/>
        </w:rPr>
        <w:footnoteReference w:id="73"/>
      </w:r>
      <w:r>
        <w:rPr>
          <w:i/>
        </w:rPr>
        <w:t xml:space="preserve">. </w:t>
      </w:r>
    </w:p>
    <w:p>
      <w:pPr>
        <w:pStyle w:val="Normal"/>
        <w:spacing w:lineRule="auto" w:line="360"/>
        <w:ind w:firstLine="708"/>
        <w:jc w:val="both"/>
        <w:rPr>
          <w:i/>
          <w:i/>
        </w:rPr>
      </w:pPr>
      <w:r>
        <w:rPr>
          <w:i/>
        </w:rPr>
      </w:r>
    </w:p>
    <w:p>
      <w:pPr>
        <w:pStyle w:val="Normal"/>
        <w:spacing w:lineRule="auto" w:line="360"/>
        <w:ind w:firstLine="708"/>
        <w:jc w:val="both"/>
        <w:rPr/>
      </w:pPr>
      <w:r>
        <w:rPr/>
        <w:t>A referência aos “seres que o circundam” pode indicar um enfraquecimento à tese de Caponi de um Cuvier fisiologista, porém, é importante destacar o que Cuvier entendia por “condições de existência”. A verdadeira condição de existência em Cuvier indica que as partes do organismo trabalhem juntas para o bem do todo</w:t>
      </w:r>
      <w:r>
        <w:rPr>
          <w:rStyle w:val="Caracteresdenotaderodap"/>
          <w:rStyle w:val="Ncoradanotaderodap"/>
        </w:rPr>
        <w:footnoteReference w:id="74"/>
      </w:r>
      <w:r>
        <w:rPr/>
        <w:t xml:space="preserve">. Em Cuvier, esse princípio possui forte carga teleológica, onde as partes de um organismo concorrem coordenadamente para um fim em comum. No programa darwiniano, esse princípio será ressignificado como a mais elevada lei que coordena o processo evolutivo. Para Cuvier, a inserção dos organismos no entorno físico (abiótico) é consequência de sua organização corporal, não a causa. Segundo Faria, quando nos referimos ao entorno na obra de Cuvier estamos nos referindo à temperatura, luz, alimentos etc. A suposta recusa aos aspectos fisiológicos na obra de Cuvier também não se sustenta. </w:t>
      </w:r>
    </w:p>
    <w:p>
      <w:pPr>
        <w:pStyle w:val="Normal"/>
        <w:spacing w:lineRule="auto" w:line="360"/>
        <w:ind w:firstLine="708"/>
        <w:jc w:val="both"/>
        <w:rPr/>
      </w:pPr>
      <w:r>
        <w:rPr/>
        <w:t>A partir do princípio das condições de existência derivam dois corolários, a saber: (1) Princípio da correlação entre as partes</w:t>
      </w:r>
      <w:r>
        <w:rPr>
          <w:rStyle w:val="Caracteresdenotaderodap"/>
          <w:rStyle w:val="Ncoradanotaderodap"/>
        </w:rPr>
        <w:footnoteReference w:id="75"/>
      </w:r>
      <w:r>
        <w:rPr/>
        <w:t xml:space="preserve"> e (2) subordinação dos caracteres. É possível identificar o segundo como derivado do princípio das condições de existência. O primeiro princípio enuncia que ocorrendo alterações em uma parte (estrutura orgânica) do ser vivo, implica necessariamente, na alteração de uma ou de várias partes do mesmo organismo, garantindo a harmonia funcional do organismo inteiro (sua condição de existência). O princípio da subordinação dos caracteres, que enuncia a existência de uma hierarquia na organização dos caracteres baseada na importância de suas funções</w:t>
      </w:r>
      <w:r>
        <w:rPr>
          <w:rStyle w:val="Caracteresdenotaderodap"/>
          <w:rStyle w:val="Ncoradanotaderodap"/>
        </w:rPr>
        <w:footnoteReference w:id="76"/>
      </w:r>
      <w:r>
        <w:rPr/>
        <w:t xml:space="preserve"> e na maneira como se implicam na organização do animal.        </w:t>
      </w:r>
    </w:p>
    <w:p>
      <w:pPr>
        <w:pStyle w:val="Normal"/>
        <w:spacing w:lineRule="auto" w:line="360"/>
        <w:jc w:val="both"/>
        <w:rPr/>
      </w:pPr>
      <w:r>
        <w:rPr/>
      </w:r>
    </w:p>
    <w:p>
      <w:pPr>
        <w:pStyle w:val="Normal"/>
        <w:spacing w:lineRule="auto" w:line="360"/>
        <w:jc w:val="both"/>
        <w:rPr>
          <w:b/>
          <w:b/>
        </w:rPr>
      </w:pPr>
      <w:r>
        <w:rPr>
          <w:b/>
        </w:rPr>
        <w:t>Fisiognomia e Frenologia</w:t>
      </w:r>
    </w:p>
    <w:p>
      <w:pPr>
        <w:pStyle w:val="Normal"/>
        <w:spacing w:lineRule="auto" w:line="360"/>
        <w:jc w:val="both"/>
        <w:rPr/>
      </w:pPr>
      <w:r>
        <w:rPr/>
        <w:t xml:space="preserve">              </w:t>
      </w:r>
    </w:p>
    <w:p>
      <w:pPr>
        <w:pStyle w:val="Normal"/>
        <w:tabs>
          <w:tab w:val="clear" w:pos="708"/>
          <w:tab w:val="left" w:pos="720" w:leader="none"/>
        </w:tabs>
        <w:spacing w:lineRule="auto" w:line="360"/>
        <w:jc w:val="both"/>
        <w:rPr/>
      </w:pPr>
      <w:r>
        <w:rPr>
          <w:b/>
        </w:rPr>
        <w:t xml:space="preserve">      </w:t>
      </w:r>
      <w:r>
        <w:rPr>
          <w:b/>
        </w:rPr>
        <w:tab/>
      </w:r>
      <w:r>
        <w:rPr/>
        <w:t>O termo fisiognomia significa etimologicamente o conhecimento da natureza em geral. É utilizada frequentemente para designar estudos sobre a configuração corporal, e de forma específica, a expressão do rosto associado a características de personalidade. Em outro sentido é usado para implicar um conhecimento dos sinais exteriores que proclamam qualidades internas. Na contemporaneidade a Fisiognomia não é reconhecida como uma disciplina científica, sendo muitas vezes associada a áreas místicas ou pseudociência (interessa-nos aqui a tentativa no início do século XIX dessa área e da Frenologia de ocupar um lugar nos centros científicos na Europa e América). Spurzheim</w:t>
      </w:r>
      <w:r>
        <w:rPr>
          <w:rStyle w:val="Caracteresdenotaderodap"/>
          <w:rStyle w:val="Ncoradanotaderodap"/>
        </w:rPr>
        <w:footnoteReference w:id="77"/>
      </w:r>
      <w:r>
        <w:rPr/>
        <w:t xml:space="preserve"> examinou as relações entre frenologia e fisiogonomia partindo desse último conceito</w:t>
      </w:r>
      <w:r>
        <w:rPr>
          <w:rStyle w:val="Caracteresdenotaderodap"/>
          <w:rStyle w:val="Ncoradanotaderodap"/>
        </w:rPr>
        <w:footnoteReference w:id="78"/>
      </w:r>
      <w:r>
        <w:rPr/>
        <w:t xml:space="preserve">.    </w:t>
      </w:r>
    </w:p>
    <w:p>
      <w:pPr>
        <w:pStyle w:val="Normal"/>
        <w:spacing w:lineRule="auto" w:line="360"/>
        <w:jc w:val="both"/>
        <w:rPr/>
      </w:pPr>
      <w:r>
        <w:rPr/>
        <w:tab/>
        <w:t>Spurzheim defendeu uma abrangência sobre o estudo da natureza oferecido pela fisiognomia que não se restringisse ao humano. A natureza inteira pode ser compreendida pela fisiognomia, afirmou ele. Ele fez alusão a uma fisiognomia dos céus de algumas formas e caracteres de nuvens que permitem prever eventos climáticos. A botânica, diz Spurzheim, se mostra um ramo importante na determinação do estado saudável ou doente da planta pela observação de signos externos. Cito Spurzheim:</w:t>
      </w:r>
    </w:p>
    <w:p>
      <w:pPr>
        <w:pStyle w:val="Normal"/>
        <w:spacing w:lineRule="auto" w:line="360"/>
        <w:jc w:val="both"/>
        <w:rPr/>
      </w:pPr>
      <w:r>
        <w:rPr/>
      </w:r>
    </w:p>
    <w:p>
      <w:pPr>
        <w:pStyle w:val="Normal"/>
        <w:tabs>
          <w:tab w:val="clear" w:pos="708"/>
          <w:tab w:val="left" w:pos="720" w:leader="none"/>
        </w:tabs>
        <w:spacing w:lineRule="auto" w:line="360"/>
        <w:ind w:left="540" w:hanging="0"/>
        <w:jc w:val="both"/>
        <w:rPr/>
      </w:pPr>
      <w:r>
        <w:rPr>
          <w:i/>
        </w:rPr>
        <w:t>[O jardineiro] guiado por sua aparência, escolhemos rejeitar ou não as maças do pomar, laranjas e outras frutas. Frequentemente dizemos: esta pêra ou laranja tem um bom aspecto e parece estar boa. (...) as qualidades dos animais, além disso, são exibidas em sua fisionomia. Celeridade é visível na configuração do roedor; lentidão no urso; inocência no rosto do cordeiro; e atividade geral nos movimentos rápidos dos olhos do macaco</w:t>
      </w:r>
      <w:r>
        <w:rPr>
          <w:rStyle w:val="Caracteresdenotaderodap"/>
          <w:rStyle w:val="Ncoradanotaderodap"/>
          <w:i/>
        </w:rPr>
        <w:footnoteReference w:id="79"/>
      </w:r>
      <w:r>
        <w:rPr>
          <w:i/>
        </w:rPr>
        <w:t>.</w:t>
      </w:r>
      <w:r>
        <w:rPr/>
        <w:t xml:space="preserve">   </w:t>
      </w:r>
    </w:p>
    <w:p>
      <w:pPr>
        <w:pStyle w:val="Normal"/>
        <w:spacing w:lineRule="auto" w:line="360"/>
        <w:jc w:val="both"/>
        <w:rPr/>
      </w:pPr>
      <w:r>
        <w:rPr/>
        <w:tab/>
        <w:t xml:space="preserve">           </w:t>
      </w:r>
    </w:p>
    <w:p>
      <w:pPr>
        <w:pStyle w:val="Normal"/>
        <w:tabs>
          <w:tab w:val="clear" w:pos="708"/>
          <w:tab w:val="left" w:pos="720" w:leader="none"/>
        </w:tabs>
        <w:spacing w:lineRule="auto" w:line="360"/>
        <w:jc w:val="both"/>
        <w:rPr/>
      </w:pPr>
      <w:r>
        <w:rPr/>
        <w:tab/>
        <w:t>Spurzheim recorreu a exemplos da história para reforçar suas teses em acordo com resultados experimentais. Como derivação da verdade afirmada na citação acima, atribuiu objetividade também a compreensão de características afetivas e intelectuais no homem a partir de signos fisionômicos</w:t>
      </w:r>
      <w:r>
        <w:rPr>
          <w:rStyle w:val="Caracteresdenotaderodap"/>
          <w:rStyle w:val="Ncoradanotaderodap"/>
        </w:rPr>
        <w:footnoteReference w:id="80"/>
      </w:r>
      <w:r>
        <w:rPr/>
        <w:t>. Cita Marcos Aurélio, para quem, “um homem, cheio de sinceridade e probidade, espalha-se em torno dele um perfume de uma natureza característica, a sua alma e caráter são vistos em seu rosto e nos olhos”. Em sua tentativa de sustentar a fisiognomia entre as ciências de então, recorre ao juízo de Francis Bacon que, afirma Spurzheim, classificou a fisiognomia entre as ciências, observando que a mesma se fundamenta na observação e, portanto, deveria ser cultivada como um ramo da história natural. Spurzheim demonstrou certo estranhamento que a fisiognomia, baseada em observações isoladas, ainda não tenha sido organizada sob princípios ou leis</w:t>
      </w:r>
      <w:r>
        <w:rPr>
          <w:rStyle w:val="Caracteresdenotaderodap"/>
          <w:rStyle w:val="Ncoradanotaderodap"/>
        </w:rPr>
        <w:footnoteReference w:id="81"/>
      </w:r>
      <w:r>
        <w:rPr/>
        <w:t xml:space="preserve">.  </w:t>
      </w:r>
    </w:p>
    <w:p>
      <w:pPr>
        <w:pStyle w:val="Normal"/>
        <w:spacing w:lineRule="auto" w:line="360"/>
        <w:jc w:val="both"/>
        <w:rPr/>
      </w:pPr>
      <w:r>
        <w:rPr/>
        <w:tab/>
        <w:t xml:space="preserve">A questão central para Spurzheim era sobre a possibilidade, por meio da observação e indução, de se determinar sinais fisiognômicos no que se refere à atividade exclusiva da mente. Anterior a essa questão se colocava o problema da determinação, como protocolo de pesquisa, da maneira como se deve configurar o estudo dos sinais fisiognômicos das faculdades afetivas e intelectuais do homem.   </w:t>
      </w:r>
    </w:p>
    <w:p>
      <w:pPr>
        <w:pStyle w:val="Normal"/>
        <w:spacing w:lineRule="auto" w:line="360"/>
        <w:jc w:val="both"/>
        <w:rPr/>
      </w:pPr>
      <w:r>
        <w:rPr/>
        <w:tab/>
        <w:t xml:space="preserve">Duas hipóteses foram consideradas por Spurzheim para a constituição de seu programa de pesquisa. Os sinais deveriam ser procurados no tamanho e configuração das partes duras ou nos movimentos das partes macias e flexíveis. Esta distinção entre sinais dependentes da configuração e constituição orgânica e aqueles que emanam de gestos e movimentos foi essencial para o estabelecimento das tais leis fisiognômicas.      </w:t>
      </w:r>
    </w:p>
    <w:p>
      <w:pPr>
        <w:pStyle w:val="Normal"/>
        <w:spacing w:lineRule="auto" w:line="360"/>
        <w:jc w:val="both"/>
        <w:rPr/>
      </w:pPr>
      <w:r>
        <w:rPr/>
        <w:tab/>
        <w:t xml:space="preserve">Sinais do primeiro tipo configurariam disposições inatas e capacidades de ação. Constituindo assim, segundo Spurzheim, o estudo da fisiognomia stricto sensu. Os sinais do segundo tipo são caracterizados como sendo a linguagem natural (Spurzheim se refere a esse tipo de sinal como sendo próprio do campo da </w:t>
      </w:r>
      <w:r>
        <w:rPr>
          <w:i/>
        </w:rPr>
        <w:t>pathognomy</w:t>
      </w:r>
      <w:r>
        <w:rPr>
          <w:rStyle w:val="Caracteresdenotaderodap"/>
          <w:rStyle w:val="Ncoradanotaderodap"/>
          <w:i/>
        </w:rPr>
        <w:footnoteReference w:id="82"/>
      </w:r>
      <w:r>
        <w:rPr/>
        <w:t>). Embora em fisiognomia se busquem sinais ao longo de todo o corpo, há estudos que se preocupavam com regiões do corpo particulares.</w:t>
      </w:r>
    </w:p>
    <w:p>
      <w:pPr>
        <w:pStyle w:val="Normal"/>
        <w:tabs>
          <w:tab w:val="clear" w:pos="708"/>
          <w:tab w:val="left" w:pos="540" w:leader="none"/>
          <w:tab w:val="left" w:pos="720" w:leader="none"/>
        </w:tabs>
        <w:spacing w:lineRule="auto" w:line="360"/>
        <w:jc w:val="both"/>
        <w:rPr/>
      </w:pPr>
      <w:r>
        <w:rPr/>
      </w:r>
    </w:p>
    <w:p>
      <w:pPr>
        <w:pStyle w:val="Normal"/>
        <w:spacing w:lineRule="auto" w:line="360"/>
        <w:ind w:left="540" w:hanging="0"/>
        <w:jc w:val="both"/>
        <w:rPr/>
      </w:pPr>
      <w:r>
        <w:rPr>
          <w:i/>
        </w:rPr>
        <w:t>Lavater concebeu a possibilidade de descobrir sinais fisiognômicos dos potenciais afetivos e intelectuais em todo o corpo. Ele declarava positivamente que a mesma força acumula-se em cada parte; que tal olho supõe tal testa e tal barba, em resumo, que cada parte isolada indica a configuração do conjunto, como por exemplo, que todas as partes são ovais se a cabeça apresenta tal forma. Daí que o homem é uma unidade, e que o seu tamanho, forma, cor, cabelo, nariz, boca, pele, ouvidos, mãos, pés, ossos, músculos, artérias, veias, nervoso, voz, afetos, paixões etc são todos dados em harmonia entre si</w:t>
      </w:r>
      <w:r>
        <w:rPr>
          <w:rStyle w:val="Caracteresdenotaderodap"/>
          <w:rStyle w:val="Ncoradanotaderodap"/>
          <w:i/>
        </w:rPr>
        <w:footnoteReference w:id="83"/>
      </w:r>
      <w:r>
        <w:rPr>
          <w:i/>
        </w:rPr>
        <w:t>.</w:t>
      </w:r>
      <w:r>
        <w:rPr/>
        <w:t xml:space="preserve">             </w:t>
      </w:r>
    </w:p>
    <w:p>
      <w:pPr>
        <w:pStyle w:val="Normal"/>
        <w:spacing w:lineRule="auto" w:line="360"/>
        <w:jc w:val="both"/>
        <w:rPr/>
      </w:pPr>
      <w:r>
        <w:rPr/>
      </w:r>
    </w:p>
    <w:p>
      <w:pPr>
        <w:pStyle w:val="Normal"/>
        <w:tabs>
          <w:tab w:val="clear" w:pos="708"/>
          <w:tab w:val="left" w:pos="720" w:leader="none"/>
        </w:tabs>
        <w:spacing w:lineRule="auto" w:line="360"/>
        <w:jc w:val="both"/>
        <w:rPr/>
      </w:pPr>
      <w:r>
        <w:rPr/>
        <w:tab/>
        <w:t>Na passagem acima podemos ver a clara correspondência com o princípio da correlação das partes de Cuvier. O que Lavater fez foi expandir tal princípio para comportamentos, afetos, paixões etc. Nesse registro e diante do objetivo de nossa proposta de abordagem do uso dos conceitos na ciência e fora dela, podemos dizer seguramente que o princípio de correlação das partes utilizado por Lavater não se identifica com o formulado por Cuvier. Spurzheim afirma ainda que, ocasionalmente, se observam semelhanças entre o nariz, boca ou alguma outra parte em diferentes pessoas, enquanto que, as outras partes destas pessoas sejam completamente diferentes. Como cada parte possui uma função específica e como cada parte indica disposições especiais, diz Spurzheim, é impossível encontrar em qualquer parte um sinal fisiognômico das funções desempenhadas por qualquer outra parte. Na aproximação da fisiognomia com a frenologia, Spurzheim manifesta uma visão da relação forma e função intrínsecas. Os resultados fisiognômicos apresentariam, dessa forma, o princípio de que cada parte possui uma função específica. Vejamos como Spurzheim concebe o discurso frenológico em associação com os estudos fisiognômicos:</w:t>
      </w:r>
    </w:p>
    <w:p>
      <w:pPr>
        <w:pStyle w:val="Normal"/>
        <w:tabs>
          <w:tab w:val="clear" w:pos="708"/>
          <w:tab w:val="left" w:pos="540" w:leader="none"/>
          <w:tab w:val="left" w:pos="720" w:leader="none"/>
        </w:tabs>
        <w:spacing w:lineRule="auto" w:line="360"/>
        <w:jc w:val="both"/>
        <w:rPr/>
      </w:pPr>
      <w:r>
        <w:rPr/>
      </w:r>
    </w:p>
    <w:p>
      <w:pPr>
        <w:pStyle w:val="Normal"/>
        <w:spacing w:lineRule="auto" w:line="360"/>
        <w:ind w:left="540" w:hanging="0"/>
        <w:jc w:val="both"/>
        <w:rPr/>
      </w:pPr>
      <w:r>
        <w:rPr>
          <w:i/>
        </w:rPr>
        <w:t>Inúmeras observações provaram que as faculdades afetivas e intelectuais, como disposições inatas, são manifestadas por várias partes do cérebro. Assim, os sinais fisiognômicos dessas faculdades devem ser procurados no tamanho e na constituição orgânica das partes cerebrais. Vários fisiognomistas, particularmente Lavater, apontaram alguns sinais gerais deste tipo na configuração de toda a cabeça e na testa, mas é necessário fazer mais do que isso, para determinar individualmente as partes apropriadas aos sinais das faculdades especiais, e também das diversas combinações das mesmas, que constituem características determinadas</w:t>
      </w:r>
      <w:r>
        <w:rPr>
          <w:rStyle w:val="Caracteresdenotaderodap"/>
          <w:rStyle w:val="Ncoradanotaderodap"/>
          <w:i/>
        </w:rPr>
        <w:footnoteReference w:id="84"/>
      </w:r>
      <w:r>
        <w:rPr>
          <w:i/>
        </w:rPr>
        <w:t>.</w:t>
      </w:r>
      <w:r>
        <w:rPr/>
        <w:t xml:space="preserve">       </w:t>
      </w:r>
    </w:p>
    <w:p>
      <w:pPr>
        <w:pStyle w:val="Normal"/>
        <w:spacing w:lineRule="auto" w:line="360"/>
        <w:jc w:val="both"/>
        <w:rPr/>
      </w:pPr>
      <w:r>
        <w:rPr/>
      </w:r>
    </w:p>
    <w:p>
      <w:pPr>
        <w:pStyle w:val="Normal"/>
        <w:spacing w:lineRule="auto" w:line="360"/>
        <w:jc w:val="both"/>
        <w:rPr/>
      </w:pPr>
      <w:r>
        <w:rPr/>
        <w:tab/>
        <w:t>A entrada em cena da frenologia, ou melhor, a associação do discurso fisiognômico ao discurso frenológico obtém como pano de fundo a relação que estabelece a configuração corporal e a constituição orgânica características de diferentes indivíduos em função direta da organização cerebral.</w:t>
      </w:r>
    </w:p>
    <w:p>
      <w:pPr>
        <w:pStyle w:val="Normal"/>
        <w:spacing w:lineRule="auto" w:line="360"/>
        <w:jc w:val="both"/>
        <w:rPr/>
      </w:pPr>
      <w:r>
        <w:rPr/>
        <w:tab/>
        <w:t xml:space="preserve">Os sinais fisiognômicos do corpo examinados com maior frequência por Spurzheim são de dois tipos: os que se relacionam com o tamanho e configuração do corpo e os que se referem a sua constituição íntima. A influência do corpo sobre suas funções e dos sinais externos que indicam a facilidade de atuação são geralmente reconhecidos. Spurzheim faz referência em seus resultados observacionais a casos como, pernas curtas e grossas serem sinais de força, enquanto que, membros longos e delgados indicariam celeridade. Spurzheim nega uma relação quase sempre presente nos manuais de fisiognomia de meados do final do século XVIII que estabelece a relação entre o tamanho e forma do corpo e os sentimentos. Segundo ele, as qualidades do corpo em geral não indicam nenhuma das disposições afetivas e intelectuais da pessoa. Outro ponto importante a se destacar na teoria spurzheimiana é quanto aos limites da fisiognomia em sua relação com a frenologia. A consideração em detalhes da influência da constituição orgânica do corpo pertence à fisiologia, retirando uma exigência que muitas vezes os críticos da frenologia a imputavam. </w:t>
      </w:r>
    </w:p>
    <w:p>
      <w:pPr>
        <w:pStyle w:val="Normal"/>
        <w:spacing w:lineRule="auto" w:line="360"/>
        <w:jc w:val="both"/>
        <w:rPr/>
      </w:pPr>
      <w:r>
        <w:rPr/>
        <w:tab/>
        <w:t xml:space="preserve">É com o conceito de </w:t>
      </w:r>
      <w:r>
        <w:rPr>
          <w:i/>
        </w:rPr>
        <w:t>temperamento</w:t>
      </w:r>
      <w:r>
        <w:rPr/>
        <w:t xml:space="preserve"> que vemos o quão holístico é a frenologia de Spurzheim. O </w:t>
      </w:r>
      <w:r>
        <w:rPr>
          <w:i/>
        </w:rPr>
        <w:t>temperamento</w:t>
      </w:r>
      <w:r>
        <w:rPr/>
        <w:t xml:space="preserve"> é um conceito que faz referência a mistura dos elementos constitutivos do corpo. As funções que contribuem para a nutrição, por exemplo, do estômago, fígado, intestino, pulmões, coração, quando se encontram em estado saudável ou doente modificam toda a organização e influenciam a energia com as quais as partes individuais atuam. É como se essa força (poder vital) estivesse concentrada em um único sistema, em detrimento dos outros. </w:t>
      </w:r>
    </w:p>
    <w:p>
      <w:pPr>
        <w:pStyle w:val="Normal"/>
        <w:spacing w:lineRule="auto" w:line="360"/>
        <w:jc w:val="both"/>
        <w:rPr/>
      </w:pPr>
      <w:r>
        <w:rPr/>
        <w:tab/>
        <w:t>A constituição muscular é frequentemente dotada de pouca sensibilidade nervosa e, no entanto, grande atividade cerebral parece frequentemente se verificar no desenvolvimento muscular. A importância do conhecimento da constituição ou temperamento peculiar dos indivíduos, do ponto de vista fisiológico, não se dá como causa de determinadas faculdades, mas como influência na energia com que funções especiais de distintos órgãos se manifestam. Na ordem do que Spurzheim chamou poderes mentais (</w:t>
      </w:r>
      <w:r>
        <w:rPr>
          <w:i/>
        </w:rPr>
        <w:t>mental powers</w:t>
      </w:r>
      <w:r>
        <w:rPr/>
        <w:t>) se diferenciam quatro formas de temperamento, a saber: (1) a constituição linfática</w:t>
      </w:r>
      <w:r>
        <w:rPr>
          <w:rStyle w:val="Caracteresdenotaderodap"/>
          <w:rStyle w:val="Ncoradanotaderodap"/>
        </w:rPr>
        <w:footnoteReference w:id="85"/>
      </w:r>
      <w:r>
        <w:rPr/>
        <w:t xml:space="preserve"> ou temperamento fleumático, em que se identifica pela pele branca pálida, cabelos louros e circularidade da forma. As ações vitais são lânguidas e o pulso é fraco, indicando lentidão nas funções vegetativas, afetivas e intelectuais; (2) o temperamento sanguíneo se dá por uma consistência tolerável de carne, partes gordas moderadas, cabelo castanho, olhos azuis, grande atividade do sistema arterial e semblante animado. Pessoas assim constituídas são facilmente afetadas por impressões externas; (3) o temperamento bilioso caracteriza-se pelos cabelos negros, pele escura, amarelada ou marrom, olhos negros, moderadamente gordos, mas os músculos firmes e as formas duramente expressas. Pessoas dotadas desta constituição tem uma expressão muito marcada e decidida do rosto; (4) o temperamento nervoso apresenta sinais externos tais como, cabelos muito finos, saúde delicada, emagrecimento geral, músculos pequenos, rapidez nas ações musculares e vivacidade nas sensações.          </w:t>
      </w:r>
    </w:p>
    <w:p>
      <w:pPr>
        <w:pStyle w:val="Normal"/>
        <w:spacing w:lineRule="auto" w:line="360"/>
        <w:jc w:val="both"/>
        <w:rPr/>
      </w:pPr>
      <w:r>
        <w:rPr/>
        <w:tab/>
        <w:t xml:space="preserve">Os quatro temperamentos, diz Spurzheim, raramente são observados de maneira isolada e não misturados entre si, o que dificulta encontrá-los sem modificações devido a essas interações. Geralmente são observados unidos em pares (linfático-sanguíneo; linfático-bilioso; sanguíneo-bilioso etc). </w:t>
      </w:r>
    </w:p>
    <w:p>
      <w:pPr>
        <w:pStyle w:val="Normal"/>
        <w:spacing w:lineRule="auto" w:line="360"/>
        <w:jc w:val="both"/>
        <w:rPr/>
      </w:pPr>
      <w:r>
        <w:rPr/>
        <w:tab/>
        <w:t xml:space="preserve">Após um exaustivo exame dos tipos de face e do que se pode objetivamente derivar deles, Spurzheim buscou estabelecer relações entre a face e o crânio. Inicialmente, destacou a confusão comumente feita entre o tamanho do cérebro e do rosto. Spurzheim menciona dois exemplos conhecidos à época dessa confusão, são eles, Voltaire e Kant, que segundo o autor, tinham cérebros grandes, mas faces pequenas. </w:t>
      </w:r>
    </w:p>
    <w:p>
      <w:pPr>
        <w:pStyle w:val="Normal"/>
        <w:tabs>
          <w:tab w:val="clear" w:pos="708"/>
          <w:tab w:val="left" w:pos="540" w:leader="none"/>
          <w:tab w:val="left" w:pos="720" w:leader="none"/>
        </w:tabs>
        <w:spacing w:lineRule="auto" w:line="360"/>
        <w:jc w:val="both"/>
        <w:rPr/>
      </w:pPr>
      <w:r>
        <w:rPr/>
      </w:r>
    </w:p>
    <w:p>
      <w:pPr>
        <w:pStyle w:val="Normal"/>
        <w:spacing w:lineRule="auto" w:line="360"/>
        <w:ind w:left="540" w:hanging="0"/>
        <w:jc w:val="both"/>
        <w:rPr/>
      </w:pPr>
      <w:r>
        <w:rPr>
          <w:i/>
        </w:rPr>
        <w:t>O rosto do saxão é geralmente maior do que do fenício, a inteligência, no entanto, não é menos visível no saxão do que é na raça fenícia</w:t>
      </w:r>
      <w:r>
        <w:rPr>
          <w:rStyle w:val="Caracteresdenotaderodap"/>
          <w:rStyle w:val="Ncoradanotaderodap"/>
          <w:i/>
        </w:rPr>
        <w:footnoteReference w:id="86"/>
      </w:r>
      <w:r>
        <w:rPr>
          <w:i/>
        </w:rPr>
        <w:t>.</w:t>
      </w:r>
      <w:r>
        <w:rPr/>
        <w:t xml:space="preserve">                          </w:t>
      </w:r>
    </w:p>
    <w:p>
      <w:pPr>
        <w:pStyle w:val="Normal"/>
        <w:spacing w:lineRule="auto" w:line="360"/>
        <w:jc w:val="both"/>
        <w:rPr/>
      </w:pPr>
      <w:r>
        <w:rPr/>
      </w:r>
    </w:p>
    <w:p>
      <w:pPr>
        <w:pStyle w:val="Normal"/>
        <w:spacing w:lineRule="auto" w:line="360"/>
        <w:jc w:val="both"/>
        <w:rPr/>
      </w:pPr>
      <w:r>
        <w:rPr/>
        <w:tab/>
        <w:t xml:space="preserve">A face era comumente associada com o cérebro, e o talento ou inteligência estimado por meio do que se chamava nas primeiras décadas do século XIX de medida do </w:t>
      </w:r>
      <w:r>
        <w:rPr>
          <w:i/>
        </w:rPr>
        <w:t>ângulo facial de Camper</w:t>
      </w:r>
      <w:r>
        <w:rPr>
          <w:rStyle w:val="Caracteresdenotaderodap"/>
          <w:rStyle w:val="Ncoradanotaderodap"/>
          <w:i/>
        </w:rPr>
        <w:footnoteReference w:id="87"/>
      </w:r>
      <w:r>
        <w:rPr/>
        <w:t xml:space="preserve">. Spurzheim discordou completamente desse método. Parte da discordância está na maneira como Spurzheim concebe a frenologia, que pressupõe o uso do termo cabeça (interno aos métodos de medição cranial) no discurso eminentemente frenológico tomado como sinônimo de cérebro, e que os julgamentos frenológicos em relação à disposição inata da mente e de suas manifestações sejam sempre fundadas sobre o tamanho e a constituição do cérebro e de suas partes. </w:t>
      </w:r>
    </w:p>
    <w:p>
      <w:pPr>
        <w:pStyle w:val="Normal"/>
        <w:spacing w:lineRule="auto" w:line="360"/>
        <w:jc w:val="both"/>
        <w:rPr/>
      </w:pPr>
      <w:r>
        <w:rPr/>
        <w:tab/>
        <w:t>A frenologia professada por Spurzheim mantinha certamente os pressupostos que a historiografia consagrou como o pensamento localizacionista clássico, para quem a correlação funcional com partes do cérebro serve de ponto de partida para os estudos aplicados, seja em anatomia, fisiologia, antropologia etc. Em um artigo sobre a natureza da evidência de que as funções de diferentes partes do cérebro podem ser estabelecidas, outro expoente do pensamento frenológico, George Combe</w:t>
      </w:r>
      <w:r>
        <w:rPr>
          <w:rStyle w:val="Caracteresdenotaderodap"/>
          <w:rStyle w:val="Ncoradanotaderodap"/>
        </w:rPr>
        <w:footnoteReference w:id="88"/>
      </w:r>
      <w:r>
        <w:rPr/>
        <w:t xml:space="preserve"> iniciou seu ensaio destacando o fato da resistência à frenologia, principalmente por parte de fisiologistas consagrados como François Magendie (1783-1855) e Jean Pierre Flourens (1794-1867). Cito Combe sobre o estabelecimento da ciência fisiológica:</w:t>
      </w:r>
    </w:p>
    <w:p>
      <w:pPr>
        <w:pStyle w:val="Normal"/>
        <w:tabs>
          <w:tab w:val="clear" w:pos="708"/>
          <w:tab w:val="left" w:pos="540" w:leader="none"/>
        </w:tabs>
        <w:spacing w:lineRule="auto" w:line="360"/>
        <w:jc w:val="both"/>
        <w:rPr/>
      </w:pPr>
      <w:r>
        <w:rPr/>
      </w:r>
    </w:p>
    <w:p>
      <w:pPr>
        <w:pStyle w:val="Normal"/>
        <w:spacing w:lineRule="auto" w:line="360"/>
        <w:ind w:left="540" w:hanging="0"/>
        <w:jc w:val="both"/>
        <w:rPr/>
      </w:pPr>
      <w:r>
        <w:rPr>
          <w:i/>
        </w:rPr>
        <w:t>A prática estabelecida pelos fisiologistas é para cortar nervos diferentes ou porções diferentes do cérebro em animais vivos e observar os resultados. Os experimentos são feitos primeiramente e depois anunciados por um pesquisador, tal como Flourens, Magendie ou Sir Charles Bell; esses experimentos são então repetidos por vários investigadores, e se todos obtiverem os mesmos resultados os fatos serão geralmente aceitos como ciência fisiológica estabelecida. (...) quando Bell corta a raiz de um nervo motor e observa que o poder do movimento foi perdido nos músculos em que foram ramificados, e quando ele corta a raiz de um nervo e observa que a sensação foi perdida, a evidência das funções deste nervo está completa. Mas quatro condições são necessárias para o sucesso deste método de investigação: (1) A parte destruída deve ser um órgão distinto com uma função específica; (2) A parte ferida deve ser tal que possa ser cortada sem necessariamente envolver a desordem das funções de uma variedade de outras partes; (3) As funções do órgão para o qual os nervos cortados são distribuídos devem ser conhecidas; (4) Após a operação, o estado destas funções deve estar completamente dentro do alcance da observação</w:t>
      </w:r>
      <w:r>
        <w:rPr>
          <w:rStyle w:val="Caracteresdenotaderodap"/>
          <w:rStyle w:val="Ncoradanotaderodap"/>
          <w:i/>
        </w:rPr>
        <w:footnoteReference w:id="89"/>
      </w:r>
      <w:r>
        <w:rPr>
          <w:i/>
        </w:rPr>
        <w:t>.</w:t>
      </w:r>
      <w:r>
        <w:rPr/>
        <w:t xml:space="preserve">       </w:t>
      </w:r>
    </w:p>
    <w:p>
      <w:pPr>
        <w:pStyle w:val="Normal"/>
        <w:spacing w:lineRule="auto" w:line="360"/>
        <w:ind w:left="540" w:hanging="0"/>
        <w:jc w:val="both"/>
        <w:rPr/>
      </w:pPr>
      <w:r>
        <w:rPr/>
      </w:r>
    </w:p>
    <w:p>
      <w:pPr>
        <w:pStyle w:val="Normal"/>
        <w:spacing w:lineRule="auto" w:line="360"/>
        <w:ind w:firstLine="708"/>
        <w:jc w:val="both"/>
        <w:rPr/>
      </w:pPr>
      <w:r>
        <w:rPr/>
        <w:t xml:space="preserve">Sobre os estudos de Flourens de retirada do cerebelo e partes dos hemisférios cerebrais de animais vivos, Combe criticou afirmando que estes experimentos conduzidos pelo pesquisador francês não atenderiam às quatro condições acima listadas. Quais as principais restrições impostas por Combe aos resultados de Flourens: (1) a indistinção das partes removidas em relação a funções específicas; (2) a remoção das estruturas (cerebelo e hemisférios) não poderia ocorrer sem a alteração de funções no sistema nervoso geral; (3) o não conhecimento de qual </w:t>
      </w:r>
      <w:r>
        <w:rPr>
          <w:i/>
        </w:rPr>
        <w:t>poder mental</w:t>
      </w:r>
      <w:r>
        <w:rPr/>
        <w:t xml:space="preserve"> da parte removida se manifestava, portanto, não se poderia julgar sua supressão; (4) os animais que tiveram partes do cérebro removidas não estavam, após a operação, em condições saudáveis, não permitindo a comparação para saber se estavam ou não propensos a executar qualquer função relacionada às partes removidas.</w:t>
      </w:r>
    </w:p>
    <w:p>
      <w:pPr>
        <w:pStyle w:val="Normal"/>
        <w:spacing w:lineRule="auto" w:line="360"/>
        <w:jc w:val="both"/>
        <w:rPr/>
      </w:pPr>
      <w:r>
        <w:rPr/>
        <w:tab/>
        <w:t xml:space="preserve">Combe não se posicionou contra a objetividade alcançada pela fisiologia, ao contrário, apontou como solução a esse problema a aplicação aos estudos fisiológicos de métodos advindos da frenologia. Esperava com isso uma nova fusão entre a Frenologia e a Fisiologia praticada nas Universidades e Centros de pesquisa. </w:t>
      </w:r>
    </w:p>
    <w:p>
      <w:pPr>
        <w:pStyle w:val="Normal"/>
        <w:spacing w:lineRule="auto" w:line="360"/>
        <w:jc w:val="both"/>
        <w:rPr/>
      </w:pPr>
      <w:r>
        <w:rPr/>
      </w:r>
    </w:p>
    <w:p>
      <w:pPr>
        <w:pStyle w:val="Normal"/>
        <w:spacing w:lineRule="auto" w:line="360"/>
        <w:ind w:left="540" w:hanging="0"/>
        <w:jc w:val="both"/>
        <w:rPr/>
      </w:pPr>
      <w:r>
        <w:rPr>
          <w:i/>
        </w:rPr>
        <w:t>(...) se nossa doutrina [frenologia] estiver correta e determinado sentimento estiver ligado ao órgão, a supressão das manifestações após a retirada do órgão, poderá, de acordo com sólidos princípios de indução, ser visto como resultado direto da destruição do órgão</w:t>
      </w:r>
      <w:r>
        <w:rPr>
          <w:rStyle w:val="Caracteresdenotaderodap"/>
          <w:rStyle w:val="Ncoradanotaderodap"/>
          <w:i/>
        </w:rPr>
        <w:footnoteReference w:id="90"/>
      </w:r>
      <w:r>
        <w:rPr>
          <w:i/>
        </w:rPr>
        <w:t>.</w:t>
      </w:r>
      <w:r>
        <w:rPr/>
        <w:t xml:space="preserve">     </w:t>
      </w:r>
    </w:p>
    <w:p>
      <w:pPr>
        <w:pStyle w:val="Normal"/>
        <w:spacing w:lineRule="auto" w:line="360"/>
        <w:jc w:val="both"/>
        <w:rPr/>
      </w:pPr>
      <w:r>
        <w:rPr/>
      </w:r>
    </w:p>
    <w:p>
      <w:pPr>
        <w:pStyle w:val="Normal"/>
        <w:tabs>
          <w:tab w:val="clear" w:pos="708"/>
          <w:tab w:val="left" w:pos="720" w:leader="none"/>
        </w:tabs>
        <w:spacing w:lineRule="auto" w:line="360"/>
        <w:jc w:val="both"/>
        <w:rPr/>
      </w:pPr>
      <w:r>
        <w:rPr/>
        <w:tab/>
        <w:t xml:space="preserve">Os resultados obtidos na primeira metade do século XIX sobre as funções do cerebelo e dos lobos cerebrais impulsionaram tais pesquisas em que se tentavam associar os resultados da Fisiologia e da Frenologia. Embora a crítica seja dirigida a alguns trabalhos em particular, a defesa feita por Combe do que ele classificou como um método específico da Frenologia era compartilhado por muitos pesquisadores que não se filiaram aos preceitos frenológicos. A destruição aleatória de partes do cérebro como um método falho na determinação da função associada à parte retirada foi cada vez mais sendo aceita por pesquisadores independentemente de serem frenologistas ou não.   </w:t>
      </w:r>
    </w:p>
    <w:p>
      <w:pPr>
        <w:pStyle w:val="Normal"/>
        <w:spacing w:lineRule="auto" w:line="360"/>
        <w:jc w:val="both"/>
        <w:rPr/>
      </w:pPr>
      <w:r>
        <w:rPr/>
        <w:tab/>
        <w:t>A crítica de Combe extrapola o nível metodológico. Combe negou objetividade a determinados trabalhos fisiológicos sobre determinar faculdades mentais a partir da lesão de partes do cérebro (ablação), uma vez que a fisiologia desconhece as propensões primitivas das faculdades mentais.</w:t>
      </w:r>
    </w:p>
    <w:p>
      <w:pPr>
        <w:pStyle w:val="Normal"/>
        <w:spacing w:lineRule="auto" w:line="360"/>
        <w:jc w:val="both"/>
        <w:rPr/>
      </w:pPr>
      <w:r>
        <w:rPr/>
        <w:t xml:space="preserve"> </w:t>
      </w:r>
    </w:p>
    <w:p>
      <w:pPr>
        <w:pStyle w:val="Normal"/>
        <w:spacing w:lineRule="auto" w:line="360"/>
        <w:ind w:left="540" w:hanging="0"/>
        <w:jc w:val="both"/>
        <w:rPr/>
      </w:pPr>
      <w:r>
        <w:rPr>
          <w:i/>
        </w:rPr>
        <w:t>Eles [fisiologistas] são declaradamente não familiarizados com as partes específicas do cérebro que manifesta particular poder primitivo</w:t>
      </w:r>
      <w:r>
        <w:rPr>
          <w:rStyle w:val="Caracteresdenotaderodap"/>
          <w:rStyle w:val="Ncoradanotaderodap"/>
          <w:i/>
        </w:rPr>
        <w:footnoteReference w:id="91"/>
      </w:r>
      <w:r>
        <w:rPr>
          <w:i/>
        </w:rPr>
        <w:t>.</w:t>
      </w:r>
      <w:r>
        <w:rPr/>
        <w:t xml:space="preserve"> </w:t>
      </w:r>
    </w:p>
    <w:p>
      <w:pPr>
        <w:pStyle w:val="Normal"/>
        <w:tabs>
          <w:tab w:val="clear" w:pos="708"/>
          <w:tab w:val="left" w:pos="720" w:leader="none"/>
        </w:tabs>
        <w:spacing w:lineRule="auto" w:line="360"/>
        <w:jc w:val="both"/>
        <w:rPr/>
      </w:pPr>
      <w:r>
        <w:rPr/>
      </w:r>
    </w:p>
    <w:p>
      <w:pPr>
        <w:pStyle w:val="Normal"/>
        <w:spacing w:lineRule="auto" w:line="360"/>
        <w:jc w:val="both"/>
        <w:rPr/>
      </w:pPr>
      <w:r>
        <w:rPr/>
        <w:tab/>
        <w:t>Combe ainda faz referencia a uma crítica que Charles Bell fez ao método experimental da lesão por uma via moral em relação à crueldade imposta ao animal</w:t>
      </w:r>
      <w:r>
        <w:rPr>
          <w:rStyle w:val="Caracteresdenotaderodap"/>
          <w:rStyle w:val="Ncoradanotaderodap"/>
        </w:rPr>
        <w:footnoteReference w:id="92"/>
      </w:r>
      <w:r>
        <w:rPr/>
        <w:t xml:space="preserve">. Combe aproveita para sugerir a substituição da prática fisiológica experimental com animais vivos pelo exame frenológico em ‘deficientes’ com danos no cérebro anteriores à intervenção do pesquisador. A observação do tamanho craniano em relação às faculdades mentais não é aceito pelos fisiologistas, segundo Combe, uma vez que estaria sujeita a falácias de diversas procedências. Nota-se na crítica frenológica certo holismo na acusação de redução proposta pela fisiologia. Parece constituir uma premissa diferencial no discurso frenológico e na oposição a esse discurso, a possibilidade de se determinar as faculdades primitivas mentais ligadas a porções específicas do cérebro.      </w:t>
      </w:r>
    </w:p>
    <w:p>
      <w:pPr>
        <w:pStyle w:val="Normal"/>
        <w:spacing w:lineRule="auto" w:line="360"/>
        <w:jc w:val="both"/>
        <w:rPr/>
      </w:pPr>
      <w:r>
        <w:rPr/>
        <w:tab/>
        <w:t xml:space="preserve">Esse cenário de conflito, aparentemente apenas acadêmico, entre os chamados frenologistas e os fisiologistas provocou no imaginário da sociedade europeia do século XIX certa influência que não pode ser resgatada com o abandono gradual de uma dessas posições, a saber, a frenológica. Veremos mais a frente, na condição de um estudo de caso, como alguns dos pressupostos frenológicos serão ressignificados pela chamada medicina criminal (ou simplesmente criminologia) e servirá de molde para a composição de um tipo particular de personagens de ficção nas obras de horror e fantasia. </w:t>
      </w:r>
    </w:p>
    <w:p>
      <w:pPr>
        <w:pStyle w:val="Normal"/>
        <w:spacing w:lineRule="auto" w:line="360"/>
        <w:jc w:val="both"/>
        <w:rPr/>
      </w:pPr>
      <w:r>
        <w:rPr/>
      </w:r>
    </w:p>
    <w:p>
      <w:pPr>
        <w:pStyle w:val="Normal"/>
        <w:spacing w:lineRule="auto" w:line="360"/>
        <w:ind w:left="540" w:hanging="0"/>
        <w:jc w:val="center"/>
        <w:rPr/>
      </w:pPr>
      <w:r>
        <w:rPr>
          <w:sz w:val="20"/>
          <w:szCs w:val="20"/>
        </w:rPr>
        <w:drawing>
          <wp:inline distT="0" distB="0" distL="0" distR="0">
            <wp:extent cx="1936115" cy="2520950"/>
            <wp:effectExtent l="0" t="0" r="0" b="0"/>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3"/>
                    <a:stretch>
                      <a:fillRect/>
                    </a:stretch>
                  </pic:blipFill>
                  <pic:spPr bwMode="auto">
                    <a:xfrm>
                      <a:off x="0" y="0"/>
                      <a:ext cx="1936115" cy="2520950"/>
                    </a:xfrm>
                    <a:prstGeom prst="rect">
                      <a:avLst/>
                    </a:prstGeom>
                    <a:ln w="38100">
                      <a:solidFill>
                        <a:srgbClr val="000000"/>
                      </a:solidFill>
                    </a:ln>
                  </pic:spPr>
                </pic:pic>
              </a:graphicData>
            </a:graphic>
          </wp:inline>
        </w:drawing>
      </w:r>
      <w:r>
        <w:rPr>
          <w:sz w:val="20"/>
          <w:szCs w:val="20"/>
        </w:rPr>
        <w:drawing>
          <wp:inline distT="0" distB="0" distL="0" distR="0">
            <wp:extent cx="1423670" cy="2534285"/>
            <wp:effectExtent l="0" t="0" r="0" b="0"/>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4"/>
                    <a:stretch>
                      <a:fillRect/>
                    </a:stretch>
                  </pic:blipFill>
                  <pic:spPr bwMode="auto">
                    <a:xfrm>
                      <a:off x="0" y="0"/>
                      <a:ext cx="1423670" cy="2534285"/>
                    </a:xfrm>
                    <a:prstGeom prst="rect">
                      <a:avLst/>
                    </a:prstGeom>
                    <a:ln w="38100">
                      <a:solidFill>
                        <a:srgbClr val="000000"/>
                      </a:solidFill>
                    </a:ln>
                  </pic:spPr>
                </pic:pic>
              </a:graphicData>
            </a:graphic>
          </wp:inline>
        </w:drawing>
      </w:r>
    </w:p>
    <w:p>
      <w:pPr>
        <w:pStyle w:val="Normal"/>
        <w:jc w:val="both"/>
        <w:rPr/>
      </w:pPr>
      <w:r>
        <w:rPr>
          <w:b/>
        </w:rPr>
        <w:t>Figura 2:</w:t>
      </w:r>
      <w:r>
        <w:rPr/>
        <w:t xml:space="preserve"> Esquerda: Diagrama explicativo do que Buchanan chamou de </w:t>
      </w:r>
      <w:r>
        <w:rPr>
          <w:i/>
        </w:rPr>
        <w:t>cooperação orgânica</w:t>
      </w:r>
      <w:r>
        <w:rPr/>
        <w:t xml:space="preserve">. Ao contrário de uma ideia muito difundida, a de que os primeiros estudos frenológicos em geral pressupunham uma relação 1:1 entre função e estrutura, Buchanan concebia a interferência entre áreas e o comportamento associado a elas. </w:t>
      </w:r>
    </w:p>
    <w:p>
      <w:pPr>
        <w:pStyle w:val="Normal"/>
        <w:jc w:val="both"/>
        <w:rPr/>
      </w:pPr>
      <w:r>
        <w:rPr/>
        <w:t xml:space="preserve">Direita: Diagrama explicativo dos estudos de Sarcognomy (ciência do desenvolvimento corporal, que reconhece as indicações da mente no quadro corporal. Traça toda a correspondência do corpo com o cérebro e a mente fazendo, para o corpo o que a craniologia faz para o cérebro). Os estudos de </w:t>
      </w:r>
      <w:r>
        <w:rPr>
          <w:i/>
        </w:rPr>
        <w:t>sarcognomy</w:t>
      </w:r>
      <w:r>
        <w:rPr/>
        <w:t xml:space="preserve"> se justificam pelo fato de a mente estar conectada com o corpo e, frequentemente, controlada pelas condições dessa conexão. (Fonte: Buchanan, 1854, p. 313; 358).   </w:t>
      </w:r>
    </w:p>
    <w:p>
      <w:pPr>
        <w:pStyle w:val="Normal"/>
        <w:spacing w:lineRule="auto" w:line="360"/>
        <w:ind w:left="540" w:hanging="0"/>
        <w:jc w:val="both"/>
        <w:rPr/>
      </w:pPr>
      <w:r>
        <w:rPr/>
      </w:r>
    </w:p>
    <w:p>
      <w:pPr>
        <w:pStyle w:val="Normal"/>
        <w:spacing w:lineRule="auto" w:line="360"/>
        <w:jc w:val="center"/>
        <w:rPr/>
      </w:pPr>
      <w:r>
        <w:rPr>
          <w:b/>
        </w:rPr>
        <w:t>Sobre o antigo e o moderno em Frankenstein</w:t>
      </w:r>
    </w:p>
    <w:p>
      <w:pPr>
        <w:pStyle w:val="Normal"/>
        <w:spacing w:lineRule="auto" w:line="360"/>
        <w:jc w:val="both"/>
        <w:rPr>
          <w:b/>
          <w:b/>
        </w:rPr>
      </w:pPr>
      <w:r>
        <w:rPr>
          <w:b/>
        </w:rPr>
      </w:r>
    </w:p>
    <w:p>
      <w:pPr>
        <w:pStyle w:val="Normal"/>
        <w:spacing w:lineRule="auto" w:line="360"/>
        <w:jc w:val="both"/>
        <w:rPr/>
      </w:pPr>
      <w:r>
        <w:rPr/>
        <w:tab/>
        <w:t xml:space="preserve">O livro </w:t>
      </w:r>
      <w:r>
        <w:rPr>
          <w:i/>
        </w:rPr>
        <w:t>Frankenstein</w:t>
      </w:r>
      <w:r>
        <w:rPr/>
        <w:t xml:space="preserve"> escrito por Mary Shelley em 1818 representa um ponto de inflexão na literatura inglesa de início do século XIX. Trata-se de uma obra que permite uma multiplicidade de leituras em chaves tão distintas tais como, a expressão dos ideais iluministas do século XVIII, o papel da mulher na sociedade burguesa da época ou mesmo o estatuto da Ciência adquirido desde a chamada revolução científica iniciada nos séculos XVI e XVII e seus limites morais, além de outras leituras possíveis. </w:t>
      </w:r>
    </w:p>
    <w:p>
      <w:pPr>
        <w:pStyle w:val="Normal"/>
        <w:spacing w:lineRule="auto" w:line="360"/>
        <w:jc w:val="both"/>
        <w:rPr/>
      </w:pPr>
      <w:r>
        <w:rPr/>
        <w:tab/>
        <w:t xml:space="preserve">Diante desse cenário de possibilidades, percorreremos a análise de alguns comentadores da obra e de seu tempo para discutir, em linhas gerais, as relações que se estabelecem entre o pensamento antigo e a modernidade expressos na obra. Alguns temas apresentados no romance servirão de guia para nosso exame, uma vez que se sustentam e consolidam-se nas inúmeras referências presentes na obra a outras obras de semelhante envergadura (duas dessas principais referências são o </w:t>
      </w:r>
      <w:r>
        <w:rPr>
          <w:i/>
        </w:rPr>
        <w:t>Paraíso Perdido</w:t>
      </w:r>
      <w:r>
        <w:rPr/>
        <w:t xml:space="preserve"> de John Milton, publicado em 1667, e O </w:t>
      </w:r>
      <w:r>
        <w:rPr>
          <w:i/>
        </w:rPr>
        <w:t>Fausto</w:t>
      </w:r>
      <w:r>
        <w:rPr/>
        <w:t xml:space="preserve"> de Johann Wolfgang Von Goethe, publicado em duas partes, sendo a primeira conhecida popularmente como Fausto zero em 1797 e a segunda parte publicada postumamente). </w:t>
      </w:r>
    </w:p>
    <w:p>
      <w:pPr>
        <w:pStyle w:val="Normal"/>
        <w:spacing w:lineRule="auto" w:line="360"/>
        <w:jc w:val="both"/>
        <w:rPr/>
      </w:pPr>
      <w:r>
        <w:rPr/>
        <w:tab/>
        <w:t xml:space="preserve">Dividirei a análise em quatro movimentos. Em um primeiro momento apresentarei algumas influências intelectuais de Mary Shelley, principalmente decorrentes de seus pais (Mary Wollstonecraft Godwin e William Godwin) e posteriormente de seu convívio com o poeta Percy Bysshe Shelley. Algumas dessas influências são explicitas na composição da obra por meio do comportamento das personagens ou mesmo por meio de citações explicitas (um exemplo é uma passagem em que são citadas as duas últimas estrofes do poema </w:t>
      </w:r>
      <w:r>
        <w:rPr>
          <w:i/>
        </w:rPr>
        <w:t>Mutability</w:t>
      </w:r>
      <w:r>
        <w:rPr/>
        <w:t xml:space="preserve"> de Percy Shelley). Em seguida apresento uma configuração que permita caracterizarmos elementos associados ao pensamento pré-moderno e ao moderno com o intuito de, a partir dessa tipificação, adentrarmos o universo frankensteiniano (nesse momento focarei a análise em alguns conceitos historicamente considerados indicadores do momento histórico de passagem do século XVIII ao XIX). No terceiro momento de nosso exame discutirei especificamente a temática proposta na obra Frankenstein, estabelecendo um debate com alguns comentadores para, depois encaminhar nosso último movimento.   </w:t>
      </w:r>
    </w:p>
    <w:p>
      <w:pPr>
        <w:pStyle w:val="Normal"/>
        <w:spacing w:lineRule="auto" w:line="360"/>
        <w:jc w:val="both"/>
        <w:rPr/>
      </w:pPr>
      <w:r>
        <w:rPr/>
        <w:t xml:space="preserve"> </w:t>
      </w:r>
    </w:p>
    <w:p>
      <w:pPr>
        <w:pStyle w:val="Normal"/>
        <w:spacing w:lineRule="auto" w:line="360"/>
        <w:jc w:val="both"/>
        <w:rPr>
          <w:b/>
          <w:b/>
        </w:rPr>
      </w:pPr>
      <w:r>
        <w:rPr>
          <w:b/>
        </w:rPr>
        <w:t>O casal Shelley, Godwin e resquícios do pensamento iluminista</w:t>
      </w:r>
    </w:p>
    <w:p>
      <w:pPr>
        <w:pStyle w:val="Corpodotexto"/>
        <w:tabs>
          <w:tab w:val="clear" w:pos="708"/>
          <w:tab w:val="left" w:pos="720" w:leader="none"/>
        </w:tabs>
        <w:spacing w:lineRule="auto" w:line="360"/>
        <w:ind w:hanging="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 xml:space="preserve">O final do século XVIII representou um período de ruptura nas estruturas sociais e políticas na Europa conforme examinado anteriormente. Os pais de Mary Shelley vivenciaram esses eventos e momentos de profundas mudanças sociais. De acordo com Henry Brailsford, William Godwin (1756-1836) trouxe para o debate entre os intelectuais ingleses a fundamentação argumentativa que faltava a sua geração apresentando o que Brailsford nomeou por </w:t>
      </w:r>
      <w:r>
        <w:rPr>
          <w:rFonts w:cs="Times New Roman" w:ascii="Times New Roman" w:hAnsi="Times New Roman"/>
          <w:bCs/>
          <w:i/>
          <w:sz w:val="24"/>
          <w:szCs w:val="24"/>
        </w:rPr>
        <w:t>anarquismo filosófico</w:t>
      </w:r>
      <w:r>
        <w:rPr>
          <w:rStyle w:val="Caracteresdenotaderodap"/>
          <w:rStyle w:val="Ncoradanotaderodap"/>
          <w:rFonts w:cs="Times New Roman" w:ascii="Times New Roman" w:hAnsi="Times New Roman"/>
          <w:bCs/>
          <w:i/>
          <w:sz w:val="24"/>
          <w:szCs w:val="24"/>
        </w:rPr>
        <w:footnoteReference w:id="93"/>
      </w:r>
      <w:r>
        <w:rPr>
          <w:rFonts w:cs="Times New Roman" w:ascii="Times New Roman" w:hAnsi="Times New Roman"/>
          <w:bCs/>
          <w:sz w:val="24"/>
          <w:szCs w:val="24"/>
        </w:rPr>
        <w:t xml:space="preserve">. Percy B. Shelley (1792-1822) leu a obra </w:t>
      </w:r>
      <w:r>
        <w:rPr>
          <w:rFonts w:cs="Times New Roman" w:ascii="Times New Roman" w:hAnsi="Times New Roman"/>
          <w:bCs/>
          <w:i/>
          <w:sz w:val="24"/>
          <w:szCs w:val="24"/>
        </w:rPr>
        <w:t>An enquiry concerning political</w:t>
      </w:r>
      <w:r>
        <w:rPr>
          <w:rFonts w:cs="Times New Roman" w:ascii="Times New Roman" w:hAnsi="Times New Roman"/>
          <w:bCs/>
          <w:sz w:val="24"/>
          <w:szCs w:val="24"/>
        </w:rPr>
        <w:t xml:space="preserve"> </w:t>
      </w:r>
      <w:r>
        <w:rPr>
          <w:rFonts w:cs="Times New Roman" w:ascii="Times New Roman" w:hAnsi="Times New Roman"/>
          <w:bCs/>
          <w:i/>
          <w:sz w:val="24"/>
          <w:szCs w:val="24"/>
        </w:rPr>
        <w:t>justice</w:t>
      </w:r>
      <w:r>
        <w:rPr>
          <w:rFonts w:cs="Times New Roman" w:ascii="Times New Roman" w:hAnsi="Times New Roman"/>
          <w:bCs/>
          <w:sz w:val="24"/>
          <w:szCs w:val="24"/>
        </w:rPr>
        <w:t xml:space="preserve"> de Godwin publicada pela primeira vez em 1793, sendo fortemente influenciado pelas ideias políticas de Godwin. O romance literário, desenvolvido principalmente na Inglaterra e Alemanha, e que tem entre algumas de suas principais características a oposição aos princípios de racionalidade próprios da ilustração na mentalidade do século XVIII. Ian Watt</w:t>
      </w:r>
      <w:r>
        <w:rPr>
          <w:rStyle w:val="Caracteresdenotaderodap"/>
          <w:rStyle w:val="Ncoradanotaderodap"/>
          <w:rFonts w:cs="Times New Roman" w:ascii="Times New Roman" w:hAnsi="Times New Roman"/>
          <w:bCs/>
          <w:sz w:val="24"/>
          <w:szCs w:val="24"/>
        </w:rPr>
        <w:footnoteReference w:id="94"/>
      </w:r>
      <w:r>
        <w:rPr>
          <w:rFonts w:cs="Times New Roman" w:ascii="Times New Roman" w:hAnsi="Times New Roman"/>
          <w:bCs/>
          <w:sz w:val="24"/>
          <w:szCs w:val="24"/>
        </w:rPr>
        <w:t xml:space="preserve"> examinou as origens desse gênero no século XVIII em autores como Daniel Defoe (1660-1731) e Samuel Richardson (1689-1761). No romance de Richardson </w:t>
      </w:r>
      <w:r>
        <w:rPr>
          <w:rFonts w:cs="Times New Roman" w:ascii="Times New Roman" w:hAnsi="Times New Roman"/>
          <w:bCs/>
          <w:i/>
          <w:sz w:val="24"/>
          <w:szCs w:val="24"/>
        </w:rPr>
        <w:t>Pamela: or, virtue rewarded</w:t>
      </w:r>
      <w:r>
        <w:rPr>
          <w:rFonts w:cs="Times New Roman" w:ascii="Times New Roman" w:hAnsi="Times New Roman"/>
          <w:bCs/>
          <w:sz w:val="24"/>
          <w:szCs w:val="24"/>
        </w:rPr>
        <w:t xml:space="preserve"> de 1740, já estão presente tais características. O termo </w:t>
      </w:r>
      <w:r>
        <w:rPr>
          <w:rFonts w:cs="Times New Roman" w:ascii="Times New Roman" w:hAnsi="Times New Roman"/>
          <w:bCs/>
          <w:i/>
          <w:sz w:val="24"/>
          <w:szCs w:val="24"/>
        </w:rPr>
        <w:t>virtude</w:t>
      </w:r>
      <w:r>
        <w:rPr>
          <w:rFonts w:cs="Times New Roman" w:ascii="Times New Roman" w:hAnsi="Times New Roman"/>
          <w:bCs/>
          <w:sz w:val="24"/>
          <w:szCs w:val="24"/>
        </w:rPr>
        <w:t xml:space="preserve">, associado à protagonista (Pamela) e a maneira como a mesma supera inúmeras desventuras ao longo da narrativa indicam uma diferenciação cara ao pensamento moderno. A distinção entre a virtude (virtù) e a fortuna constitui um elemento importante no pensamento político moderno de pensadores como Nicolau Maquiavel (1469-1527) e outros reformadores do pensamento político no século XVI. A fortuna, caracterizada como o acaso ou a sorte; aquilo que não pode ser contido pelos homens, enquanto que a virtude representa a ação dos homens diante da fortuna. No século XVIII, o conceito de virtude assume forte carga moral, principalmente em romances como </w:t>
      </w:r>
      <w:r>
        <w:rPr>
          <w:rFonts w:cs="Times New Roman" w:ascii="Times New Roman" w:hAnsi="Times New Roman"/>
          <w:bCs/>
          <w:i/>
          <w:sz w:val="24"/>
          <w:szCs w:val="24"/>
        </w:rPr>
        <w:t>Pamela</w:t>
      </w:r>
      <w:r>
        <w:rPr>
          <w:rFonts w:cs="Times New Roman" w:ascii="Times New Roman" w:hAnsi="Times New Roman"/>
          <w:bCs/>
          <w:sz w:val="24"/>
          <w:szCs w:val="24"/>
        </w:rPr>
        <w:t xml:space="preserve"> ou </w:t>
      </w:r>
      <w:r>
        <w:rPr>
          <w:rFonts w:cs="Times New Roman" w:ascii="Times New Roman" w:hAnsi="Times New Roman"/>
          <w:bCs/>
          <w:i/>
          <w:sz w:val="24"/>
          <w:szCs w:val="24"/>
        </w:rPr>
        <w:t>Moll Flanders</w:t>
      </w:r>
      <w:r>
        <w:rPr>
          <w:rFonts w:cs="Times New Roman" w:ascii="Times New Roman" w:hAnsi="Times New Roman"/>
          <w:bCs/>
          <w:sz w:val="24"/>
          <w:szCs w:val="24"/>
        </w:rPr>
        <w:t xml:space="preserve"> de Defoe, publicado em 1722. Essa é uma característica presente no Frankenstein, apesar de encontrar-se em outro momento distinto dos dois romances anteriormente citados.    </w:t>
      </w:r>
    </w:p>
    <w:p>
      <w:pPr>
        <w:pStyle w:val="Corpodotexto"/>
        <w:tabs>
          <w:tab w:val="clear" w:pos="708"/>
          <w:tab w:val="left" w:pos="720" w:leader="none"/>
        </w:tabs>
        <w:spacing w:lineRule="auto" w:line="360"/>
        <w:ind w:hanging="0"/>
        <w:rPr/>
      </w:pPr>
      <w:r>
        <w:rPr>
          <w:rFonts w:cs="Times New Roman" w:ascii="Times New Roman" w:hAnsi="Times New Roman"/>
          <w:bCs/>
          <w:sz w:val="24"/>
          <w:szCs w:val="24"/>
        </w:rPr>
        <w:tab/>
        <w:t xml:space="preserve">Entendo que a consequência nuclear da transição do antigo regime para a sociedade industrial no século XIX é a formação de uma sociedade do contrato em contraste a uma sociedade de costumes, embora essa divisão não se configure de maneira totalmente clara, uma vez que a defesa do uso da razão não pressupõe a exclusão do fator emocional e habitual da vida sociopolítica em qualquer sociedade, no plano discursivo tal característica assume certa importância. </w:t>
        <w:tab/>
      </w:r>
    </w:p>
    <w:p>
      <w:pPr>
        <w:pStyle w:val="Normal"/>
        <w:spacing w:lineRule="auto" w:line="360"/>
        <w:jc w:val="both"/>
        <w:rPr/>
      </w:pPr>
      <w:r>
        <w:rPr/>
        <w:tab/>
        <w:t>O contraste gerado desse cenário da segunda metade do século XVIII e a critica que Godwin faz ao Estado moderno se expressa na ideia de que talvez a felicidade não seja alcançável por aquilo que se propunha na revolução francesa. Uma leitura possível dessa oposição talvez encontre lastro em certa decepção com os rumos que os eventos tiveram no desdobramento do processo revolucionário, principalmente com o chamado período de terror e, posteriormente, com o período napoleônico. Brailsford compara duas estrofes de dois poemas, um de Wordworth e outro de Percy Shelley em que manifestam esse estado de descrença nos ideais iluministas:</w:t>
      </w:r>
    </w:p>
    <w:p>
      <w:pPr>
        <w:pStyle w:val="Normal"/>
        <w:spacing w:lineRule="auto" w:line="360"/>
        <w:jc w:val="both"/>
        <w:rPr/>
      </w:pPr>
      <w:r>
        <w:rPr/>
      </w:r>
    </w:p>
    <w:p>
      <w:pPr>
        <w:pStyle w:val="Normal"/>
        <w:spacing w:before="0" w:after="60"/>
        <w:jc w:val="both"/>
        <w:rPr/>
      </w:pPr>
      <w:r>
        <w:rPr/>
        <w:tab/>
        <w:t>"Não em Utopia, campos subterrâneos</w:t>
      </w:r>
    </w:p>
    <w:p>
      <w:pPr>
        <w:pStyle w:val="Normal"/>
        <w:spacing w:before="0" w:after="60"/>
        <w:jc w:val="both"/>
        <w:rPr/>
      </w:pPr>
      <w:r>
        <w:rPr/>
        <w:tab/>
        <w:t>Ou em alguma misteriosa ilha, sabe o céu onde</w:t>
      </w:r>
    </w:p>
    <w:p>
      <w:pPr>
        <w:pStyle w:val="Normal"/>
        <w:spacing w:before="0" w:after="60"/>
        <w:jc w:val="both"/>
        <w:rPr/>
      </w:pPr>
      <w:r>
        <w:rPr/>
        <w:tab/>
        <w:t>Mas neste mundo real, que é o mundo</w:t>
      </w:r>
    </w:p>
    <w:p>
      <w:pPr>
        <w:pStyle w:val="Normal"/>
        <w:spacing w:before="0" w:after="60"/>
        <w:jc w:val="both"/>
        <w:rPr/>
      </w:pPr>
      <w:r>
        <w:rPr/>
        <w:tab/>
        <w:t>De todos nós, o lugar onde finalmente</w:t>
      </w:r>
    </w:p>
    <w:p>
      <w:pPr>
        <w:pStyle w:val="Normal"/>
        <w:spacing w:before="0" w:after="60"/>
        <w:jc w:val="both"/>
        <w:rPr/>
      </w:pPr>
      <w:r>
        <w:rPr/>
        <w:tab/>
        <w:t xml:space="preserve">Temos de encontrar nossa felicidade, sob pena de não encontrá-la em parte </w:t>
        <w:tab/>
        <w:t>alguma".</w:t>
      </w:r>
      <w:r>
        <w:rPr>
          <w:rStyle w:val="Caracteresdenotaderodap"/>
          <w:rStyle w:val="Ncoradanotaderodap"/>
        </w:rPr>
        <w:footnoteReference w:id="95"/>
      </w:r>
      <w:r>
        <w:rPr/>
        <w:t xml:space="preserve"> </w:t>
      </w:r>
    </w:p>
    <w:p>
      <w:pPr>
        <w:pStyle w:val="Normal"/>
        <w:spacing w:lineRule="auto" w:line="360" w:before="0" w:after="60"/>
        <w:jc w:val="both"/>
        <w:rPr/>
      </w:pPr>
      <w:r>
        <w:rPr/>
      </w:r>
    </w:p>
    <w:p>
      <w:pPr>
        <w:pStyle w:val="Normal"/>
        <w:spacing w:before="0" w:after="60"/>
        <w:jc w:val="both"/>
        <w:rPr/>
      </w:pPr>
      <w:r>
        <w:rPr/>
        <w:tab/>
        <w:t>"Continentes sem reis, puros como o Éden</w:t>
      </w:r>
    </w:p>
    <w:p>
      <w:pPr>
        <w:pStyle w:val="Normal"/>
        <w:spacing w:before="0" w:after="60"/>
        <w:jc w:val="both"/>
        <w:rPr/>
      </w:pPr>
      <w:r>
        <w:rPr/>
        <w:tab/>
        <w:t>Em torno de montanhas e ilhas invioláveis</w:t>
      </w:r>
    </w:p>
    <w:p>
      <w:pPr>
        <w:pStyle w:val="Normal"/>
        <w:spacing w:before="0" w:after="60"/>
        <w:jc w:val="both"/>
        <w:rPr/>
      </w:pPr>
      <w:r>
        <w:rPr/>
        <w:tab/>
        <w:t>Lindas como joias no azul safira do mar".</w:t>
      </w:r>
      <w:r>
        <w:rPr>
          <w:rStyle w:val="Caracteresdenotaderodap"/>
          <w:rStyle w:val="Ncoradanotaderodap"/>
        </w:rPr>
        <w:footnoteReference w:id="96"/>
      </w:r>
      <w:r>
        <w:rPr/>
        <w:t xml:space="preserve"> </w:t>
      </w:r>
    </w:p>
    <w:p>
      <w:pPr>
        <w:pStyle w:val="Normal"/>
        <w:spacing w:lineRule="auto" w:line="360" w:before="0" w:after="120"/>
        <w:jc w:val="both"/>
        <w:rPr/>
      </w:pPr>
      <w:r>
        <w:rPr/>
      </w:r>
    </w:p>
    <w:p>
      <w:pPr>
        <w:pStyle w:val="Normal"/>
        <w:spacing w:lineRule="auto" w:line="360" w:before="0" w:after="120"/>
        <w:jc w:val="both"/>
        <w:rPr/>
      </w:pPr>
      <w:r>
        <w:rPr/>
        <w:tab/>
        <w:t>A primeira edição de Frankenstein é de 1818, embora seja a edição de 1831 a que gerou a maioria das traduções em diversos idiomas. A história da motivação para a composição da obra foi fartamente contada ao longo da história da literatura. Após Mary fugir com Percy Shelley, uma vez que ele era casado e a esposa esperava um segundo filho, ambos viveram por um tempo na Suíça onde Percy mantinha constante contato com o poeta inglês George Gordon Byron (1788-1824), mais conhecido por Lord Byron, e com seu médico e amigo John Polidori (1795-1821). Na ocasião, Byron já era reconhecido como um dos maiores poetas ingleses do início do século XIX. Percy conheceu Mary a partir do convívio com seu pai William Godwin. Percy era um admirador das ideias de Godwin. Quando conheceu Mary, ela tinha apenas 15 anos, cerca de um ano depois ambos fugiram. A fuga não cortou relações entre Percy e Godwin</w:t>
      </w:r>
      <w:r>
        <w:rPr>
          <w:rStyle w:val="Caracteresdenotaderodap"/>
          <w:rStyle w:val="Ncoradanotaderodap"/>
        </w:rPr>
        <w:footnoteReference w:id="97"/>
      </w:r>
      <w:r>
        <w:rPr/>
        <w:t xml:space="preserve">.   </w:t>
      </w:r>
    </w:p>
    <w:p>
      <w:pPr>
        <w:pStyle w:val="Normal"/>
        <w:spacing w:lineRule="auto" w:line="360" w:before="0" w:after="120"/>
        <w:jc w:val="both"/>
        <w:rPr/>
      </w:pPr>
      <w:r>
        <w:rPr/>
        <w:tab/>
        <w:t xml:space="preserve">Em um dos encontros com Byron e Polidori, foi sugerido (provavelmente pelo próprio Byron) uma espécie de "concurso" de história de fantasmas (a tradição da literatura gótica inglesa era conhecida por todos). Desse episódio germinaram duas obras importantes do gênero. O conto </w:t>
      </w:r>
      <w:r>
        <w:rPr>
          <w:i/>
        </w:rPr>
        <w:t>O vampiro</w:t>
      </w:r>
      <w:r>
        <w:rPr/>
        <w:t xml:space="preserve"> de Polidori e um esboço do que seria o romance </w:t>
      </w:r>
      <w:r>
        <w:rPr>
          <w:i/>
        </w:rPr>
        <w:t>Frankenstein</w:t>
      </w:r>
      <w:r>
        <w:rPr/>
        <w:t xml:space="preserve"> de Mary Shelley. Me deterei menos aos aspectos biográficos do que ao exame da obra.     </w:t>
      </w:r>
    </w:p>
    <w:p>
      <w:pPr>
        <w:pStyle w:val="Normal"/>
        <w:spacing w:lineRule="auto" w:line="360" w:before="0" w:after="120"/>
        <w:jc w:val="both"/>
        <w:rPr/>
      </w:pPr>
      <w:r>
        <w:rPr/>
        <w:tab/>
        <w:t xml:space="preserve">O livro apresenta uma estrutura composicional comum para o romance de início do século XIX. No formato parcialmente epistolar (emissão de cartas como elemento narrativo), o romance conta a história do médico suíço Victor Frankenstein e seus infortúnios, narrados em retrospectiva e em primeira pessoa a outra personagem (Robert Walton, explorador que busca chegar ao Polo norte e que encontra Victor na condição de náufrago). Victor narra a Walton como sua pesquisa o encaminhou para a causa de seus infortúnios. A geração de vida a partir da junção de partes de corpos e como gatilho o uso da eletricidade permitiu ao doutor Frankenstein conceber a sua criação (na obra Mary não nomeou a criatura de nenhuma forma específica, apesar de no senso comum frequentemente as pessoas associarem o nome Frankenstein à criatura e não ao criador).   </w:t>
      </w:r>
    </w:p>
    <w:p>
      <w:pPr>
        <w:pStyle w:val="Normal"/>
        <w:spacing w:lineRule="auto" w:line="360" w:before="0" w:after="120"/>
        <w:jc w:val="both"/>
        <w:rPr/>
      </w:pPr>
      <w:r>
        <w:rPr/>
        <w:tab/>
        <w:t>O romance se configura na linha dos romances góticos de final do século XIX</w:t>
      </w:r>
      <w:r>
        <w:rPr>
          <w:rStyle w:val="Caracteresdenotaderodap"/>
          <w:rStyle w:val="Ncoradanotaderodap"/>
        </w:rPr>
        <w:footnoteReference w:id="98"/>
      </w:r>
      <w:r>
        <w:rPr/>
        <w:t xml:space="preserve">. A dificuldade em classificar uma obra como </w:t>
      </w:r>
      <w:r>
        <w:rPr>
          <w:i/>
        </w:rPr>
        <w:t>Frankenstein</w:t>
      </w:r>
      <w:r>
        <w:rPr/>
        <w:t xml:space="preserve"> se deve ao fato de a mesma ser multifacetada, mas também podemos aproximar a obra do modelo dos contos filosóficos tão comum entre os escritores do XVIII, Voltaire foi um representante desse gênero. Apesar de reunir elementos do gótico (o mistério associado a forças malignas, frequentemente Victor amaldiçoa seu destino e a criatura; o cenário de castelos ainda em sutil alusão ao medievo e outros elementos) o romance não constitui uma obra típica do gênero uma vez que os eventos, mesmo quando inflacionados ao nível sobre-humano, como a referência às características da criatura pelo próprio Victor, ainda mantém o lastro com explicações naturais, dessa maneira o que no romance gótico é tributário de forças sobrenaturais, em </w:t>
      </w:r>
      <w:r>
        <w:rPr>
          <w:i/>
        </w:rPr>
        <w:t>Frankenstein</w:t>
      </w:r>
      <w:r>
        <w:rPr/>
        <w:t xml:space="preserve"> os elementos da trama são derivados das ações humanas. </w:t>
      </w:r>
    </w:p>
    <w:p>
      <w:pPr>
        <w:pStyle w:val="Normal"/>
        <w:spacing w:lineRule="auto" w:line="360" w:before="0" w:after="120"/>
        <w:jc w:val="both"/>
        <w:rPr/>
      </w:pPr>
      <w:r>
        <w:rPr/>
        <w:tab/>
        <w:t xml:space="preserve">Outro aspecto que diferencia </w:t>
      </w:r>
      <w:r>
        <w:rPr>
          <w:i/>
        </w:rPr>
        <w:t>Frankenstein</w:t>
      </w:r>
      <w:r>
        <w:rPr/>
        <w:t xml:space="preserve"> do romance gótico é a presença da dimensão científica no romance (no gótico, com frequência a presença da ciência configura uma dimensão metafórica ou em segundo plano). A historiadora da ciência inglesa Patrícia Fara examinou como os estudos sobre a eletricidade na segunda metade do século XVIII mobilizaram um debate que ultrapassava a explicação tão somente da natureza da eletricidade</w:t>
      </w:r>
      <w:r>
        <w:rPr>
          <w:rStyle w:val="Caracteresdenotaderodap"/>
          <w:rStyle w:val="Ncoradanotaderodap"/>
        </w:rPr>
        <w:footnoteReference w:id="99"/>
      </w:r>
      <w:r>
        <w:rPr/>
        <w:t>. Fara examina no quinto capítulo de seu livro (o fluxo da vida) o debate que ocorreu na segunda metade do século XVIII acerca da natureza da eletricidade (o fenômeno da eletricidade é conhecido desde a antiguidade, embora somente no século XVIII se torne objeto de debate e pesquisas sobre sua natureza no contexto da física newtoniana</w:t>
      </w:r>
      <w:r>
        <w:rPr>
          <w:rStyle w:val="Caracteresdenotaderodap"/>
          <w:rStyle w:val="Ncoradanotaderodap"/>
        </w:rPr>
        <w:footnoteReference w:id="100"/>
      </w:r>
      <w:r>
        <w:rPr/>
        <w:t>). Esse debate ficou conhecido pela contenda entre os cientistas italianos Luigi Galvani (1737-1798) e Alessandro Volta (1745-1827). A discussão girou em torno da determinação da natureza do fenômeno elétrico e se existiriam dois fluidos elétricos, um derivado da eletricidade estática e outro de alguns organismos (a chamada bioeletricidade). Antes da demonstração de Benjamin Franklin (1706-1790) da eletricidade atmosférica, também se suspeitava de uma terceira natureza elétrica (relativa aos fenômenos atmosféricos)</w:t>
      </w:r>
      <w:r>
        <w:rPr>
          <w:rStyle w:val="Caracteresdenotaderodap"/>
          <w:rStyle w:val="Ncoradanotaderodap"/>
        </w:rPr>
        <w:footnoteReference w:id="101"/>
      </w:r>
      <w:r>
        <w:rPr/>
        <w:t xml:space="preserve">.        </w:t>
      </w:r>
    </w:p>
    <w:p>
      <w:pPr>
        <w:pStyle w:val="Normal"/>
        <w:spacing w:lineRule="auto" w:line="360" w:before="0" w:after="120"/>
        <w:jc w:val="both"/>
        <w:rPr/>
      </w:pPr>
      <w:r>
        <w:rPr/>
        <w:tab/>
        <w:t xml:space="preserve">Ainda de acordo com Fara, a contenda entre Galvani e Volta ultrapassava as reputações individuais. O problema da natureza do fluido elétrico se inseria em um debate, tanto científico quanto filosófico, de maior amplitude. Muito se discutiu nos séculos XVI e XVII sobre o que diferenciavam os organismos dos objetos inanimados. Quando em meados do século XVII o problema do movimento animal ganhou nova roupagem à luz da teoria da circulação neural (em analogia com a ideia de circulação sanguínea explicada por William Harvey em 1628) isso exigiu das pesquisas uma caracterização melhor do sistema responsável pelo fenômeno da circulação neural, no caso o sistema nervoso. Os primeiros modelos estruturais e funcionais eram eminentemente mecânicos e, apesar da alternância nesses modelos, o paradigma mecânico persistiu até o século XVIII quando se cogitou acerca de uma natureza elétrica para o funcionamento do sistema. Nesse sentido, a pergunta sobre se os organismos seriam alimentados e/ou animados pelo fluido elétrico ganhou adeptos a medida que se avançavam os estudos sobre a eletricidade e os modelos mecânicos se tornavam ineficazes em explicar, por exemplo, partes do corpo contrateis e outras sensíveis. No século XVIII, naquilo que se referia às explicações sobre o que diferencia o orgânico do inorgânico, sempre se assumiam (seja no início ou no fim da argumentação) clausulas vitais para explicar a vida. O fluido elétrico passou a ser uma dessas possibilidades configurando uma força vital ou, na pior das hipóteses, o gatilho daquilo que seria a força vital (no romance de Mary Shelley, essa segunda hipótese é a que dá vida a criatura no experimento do doutor Frankenstein).          </w:t>
      </w:r>
    </w:p>
    <w:p>
      <w:pPr>
        <w:pStyle w:val="Normal"/>
        <w:spacing w:lineRule="auto" w:line="360" w:before="0" w:after="120"/>
        <w:jc w:val="both"/>
        <w:rPr/>
      </w:pPr>
      <w:r>
        <w:rPr/>
        <w:tab/>
        <w:t xml:space="preserve">Essas ideias estavam disponíveis não somente nos círculos acadêmicos, mas em apresentações publicas e palestras. Certamente Mary Shelley teve contato com essas ideias. Fara relata um episódio em que foi feita uma demonstração dessas teses pelo sobrinho de Galvani, Giovanni Aldini (1762-1834) em que após uma descarga elétrica aplicada a um condenado o mesmo "ressuscitava" e aquilo impressionava muito a multidão (na verdade ocorriam apenas contrações musculares, o que era associado a ideia de que o sujeito ressuscitava mesmo que em um intervalo de tempo muito curto). Mary tinha 5 anos na ocasião dessa apresentação. Essa dimensão atual da obra em dialogar com o conhecimento científico de sua época não pode ser tomada como simplesmente uma descrição da ciência de fins do século XVIII, devemos examinar nos desdobramentos da narrativa, aspectos críticos relativos ao papel das personagens e à ciência de sua época.        </w:t>
      </w:r>
    </w:p>
    <w:p>
      <w:pPr>
        <w:pStyle w:val="Normal"/>
        <w:spacing w:lineRule="auto" w:line="360" w:before="0" w:after="120"/>
        <w:jc w:val="both"/>
        <w:rPr/>
      </w:pPr>
      <w:r>
        <w:rPr/>
        <w:tab/>
        <w:t>A presença, principalmente na figura do doutor Frankenstein, do entusiasmo com o avanço científico e o progresso da humanidade próprios do pensamento iluminista representa um ponto de inflexão na obra naquilo que ela possui de mais singular, uma vez que os trágicos desdobramentos da história indicam forte critica ao uso desmedido da ciência em um momento de verdadeiro deslumbramento com as descobertas e aplicações científicas. Além das influências do pensamento de seu pai Godwin e de Percy Shelley, Mary nos dá indicativos de rejeição dos ideais românticos em termos extremos. Se por um lado, a critica ao uso da ciência de maneira desmedida encontra alento na maneira trágica como as ações de Victor Frankenstein se dão, há fortes indícios de que os ideais românticos levados às últimas consequências também configuram alvo de critica da escritora. Griffin</w:t>
      </w:r>
      <w:r>
        <w:rPr>
          <w:rStyle w:val="Caracteresdenotaderodap"/>
          <w:rStyle w:val="Ncoradanotaderodap"/>
        </w:rPr>
        <w:footnoteReference w:id="102"/>
      </w:r>
      <w:r>
        <w:rPr/>
        <w:t xml:space="preserve"> examina as dicotomias presentes na obra na composição do romance em que fogo e gelo representam um duplo simbólico que nos permitem adentrar o universo de boa parte dos romances vitorianos. </w:t>
      </w:r>
    </w:p>
    <w:p>
      <w:pPr>
        <w:pStyle w:val="Normal"/>
        <w:spacing w:lineRule="auto" w:line="360" w:before="0" w:after="120"/>
        <w:jc w:val="both"/>
        <w:rPr/>
      </w:pPr>
      <w:r>
        <w:rPr/>
        <w:tab/>
        <w:t xml:space="preserve">Griffin mobiliza a tese do epistemólogo francês Gaston Bachelard (1884-1962) descrita na obra </w:t>
      </w:r>
      <w:r>
        <w:rPr>
          <w:i/>
        </w:rPr>
        <w:t>A psicanálise do fogo</w:t>
      </w:r>
      <w:r>
        <w:rPr/>
        <w:t xml:space="preserve"> (1937) em que Bachelard examina numa perspectiva de uma espécie de mente pré-científica e poética a existência do fogo como representação da vida e mudança. O fogo seria, dessa forma, um dos princípios de explicação universal. Para Griffin, o gelo, diferentemente do fogo, ainda não teria encontrado sua fenomenologia simbólica. Nessa chave de leitura, essa dicotomia representaria estados emocionais das personagens. Na imaginação vitoriana, diz Griffin, a dicotomia quente-frio polariza estados emocionais. Na história do doutor Frankenstein, essa polarização se daria na sua obsessão por interpenetrar a matéria animada (por meio do fogo vital ou fluido vital), enquanto a personagem de Robert Walton e sua não menos obsessão por chegar ao polo norte representaria o sonho de encontrar o paraíso perdido na terra, desejo semelhante ao de Wordworth em seu poema citado no início deste ensaio.           </w:t>
      </w:r>
    </w:p>
    <w:p>
      <w:pPr>
        <w:pStyle w:val="Normal"/>
        <w:spacing w:lineRule="auto" w:line="360" w:before="0" w:after="120"/>
        <w:jc w:val="both"/>
        <w:rPr/>
      </w:pPr>
      <w:r>
        <w:rPr/>
        <w:t xml:space="preserve">   </w:t>
      </w:r>
      <w:r>
        <w:rPr/>
        <w:tab/>
        <w:t>Outras possibilidades de leitura da obra que dialogam com outras áreas do saber e da sociedade nos remetem a outras perspectivas de compreensão desse clássico sem, no entanto, nos afastar dessa forte critica, também no plano moral, dessa sociedade que inicia o século XIX apostando todas as suas fichas na ideia de progresso e tributando ao desenvolvimento da ciência e tecnologia os principais fatores desse avanço</w:t>
      </w:r>
      <w:r>
        <w:rPr>
          <w:rStyle w:val="Caracteresdenotaderodap"/>
          <w:rStyle w:val="Ncoradanotaderodap"/>
        </w:rPr>
        <w:footnoteReference w:id="103"/>
      </w:r>
      <w:r>
        <w:rPr/>
        <w:t xml:space="preserve">.  </w:t>
      </w:r>
    </w:p>
    <w:p>
      <w:pPr>
        <w:pStyle w:val="Normal"/>
        <w:spacing w:lineRule="auto" w:line="360" w:before="0" w:after="120"/>
        <w:jc w:val="center"/>
        <w:rPr>
          <w:b/>
          <w:b/>
        </w:rPr>
      </w:pPr>
      <w:r>
        <w:rPr>
          <w:b/>
        </w:rPr>
        <w:t>...</w:t>
      </w:r>
    </w:p>
    <w:p>
      <w:pPr>
        <w:pStyle w:val="Normal"/>
        <w:spacing w:lineRule="auto" w:line="360"/>
        <w:jc w:val="both"/>
        <w:rPr/>
      </w:pPr>
      <w:r>
        <w:rPr/>
        <w:tab/>
        <w:t xml:space="preserve">As possibilidades de exame dessa obra são de tamanha amplitude que qualquer que seja a porta de entrada na obra, sempre deixará fios soltos. Mary Shelley publicou outro romance em 1826 intitulado </w:t>
      </w:r>
      <w:r>
        <w:rPr>
          <w:i/>
        </w:rPr>
        <w:t>The last man</w:t>
      </w:r>
      <w:r>
        <w:rPr/>
        <w:t xml:space="preserve"> no qual conta a história do último homem que sobrevive na terra. A história se passa após o ano 2073. Ao narrar as aventuras de Lioneu Verney e de outras personagens e a maneira como cada uma vai mudando seu comportamento ao sabor das desventuras, Mary Shelley, tanto quanto havia feito em Frankenstein, caracteriza as personagens à luz do pensamento moderno típico do pensamento iluminista do século XVIII, o que nos dá uma pista de que a critica de Mary não se dirige à ciência e tecnologia em si mas ao uso sem medida das mesmas. A caracterização da irmã de Verney em </w:t>
      </w:r>
      <w:r>
        <w:rPr>
          <w:i/>
        </w:rPr>
        <w:t>The last man</w:t>
      </w:r>
      <w:r>
        <w:rPr/>
        <w:t>, Perdita, nos permite indagar isso. Cito Mary Shelley:</w:t>
      </w:r>
    </w:p>
    <w:p>
      <w:pPr>
        <w:pStyle w:val="Normal"/>
        <w:spacing w:lineRule="auto" w:line="360"/>
        <w:jc w:val="both"/>
        <w:rPr/>
      </w:pPr>
      <w:r>
        <w:rPr/>
      </w:r>
    </w:p>
    <w:p>
      <w:pPr>
        <w:pStyle w:val="Normal"/>
        <w:spacing w:lineRule="auto" w:line="360"/>
        <w:jc w:val="both"/>
        <w:rPr/>
      </w:pPr>
      <w:r>
        <w:rPr>
          <w:i/>
        </w:rPr>
        <w:t>Perdita era completamente autossuficiente. (...) Perdita praticamente odiava suas amigas, por interferir em seus modos visionários. (...) Perdita, mesmo contente, fugia para a solidão e poderia seguir, dia após dia, sem demonstrar suas emoções ou procurar sentimentos iguais em outra mente.</w:t>
      </w:r>
      <w:r>
        <w:rPr>
          <w:rStyle w:val="Caracteresdenotaderodap"/>
          <w:rStyle w:val="Ncoradanotaderodap"/>
          <w:i/>
        </w:rPr>
        <w:footnoteReference w:id="104"/>
      </w:r>
      <w:r>
        <w:rPr>
          <w:i/>
        </w:rPr>
        <w:t xml:space="preserve">   </w:t>
      </w:r>
    </w:p>
    <w:p>
      <w:pPr>
        <w:pStyle w:val="Normal"/>
        <w:spacing w:lineRule="auto" w:line="360"/>
        <w:jc w:val="both"/>
        <w:rPr>
          <w:i/>
          <w:i/>
        </w:rPr>
      </w:pPr>
      <w:r>
        <w:rPr>
          <w:i/>
        </w:rPr>
      </w:r>
    </w:p>
    <w:p>
      <w:pPr>
        <w:pStyle w:val="Normal"/>
        <w:spacing w:lineRule="auto" w:line="360"/>
        <w:jc w:val="both"/>
        <w:rPr/>
      </w:pPr>
      <w:r>
        <w:rPr/>
        <w:tab/>
        <w:t xml:space="preserve">Podemos ver alguns paralelos na descrição de Perdita em relação a caracterização de Victor em </w:t>
      </w:r>
      <w:r>
        <w:rPr>
          <w:i/>
        </w:rPr>
        <w:t>Frankenstein</w:t>
      </w:r>
      <w:r>
        <w:rPr/>
        <w:t xml:space="preserve">. No início do romance quando Victor começa a narrar sua história para Walton e a maneira como foi iniciado ao universo da ciência e como seu trabalho se tornou uma obsessão, Victor assim como Perdita se assumia com papeis claramente visionários. Tanto uma personagem quanto a outra representam um ideal de progresso que muito se creditou à ciência do início do século XIX ou, no campo político, aos ideais revolucionários. Nesse sentido, tanto um quanto o outro representam extremos dos quais a geração de Mary teria se tornado parcialmente refratária. Essa crítica permite uma leitura da obra </w:t>
      </w:r>
      <w:r>
        <w:rPr>
          <w:i/>
        </w:rPr>
        <w:t>Frankenstein</w:t>
      </w:r>
      <w:r>
        <w:rPr/>
        <w:t xml:space="preserve"> numa chave moral que pode alimentar a interpretação de uma Mary mais conservadora e critica da geração a qual a mesma se formou, mas é mais uma das possibilidades antes aludida de leitura dessa obra. Um esboço do que Frankenstein ainda pode nos oferecer.    </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center"/>
        <w:rPr>
          <w:b/>
          <w:b/>
        </w:rPr>
      </w:pPr>
      <w:r>
        <w:rPr>
          <w:b/>
        </w:rPr>
        <w:t>Drácula e o conceito de atavismo</w:t>
      </w:r>
    </w:p>
    <w:p>
      <w:pPr>
        <w:pStyle w:val="Normal"/>
        <w:spacing w:lineRule="auto" w:line="360"/>
        <w:jc w:val="center"/>
        <w:rPr>
          <w:b/>
          <w:b/>
        </w:rPr>
      </w:pPr>
      <w:r>
        <w:rPr>
          <w:b/>
        </w:rPr>
      </w:r>
    </w:p>
    <w:p>
      <w:pPr>
        <w:pStyle w:val="Corpodotextorecuado"/>
        <w:spacing w:lineRule="auto" w:line="360"/>
        <w:ind w:left="0" w:hanging="0"/>
        <w:jc w:val="both"/>
        <w:rPr/>
      </w:pPr>
      <w:r>
        <w:rPr/>
        <w:tab/>
        <w:t xml:space="preserve">Neste ensaio examino a relação entre o romance de horror e a representação da ciência na segunda metade do século XIX. Destaco o uso de alguns conceitos científicos na caracterização das personagens de horror, em particular a personagem central do romance do escritor irlandês Abraham Stoker (1847-1912), conhecido por Bram Stoker, </w:t>
      </w:r>
      <w:r>
        <w:rPr>
          <w:i/>
        </w:rPr>
        <w:t>Drácula</w:t>
      </w:r>
      <w:r>
        <w:rPr/>
        <w:t xml:space="preserve"> de 1897. O conceito chave nesse ensaio é o conceito de atavismo. Esse configura um caso típico de importação do conceito com ampliação do raio de ação do mesmo, indo de um conceito originalmente circunscrito ao campo da Anatomia para caracterização de aspectos psicossociais nas obras de horror. As noções de atraso e decadência serão importantes nessa análise como ideias periféricas na caracterização do conceito de atavismo em termos sociais. Essas noções operam como aspectos do conceito de atavismo em termos sociais. Farei uma breve exposição de como o romance de horror se caracteriza como um dissidente da literatura fantástica e que nasceu no final do século XVIII. A análise se dará pelo exame da obra </w:t>
      </w:r>
      <w:r>
        <w:rPr>
          <w:i/>
        </w:rPr>
        <w:t>Drácula</w:t>
      </w:r>
      <w:r>
        <w:rPr/>
        <w:t xml:space="preserve"> em três movimentos: inicialmente farei uma exposição da dimensão estética do romance de horror ao longo do século XIX, posteriormente me dirigirei à relação do romance de horror e a dimensão religiosa, à medida que entendo ser inerente às obras de horror (particularmente no século XIX) a relação com o sagrado e concluirei o ensaio com a análise da dimensão histórico-social em que se dá a apropriação do conceito de atavismo na tipificação da personagem criminosa à luz do discurso da ciência (principalmente a área que se formou no final do século XIX sob o título de criminologia). </w:t>
      </w:r>
    </w:p>
    <w:p>
      <w:pPr>
        <w:pStyle w:val="Normal"/>
        <w:spacing w:lineRule="auto" w:line="360"/>
        <w:ind w:firstLine="709"/>
        <w:jc w:val="both"/>
        <w:rPr/>
      </w:pPr>
      <w:r>
        <w:rPr/>
        <w:t xml:space="preserve">Apontar o surgimento de determinado gênero literário identificando elementos próprios do gênero no qual a obra é considerada precursora é sempre tarefa complexa. Considera-se o livro </w:t>
      </w:r>
      <w:bookmarkStart w:id="0" w:name="OLE_LINK1"/>
      <w:r>
        <w:rPr>
          <w:i/>
        </w:rPr>
        <w:t>Os sofrimentos do jovem Werther</w:t>
      </w:r>
      <w:bookmarkEnd w:id="0"/>
      <w:r>
        <w:rPr/>
        <w:t xml:space="preserve"> (1774) de Goethe como obra que inicia o romantismo na Europa, muito embora os críticos apontem características românticas em livros anteriores. O romance </w:t>
      </w:r>
      <w:r>
        <w:rPr>
          <w:i/>
        </w:rPr>
        <w:t>Madame Bovary</w:t>
      </w:r>
      <w:r>
        <w:rPr/>
        <w:t xml:space="preserve"> (1857) de Flaubert é considerado a obra que inaugura o realismo na literatura europeia, o que não implica na recusa da existência de elementos realistas nas obras de Stendhal ou Balzac. Com o romance de horror não seria diferente, gênero que se desenvolve ao longo do século XIX, considera-se o livro </w:t>
      </w:r>
      <w:r>
        <w:rPr>
          <w:i/>
        </w:rPr>
        <w:t xml:space="preserve">The Castle of Otranto </w:t>
      </w:r>
      <w:r>
        <w:rPr/>
        <w:t>(1765) de Horace Walpole a primeira obra de horror na literatura.</w:t>
      </w:r>
    </w:p>
    <w:p>
      <w:pPr>
        <w:pStyle w:val="Normal"/>
        <w:spacing w:lineRule="auto" w:line="360"/>
        <w:jc w:val="both"/>
        <w:rPr/>
      </w:pPr>
      <w:r>
        <w:rPr/>
        <w:tab/>
        <w:t xml:space="preserve">Em que medida a literatura de horror se diferencia de outros gêneros? No final do século XVIII, a narrativa literária, em oposição ao racionalismo exacerbado da ilustração, valoriza a existência do fantástico e inverossímil e se constitui como um gênero que ao longo de todo o século seguinte irá sofrer diversas metamorfoses, uma delas originando a literatura de horror </w:t>
      </w:r>
      <w:r>
        <w:rPr>
          <w:rStyle w:val="Caracteresdenotaderodap"/>
          <w:rStyle w:val="Ncoradanotaderodap"/>
        </w:rPr>
        <w:footnoteReference w:id="105"/>
      </w:r>
      <w:r>
        <w:rPr/>
        <w:t>.</w:t>
      </w:r>
    </w:p>
    <w:p>
      <w:pPr>
        <w:pStyle w:val="Normal"/>
        <w:spacing w:lineRule="auto" w:line="360"/>
        <w:jc w:val="both"/>
        <w:rPr/>
      </w:pPr>
      <w:r>
        <w:rPr/>
        <w:tab/>
        <w:t xml:space="preserve">O afastamento do realismo e da ideia de que por meio da razão tão somente se abarca a realidade, marca própria dessa literatura, já se encontra na obra de Walpole, mesmo na crítica aos valores do antigo regime podemos observar já no livro de Walpole, por exemplo, no momento em que o padre questiona o valor do nascimento na tentativa de salvar seu filho da morte certa: </w:t>
      </w:r>
    </w:p>
    <w:p>
      <w:pPr>
        <w:pStyle w:val="Normal"/>
        <w:spacing w:lineRule="auto" w:line="360"/>
        <w:ind w:right="558" w:hanging="0"/>
        <w:rPr/>
      </w:pPr>
      <w:r>
        <w:rPr/>
      </w:r>
    </w:p>
    <w:p>
      <w:pPr>
        <w:pStyle w:val="Normal"/>
        <w:spacing w:lineRule="auto" w:line="360"/>
        <w:ind w:left="708" w:right="558" w:hanging="0"/>
        <w:jc w:val="both"/>
        <w:rPr/>
      </w:pPr>
      <w:r>
        <w:rPr>
          <w:i/>
        </w:rPr>
        <w:t xml:space="preserve">– </w:t>
      </w:r>
      <w:r>
        <w:rPr>
          <w:i/>
        </w:rPr>
        <w:t>Sim – disse o padre interrompendo-o, - o sangue dele é nobre; nem é ele um ser abjeto, assim como a ele tem se referido, meu senhor. Ele é meu filho legítimo e poucas casas existem em toda a Sicília mais antigas do que a dos Falconara... Mas ah, senhor, que significa o sangue? Que significa a nobreza? Somos todos répteis miseráveis criaturas pecadoras.</w:t>
      </w:r>
      <w:r>
        <w:rPr>
          <w:rStyle w:val="Caracteresdenotaderodap"/>
          <w:rStyle w:val="Ncoradanotaderodap"/>
          <w:i/>
        </w:rPr>
        <w:footnoteReference w:id="106"/>
      </w:r>
      <w:r>
        <w:rPr>
          <w:i/>
        </w:rPr>
        <w:t xml:space="preserve"> </w:t>
      </w:r>
      <w:r>
        <w:rPr/>
        <w:t xml:space="preserve"> </w:t>
      </w:r>
    </w:p>
    <w:p>
      <w:pPr>
        <w:pStyle w:val="Normal"/>
        <w:spacing w:lineRule="auto" w:line="360"/>
        <w:ind w:left="540" w:right="558" w:hanging="0"/>
        <w:jc w:val="both"/>
        <w:rPr/>
      </w:pPr>
      <w:r>
        <w:rPr/>
      </w:r>
    </w:p>
    <w:p>
      <w:pPr>
        <w:pStyle w:val="Normal"/>
        <w:spacing w:lineRule="auto" w:line="360"/>
        <w:jc w:val="both"/>
        <w:rPr/>
      </w:pPr>
      <w:r>
        <w:rPr/>
        <w:tab/>
        <w:t xml:space="preserve">Tzvetan Todorov em seu famoso ensaio </w:t>
      </w:r>
      <w:r>
        <w:rPr>
          <w:i/>
        </w:rPr>
        <w:t>Introdução à literatura fantástica</w:t>
      </w:r>
      <w:r>
        <w:rPr/>
        <w:t xml:space="preserve"> adverte-nos sobre o problema de se analisar uma obra literária e não delimitar se a analise se refere à obra inserida no gênero ao qual é classificada ou se a análise se dá no conjunto da obra do autor. Identificar essa diferenciação não é de todo possível. Cito Todorov sobre essa questão:        </w:t>
      </w:r>
    </w:p>
    <w:p>
      <w:pPr>
        <w:pStyle w:val="Normal"/>
        <w:spacing w:lineRule="auto" w:line="360"/>
        <w:jc w:val="both"/>
        <w:rPr/>
      </w:pPr>
      <w:r>
        <w:rPr/>
      </w:r>
    </w:p>
    <w:p>
      <w:pPr>
        <w:pStyle w:val="Normal"/>
        <w:autoSpaceDE w:val="false"/>
        <w:spacing w:lineRule="auto" w:line="360"/>
        <w:ind w:left="708" w:right="558" w:hanging="0"/>
        <w:jc w:val="both"/>
        <w:rPr/>
      </w:pPr>
      <w:r>
        <w:rPr>
          <w:i/>
          <w:color w:val="000000"/>
        </w:rPr>
        <w:t xml:space="preserve">A expressão literatura fantástica se refere a uma variedade da literatura ou, como se diz normalmente, a um gênero literário. O exame de obras literárias do ponto de vista de um gênero é uma empreitada muito particular. O que aqui tentamos é descobrir uma regra que funcione através de vários textos e nos permita lhes aplicar o nome de “obras fantásticas” e não o que cada um deles tem de específico. Estudar </w:t>
      </w:r>
      <w:r>
        <w:rPr>
          <w:i/>
          <w:iCs/>
        </w:rPr>
        <w:t>A pele de onagro</w:t>
      </w:r>
      <w:r>
        <w:rPr>
          <w:i/>
          <w:iCs/>
          <w:color w:val="FF0000"/>
        </w:rPr>
        <w:t xml:space="preserve"> </w:t>
      </w:r>
      <w:r>
        <w:rPr>
          <w:i/>
          <w:color w:val="000000"/>
        </w:rPr>
        <w:t xml:space="preserve">do ponto de vista do gênero fantástico, não é o mesmo que estudar este livro em si próprio, no conjunto da obra </w:t>
      </w:r>
      <w:r>
        <w:rPr>
          <w:i/>
          <w:iCs/>
        </w:rPr>
        <w:t>balzaquiana</w:t>
      </w:r>
      <w:r>
        <w:rPr>
          <w:i/>
          <w:color w:val="000000"/>
        </w:rPr>
        <w:t>, ou no da literatura contemporânea. O conceito de gênero é, pois, fundamental para a discussão que iniciaremos. Por tal motivo, é necessário começar por esclarecer e precisar este conceito, mesmo que um trabalho desta índole nos afaste, aparentemente, do fantástico em si.</w:t>
      </w:r>
      <w:r>
        <w:rPr>
          <w:rStyle w:val="Caracteresdenotaderodap"/>
          <w:rStyle w:val="Ncoradanotaderodap"/>
          <w:i/>
          <w:color w:val="000000"/>
        </w:rPr>
        <w:footnoteReference w:id="107"/>
      </w:r>
      <w:r>
        <w:rPr>
          <w:color w:val="000000"/>
        </w:rPr>
        <w:t xml:space="preserve">  </w:t>
      </w:r>
    </w:p>
    <w:p>
      <w:pPr>
        <w:pStyle w:val="Normal"/>
        <w:spacing w:lineRule="auto" w:line="360"/>
        <w:ind w:left="2268" w:hanging="0"/>
        <w:jc w:val="both"/>
        <w:rPr/>
      </w:pPr>
      <w:r>
        <w:rPr/>
        <w:t xml:space="preserve">  </w:t>
      </w:r>
      <w:r>
        <w:rPr>
          <w:i/>
        </w:rPr>
        <w:t xml:space="preserve"> </w:t>
      </w:r>
      <w:r>
        <w:rPr/>
        <w:t xml:space="preserve">    </w:t>
      </w:r>
    </w:p>
    <w:p>
      <w:pPr>
        <w:pStyle w:val="Normal"/>
        <w:spacing w:lineRule="auto" w:line="360"/>
        <w:jc w:val="both"/>
        <w:rPr/>
      </w:pPr>
      <w:r>
        <w:rPr/>
        <w:tab/>
        <w:t xml:space="preserve">Seguindo Todorov, adotarei aqui essa dimensão de gênero, uma vez que Stoker se notabilizou pelo seu livro </w:t>
      </w:r>
      <w:r>
        <w:rPr>
          <w:i/>
        </w:rPr>
        <w:t>Drácula</w:t>
      </w:r>
      <w:r>
        <w:rPr/>
        <w:t xml:space="preserve">, não construindo uma vasta obra literária, caso de Balzac mencionado por Todorov. Diante disso, vejamos como Todorov e outros autores entendem a literatura fantástica para depois tentar uma compreensão melhor da literatura de horror, uma vez que a segunda originou-se historicamente da primeira. É importante ressaltar que ao assumir a importância de se caracterizar o gênero literário e os elementos que constituem o romance de horror para poder compreender melhor a obra em questão, não estou dessa maneira desconsiderando a sintaxe interna à obra e ao momento em que a mesma é escrita (Inglaterra da segunda metade do século XIX); em outro momento essa questão terá maior atenção. Não julgo que essa breve passagem pelo universo dos gêneros literários seja necessária para outras abordagens conceituais que faço em outros ensaios ao longo do livro; trata-se de uma escolha local; uma variante de como a proposta apresentada aqui pode se deslocar em função das escolhas do pesquisador.         </w:t>
      </w:r>
    </w:p>
    <w:p>
      <w:pPr>
        <w:pStyle w:val="Normal"/>
        <w:spacing w:lineRule="auto" w:line="360"/>
        <w:jc w:val="both"/>
        <w:rPr/>
      </w:pPr>
      <w:r>
        <w:rPr/>
        <w:tab/>
        <w:t xml:space="preserve">Façamos o seguinte exercício: se ficarmos expondo os diferentes enunciados para a noção de literatura fantástica, certamente não teremos espaço nesse ensaio que possa dar conta do problema, nos afastando dessa forma do objetivo central. Busquemos um enunciado que possa reunir uma maior zona de convergência entre as diferentes opiniões e nos apresente os principais pontos que caracterizam esse gênero e possibilite dessa maneira nossa passagem para o exame da obra de horror (a ideia de que a literatura de horror nasce a partir do fantástico configura uma petição de princípio nesse momento). Para tal, vamos à definição que Todorov oferece para a narrativa fantástica:     </w:t>
      </w:r>
    </w:p>
    <w:p>
      <w:pPr>
        <w:pStyle w:val="Normal"/>
        <w:spacing w:lineRule="auto" w:line="360"/>
        <w:jc w:val="both"/>
        <w:rPr/>
      </w:pPr>
      <w:r>
        <w:rPr/>
      </w:r>
    </w:p>
    <w:p>
      <w:pPr>
        <w:pStyle w:val="Normal"/>
        <w:autoSpaceDE w:val="false"/>
        <w:spacing w:lineRule="auto" w:line="360"/>
        <w:ind w:left="708" w:right="558" w:hanging="0"/>
        <w:jc w:val="both"/>
        <w:rPr/>
      </w:pPr>
      <w:r>
        <w:rPr>
          <w:i/>
        </w:rPr>
        <w:t>Há relatos que contêm elementos sobrenaturais sem que o leitor chegue a interrogar-se nunca sobre sua natureza, porque bem sabe que não deve tomá-los ao pé da letra. Se os animais falarem, não temos nenhuma dúvida: sabemos que as palavras do texto devem ser tomadas em outro sentido, que denominamos alegórico.</w:t>
      </w:r>
      <w:r>
        <w:rPr>
          <w:rStyle w:val="Caracteresdenotaderodap"/>
          <w:rStyle w:val="Ncoradanotaderodap"/>
          <w:i/>
        </w:rPr>
        <w:footnoteReference w:id="108"/>
      </w:r>
      <w:r>
        <w:rPr/>
        <w:t xml:space="preserve"> </w:t>
      </w:r>
    </w:p>
    <w:p>
      <w:pPr>
        <w:pStyle w:val="Normal"/>
        <w:spacing w:lineRule="auto" w:line="360"/>
        <w:jc w:val="both"/>
        <w:rPr/>
      </w:pPr>
      <w:r>
        <w:rPr/>
      </w:r>
    </w:p>
    <w:p>
      <w:pPr>
        <w:pStyle w:val="Normal"/>
        <w:spacing w:lineRule="auto" w:line="360"/>
        <w:jc w:val="both"/>
        <w:rPr/>
      </w:pPr>
      <w:r>
        <w:rPr/>
        <w:t>Ao que o mesmo segue,</w:t>
      </w:r>
    </w:p>
    <w:p>
      <w:pPr>
        <w:pStyle w:val="Normal"/>
        <w:spacing w:lineRule="auto" w:line="360"/>
        <w:jc w:val="both"/>
        <w:rPr/>
      </w:pPr>
      <w:r>
        <w:rPr/>
      </w:r>
    </w:p>
    <w:p>
      <w:pPr>
        <w:pStyle w:val="Normal"/>
        <w:autoSpaceDE w:val="false"/>
        <w:spacing w:lineRule="auto" w:line="360"/>
        <w:ind w:left="708" w:right="558" w:hanging="0"/>
        <w:jc w:val="both"/>
        <w:rPr/>
      </w:pPr>
      <w:r>
        <w:rPr>
          <w:i/>
        </w:rPr>
        <w:t>O primeiro traço famoso é um determinado emprego do discurso figurado. O sobrenatural nasce freqüentemente do fato de que o sentido figurado é tomado literalmente. Em realidade, as figuras retóricas estão ligadas ao fantástico de diversas maneiras, e é preciso distinguir essas relações.</w:t>
      </w:r>
      <w:r>
        <w:rPr>
          <w:rStyle w:val="Caracteresdenotaderodap"/>
          <w:rStyle w:val="Ncoradanotaderodap"/>
          <w:i/>
        </w:rPr>
        <w:footnoteReference w:id="109"/>
      </w:r>
      <w:r>
        <w:rPr/>
        <w:t xml:space="preserve"> </w:t>
      </w:r>
    </w:p>
    <w:p>
      <w:pPr>
        <w:pStyle w:val="Normal"/>
        <w:autoSpaceDE w:val="false"/>
        <w:spacing w:lineRule="auto" w:line="360"/>
        <w:ind w:left="540" w:right="558" w:hanging="0"/>
        <w:jc w:val="both"/>
        <w:rPr/>
      </w:pPr>
      <w:r>
        <w:rPr/>
      </w:r>
    </w:p>
    <w:p>
      <w:pPr>
        <w:pStyle w:val="Normal"/>
        <w:spacing w:lineRule="auto" w:line="360"/>
        <w:jc w:val="both"/>
        <w:rPr/>
      </w:pPr>
      <w:r>
        <w:rPr/>
        <w:tab/>
        <w:t xml:space="preserve">Diante do enunciado adotado a partir de Todorov podemos ter já uma melhor caracterização do romance fantástico e até mesmo do romance de horror, já que Todorov, no enunciado acima apresenta uma característica do sobrenatural (entendo sobrenatural como o horror nesse contexto). Mas a presença do sobrenatural e do inverossímil é suficiente para caracterizar a narrativa fantástica? A fábula não faz uso desses elementos também? Como diferenciar um conto de horror de um conto de fadas na definição que adotamos? </w:t>
      </w:r>
    </w:p>
    <w:p>
      <w:pPr>
        <w:pStyle w:val="Normal"/>
        <w:spacing w:lineRule="auto" w:line="360"/>
        <w:jc w:val="both"/>
        <w:rPr>
          <w:b/>
          <w:b/>
        </w:rPr>
      </w:pPr>
      <w:r>
        <w:rPr>
          <w:b/>
        </w:rPr>
      </w:r>
    </w:p>
    <w:p>
      <w:pPr>
        <w:pStyle w:val="Normal"/>
        <w:spacing w:lineRule="auto" w:line="360"/>
        <w:jc w:val="both"/>
        <w:rPr>
          <w:b/>
          <w:b/>
        </w:rPr>
      </w:pPr>
      <w:r>
        <w:rPr>
          <w:b/>
        </w:rPr>
        <w:t>A filosofia do horror</w:t>
      </w:r>
    </w:p>
    <w:p>
      <w:pPr>
        <w:pStyle w:val="Normal"/>
        <w:spacing w:lineRule="auto" w:line="360"/>
        <w:jc w:val="both"/>
        <w:rPr>
          <w:b/>
          <w:b/>
        </w:rPr>
      </w:pPr>
      <w:r>
        <w:rPr>
          <w:b/>
        </w:rPr>
      </w:r>
    </w:p>
    <w:p>
      <w:pPr>
        <w:pStyle w:val="Normal"/>
        <w:spacing w:lineRule="auto" w:line="360"/>
        <w:jc w:val="both"/>
        <w:rPr/>
      </w:pPr>
      <w:r>
        <w:rPr/>
        <w:tab/>
        <w:t>O problema posto acima sobre como diferenciar a literatura de horror e a narrativa dos contos de fada pressupõe um alargamento na definição de uma dessas narrativas, ou ambas a fim de evitarmos estender o problema. Vejamos sob a perspectiva da ampliação do enunciado da narrativa de horror. Lovecraft caracterizou o romance de horror da seguinte maneira:</w:t>
      </w:r>
    </w:p>
    <w:p>
      <w:pPr>
        <w:pStyle w:val="Normal"/>
        <w:spacing w:lineRule="auto" w:line="360"/>
        <w:jc w:val="both"/>
        <w:rPr/>
      </w:pPr>
      <w:r>
        <w:rPr/>
      </w:r>
    </w:p>
    <w:p>
      <w:pPr>
        <w:pStyle w:val="Normal"/>
        <w:spacing w:lineRule="auto" w:line="360"/>
        <w:ind w:left="708" w:right="558" w:hanging="0"/>
        <w:jc w:val="both"/>
        <w:rPr/>
      </w:pPr>
      <w:r>
        <w:rPr>
          <w:i/>
        </w:rPr>
        <w:t>Não se deve confundir esse tipo de literatura de pavor com um tipo bastante semelhante mas psicologicamente muito diferente: a literatura do medo meramente físico e do horror terreno. Sem dúvida ela tem o seu lugar, como o tem a história de fantasma corriqueira ou mesmo humorística ou extravagante, em que o formalismo ou a piscadela irônica do autor elimina o verdadeiro senso do mórbido e do inatural; mas não é a literatura do pavor cósmico em sua acepção mais pura. O verdadeiro conto de horror tem algo mais que sacrifícios secretos, ossos ensanguentados ou formas amortalhadas fazendo tinir correntes em concordância com as regras. Há que estar presente uma certa atmosfera de terror sufocante e inexplicável ante forças externas ignotas; e tem que haver uma alusão, expressa com a solenidade e seriedade adequada ao tema, à mais terrível concepção da inteligência humana – uma suspensão ou derrogação particular das imutáveis leis da Natureza, que são a nossa única defesa contra as agressões do caos e dos demônios do espaço insondado.</w:t>
      </w:r>
      <w:r>
        <w:rPr>
          <w:rStyle w:val="Caracteresdenotaderodap"/>
          <w:rStyle w:val="Ncoradanotaderodap"/>
          <w:i/>
        </w:rPr>
        <w:footnoteReference w:id="110"/>
      </w:r>
      <w:r>
        <w:rPr>
          <w:i/>
        </w:rPr>
        <w:t xml:space="preserve"> </w:t>
      </w:r>
    </w:p>
    <w:p>
      <w:pPr>
        <w:pStyle w:val="Normal"/>
        <w:spacing w:lineRule="auto" w:line="360"/>
        <w:jc w:val="both"/>
        <w:rPr/>
      </w:pPr>
      <w:r>
        <w:rPr/>
        <w:t xml:space="preserve"> </w:t>
      </w:r>
    </w:p>
    <w:p>
      <w:pPr>
        <w:pStyle w:val="Normal"/>
        <w:spacing w:lineRule="auto" w:line="360"/>
        <w:jc w:val="both"/>
        <w:rPr/>
      </w:pPr>
      <w:r>
        <w:rPr/>
        <w:tab/>
        <w:t xml:space="preserve">A atmosfera de terror apontada por Lovecraft junto à relação que se estabelece entre as personagens e os elementos do sobrenatural (monstros, fantasmas, mortos-vivos etc) é o elemento que quero trabalhar como caracterizador da narrativa de horror. Noel Carroll propõe uma estética do horror no ensaio </w:t>
      </w:r>
      <w:r>
        <w:rPr>
          <w:i/>
        </w:rPr>
        <w:t>A filosofia do horror ou paradoxos do coração</w:t>
      </w:r>
      <w:r>
        <w:rPr/>
        <w:t xml:space="preserve">, em que o autor busca uma teoria do horror. Seu interesse é o cinema de horror, mas Carroll admite que, sendo o cinema e a literatura formas de expressão artística diferentes e com linguagem própria (desconsidera-se aqui a dimensão comercial do cinema, aludindo apenas aos aspectos estéticos) a natureza do horror está além de sua apropriação pelo cinema, ultrapassa mesmo a representação literária, o que serviria de fio condutor da investigação de Carroll.    </w:t>
      </w:r>
    </w:p>
    <w:p>
      <w:pPr>
        <w:pStyle w:val="Normal"/>
        <w:spacing w:lineRule="auto" w:line="360"/>
        <w:jc w:val="both"/>
        <w:rPr/>
      </w:pPr>
      <w:r>
        <w:rPr/>
        <w:tab/>
        <w:t xml:space="preserve">Carroll não discorda da opinião comum da critica em atribuir ao livro de Walpole (The castle of Otranto) a condição de primeira história de horror na literatura. É importante na análise de Carroll a distinção entre tipos de narrativas góticas, lembrando que o romance de Walpole é um típico romance desse período; as variações da novela gótica são: (1) O gótico histórico: em que se representa uma história situada no passado imaginado, sem sugerir eventos sobrenaturais; (2) O gótico natural: introduz o que parece serem fenômenos sobrenaturais apenas para dissolvê-los por meio da razão, exemplo </w:t>
      </w:r>
      <w:r>
        <w:rPr>
          <w:i/>
        </w:rPr>
        <w:t>Os mistérios de Udolpho</w:t>
      </w:r>
      <w:r>
        <w:rPr/>
        <w:t xml:space="preserve"> de 1794 de Ann Radcliffe; (3) O gótico equívoco: torna ambígua a origem sobrenatural dos acontecimentos que aparecem no texto em personagens psicologicamente perturbados, exemplo </w:t>
      </w:r>
      <w:r>
        <w:rPr>
          <w:i/>
        </w:rPr>
        <w:t>Edgar Huntly or memoirs of a sleep-walker</w:t>
      </w:r>
      <w:r>
        <w:rPr/>
        <w:t xml:space="preserve"> de Charles Brockden Brown publicado em 1799. O gótico equívoco assumiria, segundo Carroll, aos poucos uma roupagem sinistra se ‘transformando’ no que ele chamou de ‘gótico sobrenatural’. </w:t>
      </w:r>
    </w:p>
    <w:p>
      <w:pPr>
        <w:pStyle w:val="Normal"/>
        <w:spacing w:lineRule="auto" w:line="360"/>
        <w:ind w:left="2268" w:right="558" w:hanging="0"/>
        <w:jc w:val="both"/>
        <w:rPr>
          <w:i/>
          <w:i/>
        </w:rPr>
      </w:pPr>
      <w:r>
        <w:rPr>
          <w:i/>
        </w:rPr>
      </w:r>
    </w:p>
    <w:p>
      <w:pPr>
        <w:pStyle w:val="Normal"/>
        <w:spacing w:lineRule="auto" w:line="360"/>
        <w:ind w:left="708" w:right="558" w:hanging="0"/>
        <w:jc w:val="both"/>
        <w:rPr>
          <w:i/>
          <w:i/>
        </w:rPr>
      </w:pPr>
      <w:r>
        <w:rPr>
          <w:i/>
        </w:rPr>
        <w:t>Da maior importância para a evolução do gênero do horror propriamente dito foi o gótico sobrenatural, no qual a existência e a ação cruel de forças não naturais são afirmadas de maneira vívida.</w:t>
      </w:r>
      <w:r>
        <w:rPr>
          <w:rStyle w:val="Caracteresdenotaderodap"/>
          <w:rStyle w:val="Ncoradanotaderodap"/>
          <w:i/>
        </w:rPr>
        <w:footnoteReference w:id="111"/>
      </w:r>
      <w:r>
        <w:rPr/>
        <w:t xml:space="preserve"> </w:t>
      </w:r>
    </w:p>
    <w:p>
      <w:pPr>
        <w:pStyle w:val="Normal"/>
        <w:spacing w:lineRule="auto" w:line="360"/>
        <w:ind w:right="558" w:hanging="0"/>
        <w:jc w:val="both"/>
        <w:rPr>
          <w:b/>
          <w:b/>
          <w:i/>
          <w:i/>
        </w:rPr>
      </w:pPr>
      <w:r>
        <w:rPr>
          <w:b/>
          <w:i/>
        </w:rPr>
      </w:r>
    </w:p>
    <w:p>
      <w:pPr>
        <w:pStyle w:val="Normal"/>
        <w:spacing w:lineRule="auto" w:line="360"/>
        <w:ind w:right="18" w:hanging="0"/>
        <w:jc w:val="both"/>
        <w:rPr/>
      </w:pPr>
      <w:r>
        <w:rPr/>
        <w:tab/>
        <w:t>Após a delimitação das origens do horror, Carroll nos oferece o que considero o melhor enunciado para a caracterização do romance de horror, que exige a presença do sobrenatural (comumente representado na figura de monstros, morto-vivos, vampiros etc) na distinção, sobretudo, do terror enraizado em histórias de psicologias anormais (</w:t>
      </w:r>
      <w:r>
        <w:rPr>
          <w:rStyle w:val="Nfase"/>
          <w:b w:val="false"/>
          <w:shd w:fill="FFFFFF" w:val="clear"/>
        </w:rPr>
        <w:t xml:space="preserve">Dostoiévski, </w:t>
      </w:r>
      <w:r>
        <w:rPr/>
        <w:t>Selma</w:t>
      </w:r>
      <w:r>
        <w:rPr>
          <w:rStyle w:val="Nfase"/>
          <w:b w:val="false"/>
          <w:shd w:fill="FFFFFF" w:val="clear"/>
        </w:rPr>
        <w:t xml:space="preserve"> </w:t>
      </w:r>
      <w:r>
        <w:rPr/>
        <w:t xml:space="preserve">Lagerlöf, André Gide entre outros autores). </w:t>
      </w:r>
    </w:p>
    <w:p>
      <w:pPr>
        <w:pStyle w:val="Normal"/>
        <w:spacing w:lineRule="auto" w:line="360"/>
        <w:ind w:right="18" w:hanging="0"/>
        <w:jc w:val="both"/>
        <w:rPr/>
      </w:pPr>
      <w:r>
        <w:rPr/>
      </w:r>
    </w:p>
    <w:p>
      <w:pPr>
        <w:pStyle w:val="Normal"/>
        <w:spacing w:lineRule="auto" w:line="360"/>
        <w:ind w:left="708" w:right="558" w:hanging="0"/>
        <w:jc w:val="both"/>
        <w:rPr/>
      </w:pPr>
      <w:r>
        <w:rPr>
          <w:i/>
        </w:rPr>
        <w:t>O que parece servir de demarcação entre a história de horror e meras histórias com monstros, tais como os mitos, é a atitude das personagens da história em relação aos monstros com que se deparam. Nas obras de horror, os humanos encaram os monstros que encontram como anormais, como perturbações da ordem natural. Nos contos de fada, por outro lado, os monstros fazem parte do mobiliário cotidiano do universo.</w:t>
      </w:r>
      <w:r>
        <w:rPr>
          <w:rStyle w:val="Caracteresdenotaderodap"/>
          <w:rStyle w:val="Ncoradanotaderodap"/>
          <w:i/>
        </w:rPr>
        <w:footnoteReference w:id="112"/>
      </w:r>
      <w:r>
        <w:rPr/>
        <w:t xml:space="preserve"> </w:t>
      </w:r>
    </w:p>
    <w:p>
      <w:pPr>
        <w:pStyle w:val="Normal"/>
        <w:spacing w:lineRule="auto" w:line="360"/>
        <w:ind w:right="558" w:hanging="0"/>
        <w:jc w:val="both"/>
        <w:rPr/>
      </w:pPr>
      <w:r>
        <w:rPr/>
      </w:r>
    </w:p>
    <w:p>
      <w:pPr>
        <w:pStyle w:val="Normal"/>
        <w:spacing w:lineRule="auto" w:line="360"/>
        <w:ind w:right="558" w:hanging="0"/>
        <w:jc w:val="both"/>
        <w:rPr/>
      </w:pPr>
      <w:r>
        <w:rPr/>
        <w:t xml:space="preserve">Carroll afirma ainda, </w:t>
      </w:r>
    </w:p>
    <w:p>
      <w:pPr>
        <w:pStyle w:val="Normal"/>
        <w:spacing w:lineRule="auto" w:line="360"/>
        <w:ind w:left="2268" w:right="558" w:hanging="0"/>
        <w:jc w:val="both"/>
        <w:rPr/>
      </w:pPr>
      <w:r>
        <w:rPr/>
      </w:r>
    </w:p>
    <w:p>
      <w:pPr>
        <w:pStyle w:val="Normal"/>
        <w:spacing w:lineRule="auto" w:line="360"/>
        <w:ind w:left="708" w:right="558" w:hanging="0"/>
        <w:jc w:val="both"/>
        <w:rPr/>
      </w:pPr>
      <w:r>
        <w:rPr>
          <w:i/>
        </w:rPr>
        <w:t>(...) nos exemplos do horror, ficaria claro que o monstro é uma personagem extraordinária num mundo ordinário, ao passo que, nos contos de fada e assemelhados, o monstro é uma criatura ordinária num mundo extraordinário. É o caráter extraordinário desse mundo – a sua distância em relação ao nosso próprio mundo – é muitas vezes marcado por fórmulas como ‘era uma vez’.</w:t>
      </w:r>
      <w:r>
        <w:rPr>
          <w:rStyle w:val="Caracteresdenotaderodap"/>
          <w:rStyle w:val="Ncoradanotaderodap"/>
          <w:i/>
        </w:rPr>
        <w:footnoteReference w:id="113"/>
      </w:r>
      <w:r>
        <w:rPr/>
        <w:t xml:space="preserve"> </w:t>
      </w:r>
    </w:p>
    <w:p>
      <w:pPr>
        <w:pStyle w:val="Normal"/>
        <w:spacing w:lineRule="auto" w:line="360"/>
        <w:ind w:right="558" w:hanging="0"/>
        <w:jc w:val="both"/>
        <w:rPr/>
      </w:pPr>
      <w:r>
        <w:rPr/>
      </w:r>
    </w:p>
    <w:p>
      <w:pPr>
        <w:pStyle w:val="Normal"/>
        <w:spacing w:lineRule="auto" w:line="360"/>
        <w:ind w:right="558" w:hanging="0"/>
        <w:jc w:val="both"/>
        <w:rPr/>
      </w:pPr>
      <w:r>
        <w:rPr/>
        <w:tab/>
        <w:t xml:space="preserve">O romance de horror, da maneira como Carroll entende, se distancia completamente do mito ou dos contos de fada, desta forma conseguimos uma moldura de gênero para nosso exame do </w:t>
      </w:r>
      <w:r>
        <w:rPr>
          <w:i/>
        </w:rPr>
        <w:t>Drácula</w:t>
      </w:r>
      <w:r>
        <w:rPr/>
        <w:t xml:space="preserve"> de Bram Stoker (o caráter extraordinário das personagens em detrimento do caráter ordinário do mundo em que vivem indica certa premência em se examinar a composição desses seres em relação ao mundo que habitam. É imperativo estender o olhar ao mobiliário ao invés do mundo, em outros termos, se compreende o mundo por seu mobiliário; no caso o mobiliário são os seres que habitam o mundo; refiro-me ao mobiliário orgânico). Para a compreensão dessa filosofia do horror se faz necessário expor alguns pontos ainda concernentes à natureza do que Carroll chama de ‘horror artístico’ e a relevância da questão geográfica nas histórias de horror.      </w:t>
      </w:r>
    </w:p>
    <w:p>
      <w:pPr>
        <w:pStyle w:val="Normal"/>
        <w:spacing w:lineRule="auto" w:line="360"/>
        <w:jc w:val="both"/>
        <w:rPr/>
      </w:pPr>
      <w:r>
        <w:rPr/>
        <w:tab/>
        <w:t>Em busca do que gera a emoção do horror, Carroll questiona o que causa a sensação tão própria da obra de horror,</w:t>
      </w:r>
    </w:p>
    <w:p>
      <w:pPr>
        <w:pStyle w:val="Normal"/>
        <w:spacing w:lineRule="auto" w:line="360"/>
        <w:jc w:val="both"/>
        <w:rPr/>
      </w:pPr>
      <w:r>
        <w:rPr/>
      </w:r>
    </w:p>
    <w:p>
      <w:pPr>
        <w:pStyle w:val="Normal"/>
        <w:spacing w:lineRule="auto" w:line="360"/>
        <w:ind w:left="708" w:right="558" w:hanging="0"/>
        <w:jc w:val="both"/>
        <w:rPr/>
      </w:pPr>
      <w:r>
        <w:rPr>
          <w:i/>
        </w:rPr>
        <w:t>(...) não posso ser horrorizado artisticamente por uma entidade que não considero ameaçadora e impura. Posso estar em algum estado emocional em relação a essa entidade, mas ele não é o horror artístico.</w:t>
      </w:r>
      <w:r>
        <w:rPr>
          <w:rStyle w:val="Caracteresdenotaderodap"/>
          <w:rStyle w:val="Ncoradanotaderodap"/>
          <w:i/>
        </w:rPr>
        <w:footnoteReference w:id="114"/>
      </w:r>
      <w:r>
        <w:rPr/>
        <w:t xml:space="preserve"> </w:t>
      </w:r>
    </w:p>
    <w:p>
      <w:pPr>
        <w:pStyle w:val="Normal"/>
        <w:spacing w:lineRule="auto" w:line="360"/>
        <w:jc w:val="both"/>
        <w:rPr/>
      </w:pPr>
      <w:r>
        <w:rPr/>
      </w:r>
    </w:p>
    <w:p>
      <w:pPr>
        <w:pStyle w:val="Normal"/>
        <w:spacing w:lineRule="auto" w:line="360"/>
        <w:jc w:val="both"/>
        <w:rPr/>
      </w:pPr>
      <w:r>
        <w:rPr/>
        <w:tab/>
        <w:t xml:space="preserve">É o objeto formal que permite a identificação da emoção de horror, são as impurezas e a ameaça que dão corpo à entidade caracterizando o horror artístico. </w:t>
      </w:r>
    </w:p>
    <w:p>
      <w:pPr>
        <w:pStyle w:val="Normal"/>
        <w:spacing w:lineRule="auto" w:line="360"/>
        <w:jc w:val="both"/>
        <w:rPr/>
      </w:pPr>
      <w:r>
        <w:rPr/>
      </w:r>
    </w:p>
    <w:p>
      <w:pPr>
        <w:pStyle w:val="Normal"/>
        <w:spacing w:lineRule="auto" w:line="360"/>
        <w:ind w:left="708" w:right="558" w:hanging="0"/>
        <w:jc w:val="both"/>
        <w:rPr/>
      </w:pPr>
      <w:r>
        <w:rPr>
          <w:i/>
        </w:rPr>
        <w:t>O Drácula que nos horroriza artisticamente não tem coordenadas espaços-temporais que possam ser especificadas; ele não existe. Então, que tipo de objeto particular é ele?</w:t>
      </w:r>
      <w:r>
        <w:rPr>
          <w:rStyle w:val="Caracteresdenotaderodap"/>
          <w:rStyle w:val="Ncoradanotaderodap"/>
          <w:i/>
        </w:rPr>
        <w:footnoteReference w:id="115"/>
      </w:r>
      <w:r>
        <w:rPr/>
        <w:t xml:space="preserve"> </w:t>
      </w:r>
    </w:p>
    <w:p>
      <w:pPr>
        <w:pStyle w:val="Normal"/>
        <w:spacing w:lineRule="auto" w:line="360"/>
        <w:ind w:left="2268" w:right="558" w:hanging="0"/>
        <w:jc w:val="both"/>
        <w:rPr/>
      </w:pPr>
      <w:r>
        <w:rPr/>
      </w:r>
    </w:p>
    <w:p>
      <w:pPr>
        <w:pStyle w:val="Normal"/>
        <w:spacing w:lineRule="auto" w:line="360"/>
        <w:ind w:right="18" w:hanging="0"/>
        <w:jc w:val="both"/>
        <w:rPr/>
      </w:pPr>
      <w:r>
        <w:rPr/>
        <w:tab/>
        <w:t xml:space="preserve">Carroll nos responde que o ‘objeto particular do horror artístico é um pensamento’. Por isso, Carroll vai chamar de ‘monstros intersticiais’ aos monstros dos romances de horror, ou seja, é necessário que os monstros estejam mortos e vivos, numa mescla do animado com o inanimado. A ameaça se constitui pela impureza da própria entidade. Podemos ver bem esse arquétipo nas criaturas em que Drácula se transforma, por exemplo, em ratos. O problema da falta de identificação da natureza do monstro se refere às nossas categorias de orgânico e mecânico; a possibilidade de existência orgânica desses seres não existe, por isso, só podemos conceber a urgência deles em um gênero específico literário como alegórico. </w:t>
      </w:r>
    </w:p>
    <w:p>
      <w:pPr>
        <w:pStyle w:val="Normal"/>
        <w:spacing w:lineRule="auto" w:line="360"/>
        <w:ind w:left="2268" w:right="558" w:hanging="0"/>
        <w:jc w:val="both"/>
        <w:rPr>
          <w:i/>
          <w:i/>
        </w:rPr>
      </w:pPr>
      <w:r>
        <w:rPr>
          <w:i/>
        </w:rPr>
      </w:r>
    </w:p>
    <w:p>
      <w:pPr>
        <w:pStyle w:val="Normal"/>
        <w:spacing w:lineRule="auto" w:line="360"/>
        <w:ind w:left="708" w:right="558" w:hanging="0"/>
        <w:jc w:val="both"/>
        <w:rPr/>
      </w:pPr>
      <w:r>
        <w:rPr>
          <w:i/>
        </w:rPr>
        <w:t>(...) de fato, o recurso frequente à referência a monstros por pronomes como ‘isso’ e ‘eles’ sugere que essas criaturas não podem ser classificadas segundo nossas categorias estabelecidas.</w:t>
      </w:r>
      <w:r>
        <w:rPr>
          <w:rStyle w:val="Caracteresdenotaderodap"/>
          <w:rStyle w:val="Ncoradanotaderodap"/>
          <w:i/>
        </w:rPr>
        <w:footnoteReference w:id="116"/>
      </w:r>
      <w:r>
        <w:rPr>
          <w:i/>
        </w:rPr>
        <w:t xml:space="preserve">  </w:t>
      </w:r>
    </w:p>
    <w:p>
      <w:pPr>
        <w:pStyle w:val="Normal"/>
        <w:spacing w:lineRule="auto" w:line="360"/>
        <w:jc w:val="both"/>
        <w:rPr>
          <w:b/>
          <w:b/>
          <w:i/>
          <w:i/>
        </w:rPr>
      </w:pPr>
      <w:r>
        <w:rPr>
          <w:b/>
          <w:i/>
        </w:rPr>
      </w:r>
    </w:p>
    <w:p>
      <w:pPr>
        <w:pStyle w:val="Normal"/>
        <w:spacing w:lineRule="auto" w:line="360"/>
        <w:jc w:val="both"/>
        <w:rPr/>
      </w:pPr>
      <w:r>
        <w:rPr/>
        <w:tab/>
        <w:t>Outro ponto importante para encerrarmos esse movimento do texto diz respeito à representação geográfica no romance de horror. Cito novamente Carroll:</w:t>
      </w:r>
    </w:p>
    <w:p>
      <w:pPr>
        <w:pStyle w:val="Normal"/>
        <w:spacing w:lineRule="auto" w:line="360"/>
        <w:jc w:val="both"/>
        <w:rPr/>
      </w:pPr>
      <w:r>
        <w:rPr/>
      </w:r>
    </w:p>
    <w:p>
      <w:pPr>
        <w:pStyle w:val="Normal"/>
        <w:spacing w:lineRule="auto" w:line="360"/>
        <w:ind w:left="708" w:right="558" w:hanging="0"/>
        <w:jc w:val="both"/>
        <w:rPr/>
      </w:pPr>
      <w:r>
        <w:rPr>
          <w:i/>
        </w:rPr>
        <w:t>Também é verdade que a geografia das histórias de horror geralmente situam a origem dos monstros em lugares como continentes perdidos ou o espaço sideral. (...) as criaturas vem de lugares marginais, ocultas ou abandonadas: cemitérios, torres e castelos abandonados, esgotos ou casas velhas – isto é, pertencem a arrabaldes fora e desconhecidos do comércio social comum. Dada a teoria do horror exposta anteriormente, é tentador interpretar a geografia do horror como uma espacialização ou literalização figurativa da noção de que o que horroriza é o que fica fora das categorias sociais e é, forçosamente, desconhecido.</w:t>
      </w:r>
      <w:r>
        <w:rPr>
          <w:rStyle w:val="Caracteresdenotaderodap"/>
          <w:rStyle w:val="Ncoradanotaderodap"/>
          <w:i/>
        </w:rPr>
        <w:footnoteReference w:id="117"/>
      </w:r>
      <w:r>
        <w:rPr>
          <w:i/>
        </w:rPr>
        <w:t xml:space="preserve"> </w:t>
      </w:r>
    </w:p>
    <w:p>
      <w:pPr>
        <w:pStyle w:val="Normal"/>
        <w:spacing w:lineRule="auto" w:line="360"/>
        <w:jc w:val="both"/>
        <w:rPr>
          <w:b/>
          <w:b/>
        </w:rPr>
      </w:pPr>
      <w:r>
        <w:rPr>
          <w:b/>
        </w:rPr>
      </w:r>
    </w:p>
    <w:p>
      <w:pPr>
        <w:pStyle w:val="Normal"/>
        <w:spacing w:lineRule="auto" w:line="360"/>
        <w:jc w:val="both"/>
        <w:rPr/>
      </w:pPr>
      <w:r>
        <w:rPr/>
        <w:tab/>
        <w:t xml:space="preserve">É interessante a maneira como Carroll termina a última citação, sugerindo que o horror serve para figurar, na literatura, aquilo ou aqueles que se encontram fora das categorias sociais aceitáveis. Essa leitura encontra respaldo em outras análises históricas em que se descrevem muitas das cidades no século XIX, período de gestação do romance de horror, como cenário daquilo que se tornou presença constante na caracterização geográfica de muitos desses romances. </w:t>
      </w:r>
    </w:p>
    <w:p>
      <w:pPr>
        <w:pStyle w:val="Normal"/>
        <w:spacing w:lineRule="auto" w:line="360"/>
        <w:jc w:val="both"/>
        <w:rPr/>
      </w:pPr>
      <w:r>
        <w:rPr/>
      </w:r>
    </w:p>
    <w:p>
      <w:pPr>
        <w:pStyle w:val="Normal"/>
        <w:spacing w:lineRule="auto" w:line="360"/>
        <w:ind w:left="708" w:right="558" w:hanging="0"/>
        <w:jc w:val="both"/>
        <w:rPr/>
      </w:pPr>
      <w:r>
        <w:rPr>
          <w:i/>
        </w:rPr>
        <w:t>A triunfante sociedade inglesa, que sempre se sentira capaz de contornar a miséria que esteve a sua volta, espanta-se ao descobrir que o homem pobre nasce de suas próprias entranhas. O espetáculo da pobreza produzida pela própria sociedade do trabalho é insuportável.</w:t>
      </w:r>
      <w:r>
        <w:rPr>
          <w:rStyle w:val="Caracteresdenotaderodap"/>
          <w:rStyle w:val="Ncoradanotaderodap"/>
          <w:i/>
        </w:rPr>
        <w:footnoteReference w:id="118"/>
      </w:r>
      <w:r>
        <w:rPr>
          <w:i/>
        </w:rPr>
        <w:t xml:space="preserve"> </w:t>
      </w:r>
    </w:p>
    <w:p>
      <w:pPr>
        <w:pStyle w:val="Normal"/>
        <w:spacing w:lineRule="auto" w:line="360"/>
        <w:ind w:left="540" w:right="558" w:hanging="0"/>
        <w:jc w:val="both"/>
        <w:rPr>
          <w:i/>
          <w:i/>
        </w:rPr>
      </w:pPr>
      <w:r>
        <w:rPr>
          <w:i/>
        </w:rPr>
      </w:r>
    </w:p>
    <w:p>
      <w:pPr>
        <w:pStyle w:val="Normal"/>
        <w:spacing w:lineRule="auto" w:line="360"/>
        <w:ind w:right="18" w:hanging="0"/>
        <w:jc w:val="both"/>
        <w:rPr>
          <w:b/>
          <w:b/>
        </w:rPr>
      </w:pPr>
      <w:r>
        <w:rPr>
          <w:b/>
        </w:rPr>
        <w:t>Algumas considerações sobre a Ciência na segunda metade do século XIX</w:t>
      </w:r>
    </w:p>
    <w:p>
      <w:pPr>
        <w:pStyle w:val="Normal"/>
        <w:spacing w:lineRule="auto" w:line="360"/>
        <w:ind w:right="18" w:hanging="0"/>
        <w:jc w:val="both"/>
        <w:rPr/>
      </w:pPr>
      <w:r>
        <w:rPr/>
        <w:tab/>
      </w:r>
    </w:p>
    <w:p>
      <w:pPr>
        <w:pStyle w:val="Normal"/>
        <w:spacing w:lineRule="auto" w:line="360"/>
        <w:ind w:right="18" w:hanging="0"/>
        <w:jc w:val="both"/>
        <w:rPr/>
      </w:pPr>
      <w:r>
        <w:rPr/>
        <w:tab/>
        <w:t xml:space="preserve">A partir do advento da ciência moderna nos séculos XVI e XVII por meio dos trabalhos de Copérnico, Galileu, Kepler, Vesalius, Harvey, Newton entre outros e posteriormente a fundamentação metafísica que iria separar "definitivamente" a atividade cientifica da teológica, o século XVIII vai sedimentar o ideal de uma ciência bem sucedida na exploração do mundo, a ideia de progresso é uma espécie de pedra angular desse pensamento. A mecânica de Newton terá uma grande aceitação pelos filósofos da ilustração francesa (Voltaire, Diderot e outros enciclopedistas) e da ilustração alemã (Kant foi um dos principais filósofos do período), enquanto um dos principais filósofos da ilustração inglesa (David Hume) iria se opor ao racionalismo cartesiano, que admitia o conhecimento seguro por meio tão somente das operações da razão. </w:t>
      </w:r>
    </w:p>
    <w:p>
      <w:pPr>
        <w:pStyle w:val="Normal"/>
        <w:spacing w:lineRule="auto" w:line="360"/>
        <w:ind w:right="18" w:hanging="0"/>
        <w:jc w:val="both"/>
        <w:rPr/>
      </w:pPr>
      <w:r>
        <w:rPr/>
        <w:tab/>
        <w:t xml:space="preserve">Diante desse panorama do desenvolvimento da ciência do século XVI ao início do XIX, podemos admitir que na segunda metade do século XIX a crença em uma ciência que permita ao homem não apenas investigar e descobrir as leis de funcionamento do mundo, mas dominá-lo por meio do conhecimento dessas leis, seria predominante nos círculos sociais. Embora a historiografia da ciência não admita de forma unanime o final do século XIX como o período do auge dessa crença desmesurada na ciência, podemos com segurança aceitar que parte da comunidade científica do período considerava o método científico o modelo para conduzir os homens ao progresso e a um mundo melhor. Esse método deveria servir de modelo às outras áreas de conhecimento, consideradas ainda em formação, o caso das ciências sociais. </w:t>
      </w:r>
    </w:p>
    <w:p>
      <w:pPr>
        <w:pStyle w:val="Normal"/>
        <w:spacing w:lineRule="auto" w:line="360"/>
        <w:ind w:right="18" w:hanging="0"/>
        <w:jc w:val="both"/>
        <w:rPr>
          <w:lang w:val="pt-PT"/>
        </w:rPr>
      </w:pPr>
      <w:r>
        <w:rPr/>
        <w:tab/>
        <w:t xml:space="preserve">Uma passagem panorâmica e um tanto quanto simplificada da atividade científica nas últimas décadas do século XIX mostra-nos o surgimento das geometrias não-euclidianas e avanço da lógica no que diz respeito à Matemática; na Física se desenvolvia a última das grandes áreas da Física clássica (a denominação de Física clássica ocorre posteriormente em distinção com a Relatividade e a Física Quântica), que é o eletromagnetismo com os trabalhos de Maxwell (1831-1879), na Química, Mendeleieve (1834-1907) organizava os elementos no modelo de tabela periódica que prevaleceu e surgia a Química Orgânica a partir da síntese de uréia por Wohler (a sistematização da química orgânica somente ocorreu na segunda metade do século XIX, embora, a síntese da uréia seja de 1828), na Medicina se desenvolviam anestésicos cada vez mais eficientes e no campo da neurologia </w:t>
      </w:r>
      <w:r>
        <w:rPr>
          <w:bCs/>
          <w:lang w:val="pt-PT"/>
        </w:rPr>
        <w:t xml:space="preserve">Emil Kraepelin (1856-1926) propunha um tratamento para alguns distúrbios pela conversa em que se devia considerar a história de vida do paciente, método que sofreria modificações posteriores e se constituiria como um dos pilares na Psicanálise proposta por Freud. Para fins de nosso interesse devemos destacar algumas pesquisas e duas merecem maior atenção, são elas, os trabalhos de Charles R. Darwin (1809-1882) e sua teoria da evolução das espécies proposta a partir da publicação de seu livro </w:t>
      </w:r>
      <w:r>
        <w:rPr>
          <w:bCs/>
          <w:i/>
          <w:lang w:val="pt-PT"/>
        </w:rPr>
        <w:t>A origem das espécies</w:t>
      </w:r>
      <w:r>
        <w:rPr>
          <w:bCs/>
          <w:lang w:val="pt-PT"/>
        </w:rPr>
        <w:t xml:space="preserve"> de 1859 e a Frenologia, proposta pelo </w:t>
      </w:r>
      <w:r>
        <w:rPr>
          <w:lang w:val="pt-PT"/>
        </w:rPr>
        <w:t xml:space="preserve">médico </w:t>
      </w:r>
      <w:hyperlink r:id="rId5">
        <w:r>
          <w:rPr>
            <w:rStyle w:val="LinkdaInternet"/>
            <w:color w:val="000000"/>
            <w:u w:val="none"/>
            <w:lang w:val="pt-PT"/>
          </w:rPr>
          <w:t>alemão</w:t>
        </w:r>
      </w:hyperlink>
      <w:r>
        <w:rPr>
          <w:color w:val="000000"/>
          <w:lang w:val="pt-PT"/>
        </w:rPr>
        <w:t xml:space="preserve"> </w:t>
      </w:r>
      <w:hyperlink r:id="rId6">
        <w:r>
          <w:rPr>
            <w:rStyle w:val="LinkdaInternet"/>
            <w:color w:val="000000"/>
            <w:u w:val="none"/>
            <w:lang w:val="pt-PT"/>
          </w:rPr>
          <w:t>Franz Joseph Gall</w:t>
        </w:r>
      </w:hyperlink>
      <w:r>
        <w:rPr>
          <w:color w:val="000000"/>
          <w:lang w:val="pt-PT"/>
        </w:rPr>
        <w:t xml:space="preserve"> (</w:t>
      </w:r>
      <w:hyperlink r:id="rId7">
        <w:r>
          <w:rPr>
            <w:rStyle w:val="LinkdaInternet"/>
            <w:color w:val="000000"/>
            <w:u w:val="none"/>
            <w:lang w:val="pt-PT"/>
          </w:rPr>
          <w:t>1758</w:t>
        </w:r>
      </w:hyperlink>
      <w:r>
        <w:rPr>
          <w:color w:val="000000"/>
          <w:lang w:val="pt-PT"/>
        </w:rPr>
        <w:t>-</w:t>
      </w:r>
      <w:hyperlink r:id="rId8">
        <w:r>
          <w:rPr>
            <w:rStyle w:val="LinkdaInternet"/>
            <w:color w:val="000000"/>
            <w:u w:val="none"/>
            <w:lang w:val="pt-PT"/>
          </w:rPr>
          <w:t>1828</w:t>
        </w:r>
      </w:hyperlink>
      <w:r>
        <w:rPr>
          <w:color w:val="000000"/>
          <w:lang w:val="pt-PT"/>
        </w:rPr>
        <w:t>)</w:t>
      </w:r>
      <w:r>
        <w:rPr>
          <w:lang w:val="pt-PT"/>
        </w:rPr>
        <w:t xml:space="preserve"> ainda no início do Século XIX. </w:t>
      </w:r>
    </w:p>
    <w:p>
      <w:pPr>
        <w:pStyle w:val="Normal"/>
        <w:spacing w:lineRule="auto" w:line="360"/>
        <w:ind w:right="18" w:firstLine="708"/>
        <w:jc w:val="both"/>
        <w:rPr/>
      </w:pPr>
      <w:r>
        <w:rPr>
          <w:lang w:val="pt-PT"/>
        </w:rPr>
        <w:t xml:space="preserve">A teoria de Gall propunha que o cérebro estaria dividido em regiões e essas regiões se referiam a cada função do individuo. Esse é o enunciado mais geral possível da teoria de Gall, mas é exatamente o que nos interessa, uma vez que o desenvolvimento de trabalhos como os da criminologia se basearam na teoria frenológica e, muitas vezes nos pressupostos da anatomia comparada desenvolvidos por Cuvier (examinado no terceiro ensaio do presente livro).  </w:t>
      </w:r>
    </w:p>
    <w:p>
      <w:pPr>
        <w:pStyle w:val="Normal"/>
        <w:spacing w:lineRule="auto" w:line="360"/>
        <w:ind w:right="18" w:hanging="0"/>
        <w:jc w:val="both"/>
        <w:rPr/>
      </w:pPr>
      <w:r>
        <w:rPr>
          <w:lang w:val="pt-PT"/>
        </w:rPr>
        <w:tab/>
        <w:t>A apropriação da obra de Darwin e o desenvolvimento da criminologia imprimiram a noção de determinismo biológico de tal maneira que as influências dessas ideias sobre as explicações sociais e politicas coincidiram com os eventos que se desenvolviam no mundo, principalmente os relacionados ao processo de colonização de países na África</w:t>
      </w:r>
      <w:r>
        <w:rPr>
          <w:rStyle w:val="Caracteresdenotaderodap"/>
          <w:rStyle w:val="Ncoradanotaderodap"/>
          <w:lang w:val="pt-PT"/>
        </w:rPr>
        <w:footnoteReference w:id="119"/>
      </w:r>
      <w:r>
        <w:rPr>
          <w:lang w:val="pt-PT"/>
        </w:rPr>
        <w:t xml:space="preserve">. Um exemplo disso encontra-se na descrição que Jonathan Harker faz do conde Drácula, ressaltando o nariz aquilino e as curvas da face, característica comum na descrição de criminosos por exame craniométrico (ver imagens abaixo). </w:t>
      </w:r>
    </w:p>
    <w:p>
      <w:pPr>
        <w:pStyle w:val="Normal"/>
        <w:spacing w:lineRule="auto" w:line="360"/>
        <w:ind w:right="18" w:hanging="0"/>
        <w:jc w:val="both"/>
        <w:rPr>
          <w:lang w:val="pt-PT"/>
        </w:rPr>
      </w:pPr>
      <w:r>
        <w:rPr>
          <w:lang w:val="pt-PT"/>
        </w:rPr>
      </w:r>
    </w:p>
    <w:p>
      <w:pPr>
        <w:pStyle w:val="Normal"/>
        <w:spacing w:lineRule="auto" w:line="360"/>
        <w:ind w:right="18" w:hanging="0"/>
        <w:jc w:val="both"/>
        <w:rPr/>
      </w:pPr>
      <w:r>
        <w:rPr>
          <w:lang w:val="pt-PT"/>
        </w:rPr>
        <w:t xml:space="preserve">     </w:t>
      </w:r>
      <w:r>
        <w:rPr>
          <w:lang w:val="pt-PT"/>
        </w:rPr>
        <w:drawing>
          <wp:inline distT="0" distB="0" distL="0" distR="0">
            <wp:extent cx="1632585" cy="2243455"/>
            <wp:effectExtent l="0" t="0" r="0" b="0"/>
            <wp:docPr id="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descr=""/>
                    <pic:cNvPicPr>
                      <a:picLocks noChangeAspect="1" noChangeArrowheads="1"/>
                    </pic:cNvPicPr>
                  </pic:nvPicPr>
                  <pic:blipFill>
                    <a:blip r:embed="rId9"/>
                    <a:stretch>
                      <a:fillRect/>
                    </a:stretch>
                  </pic:blipFill>
                  <pic:spPr bwMode="auto">
                    <a:xfrm>
                      <a:off x="0" y="0"/>
                      <a:ext cx="1632585" cy="2243455"/>
                    </a:xfrm>
                    <a:prstGeom prst="rect">
                      <a:avLst/>
                    </a:prstGeom>
                    <a:ln w="38100">
                      <a:solidFill>
                        <a:srgbClr val="000000"/>
                      </a:solidFill>
                    </a:ln>
                  </pic:spPr>
                </pic:pic>
              </a:graphicData>
            </a:graphic>
          </wp:inline>
        </w:drawing>
      </w:r>
      <w:r>
        <w:rPr>
          <w:lang w:val="pt-PT"/>
        </w:rPr>
        <w:drawing>
          <wp:inline distT="0" distB="0" distL="0" distR="0">
            <wp:extent cx="1835150" cy="2241550"/>
            <wp:effectExtent l="0" t="0" r="0" b="0"/>
            <wp:docPr id="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5" descr=""/>
                    <pic:cNvPicPr>
                      <a:picLocks noChangeAspect="1" noChangeArrowheads="1"/>
                    </pic:cNvPicPr>
                  </pic:nvPicPr>
                  <pic:blipFill>
                    <a:blip r:embed="rId10"/>
                    <a:stretch>
                      <a:fillRect/>
                    </a:stretch>
                  </pic:blipFill>
                  <pic:spPr bwMode="auto">
                    <a:xfrm>
                      <a:off x="0" y="0"/>
                      <a:ext cx="1835150" cy="2241550"/>
                    </a:xfrm>
                    <a:prstGeom prst="rect">
                      <a:avLst/>
                    </a:prstGeom>
                    <a:ln w="38100">
                      <a:solidFill>
                        <a:srgbClr val="000000"/>
                      </a:solidFill>
                    </a:ln>
                  </pic:spPr>
                </pic:pic>
              </a:graphicData>
            </a:graphic>
          </wp:inline>
        </w:drawing>
      </w:r>
      <w:r>
        <w:rPr>
          <w:lang w:val="pt-PT"/>
        </w:rPr>
        <w:drawing>
          <wp:inline distT="0" distB="0" distL="0" distR="0">
            <wp:extent cx="1490980" cy="2242820"/>
            <wp:effectExtent l="0" t="0" r="0" b="0"/>
            <wp:docPr id="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6" descr=""/>
                    <pic:cNvPicPr>
                      <a:picLocks noChangeAspect="1" noChangeArrowheads="1"/>
                    </pic:cNvPicPr>
                  </pic:nvPicPr>
                  <pic:blipFill>
                    <a:blip r:embed="rId11"/>
                    <a:stretch>
                      <a:fillRect/>
                    </a:stretch>
                  </pic:blipFill>
                  <pic:spPr bwMode="auto">
                    <a:xfrm>
                      <a:off x="0" y="0"/>
                      <a:ext cx="1490980" cy="2242820"/>
                    </a:xfrm>
                    <a:prstGeom prst="rect">
                      <a:avLst/>
                    </a:prstGeom>
                    <a:ln w="38100">
                      <a:solidFill>
                        <a:srgbClr val="000000"/>
                      </a:solidFill>
                    </a:ln>
                  </pic:spPr>
                </pic:pic>
              </a:graphicData>
            </a:graphic>
          </wp:inline>
        </w:drawing>
      </w:r>
      <w:r>
        <w:rPr>
          <w:lang w:val="pt-PT"/>
        </w:rPr>
        <w:t xml:space="preserve">      </w:t>
      </w:r>
    </w:p>
    <w:p>
      <w:pPr>
        <w:pStyle w:val="Normal"/>
        <w:ind w:right="17" w:hanging="0"/>
        <w:jc w:val="both"/>
        <w:rPr/>
      </w:pPr>
      <w:r>
        <w:rPr>
          <w:b/>
        </w:rPr>
        <w:t xml:space="preserve">Figura 3: </w:t>
      </w:r>
      <w:r>
        <w:rPr/>
        <w:t xml:space="preserve">Estudo de craniometria. A esquerda um exemplo de face triangular e a direita face pentagonal, ao centro alguns crânios expostos. Fonte: Sergi, G. </w:t>
      </w:r>
      <w:r>
        <w:rPr>
          <w:b/>
          <w:i/>
        </w:rPr>
        <w:t>Specie e Varietà Umane</w:t>
      </w:r>
      <w:r>
        <w:rPr/>
        <w:t xml:space="preserve">. Roma: Fratelli Bocca, 1900. </w:t>
      </w:r>
    </w:p>
    <w:p>
      <w:pPr>
        <w:pStyle w:val="Normal"/>
        <w:spacing w:lineRule="auto" w:line="360"/>
        <w:ind w:right="18" w:hanging="0"/>
        <w:jc w:val="both"/>
        <w:rPr/>
      </w:pPr>
      <w:r>
        <w:rPr/>
      </w:r>
    </w:p>
    <w:p>
      <w:pPr>
        <w:pStyle w:val="Normal"/>
        <w:spacing w:lineRule="auto" w:line="360"/>
        <w:ind w:right="18" w:hanging="0"/>
        <w:jc w:val="center"/>
        <w:rPr/>
      </w:pPr>
      <w:r>
        <w:rPr/>
      </w:r>
      <w:r>
        <mc:AlternateContent>
          <mc:Choice Requires="wps">
            <w:drawing>
              <wp:anchor behindDoc="0" distT="0" distB="0" distL="114935" distR="114935" simplePos="0" locked="0" layoutInCell="0" allowOverlap="1" relativeHeight="38">
                <wp:simplePos x="0" y="0"/>
                <wp:positionH relativeFrom="column">
                  <wp:posOffset>3228975</wp:posOffset>
                </wp:positionH>
                <wp:positionV relativeFrom="paragraph">
                  <wp:posOffset>63500</wp:posOffset>
                </wp:positionV>
                <wp:extent cx="2196465" cy="2900680"/>
                <wp:effectExtent l="0" t="0" r="0" b="0"/>
                <wp:wrapNone/>
                <wp:docPr id="10" name="Quadro3"/>
                <a:graphic xmlns:a="http://schemas.openxmlformats.org/drawingml/2006/main">
                  <a:graphicData uri="http://schemas.microsoft.com/office/word/2010/wordprocessingShape">
                    <wps:wsp>
                      <wps:cNvSpPr txBox="1"/>
                      <wps:spPr>
                        <a:xfrm>
                          <a:off x="0" y="0"/>
                          <a:ext cx="2196465" cy="2900680"/>
                        </a:xfrm>
                        <a:prstGeom prst="rect"/>
                        <a:solidFill>
                          <a:srgbClr val="FFFFFF">
                            <a:alpha val="0"/>
                          </a:srgbClr>
                        </a:solidFill>
                        <a:ln w="9525">
                          <a:solidFill>
                            <a:srgbClr val="000000"/>
                          </a:solidFill>
                        </a:ln>
                      </wps:spPr>
                      <wps:txbx>
                        <w:txbxContent>
                          <w:p>
                            <w:pPr>
                              <w:pStyle w:val="NormalWeb"/>
                              <w:spacing w:before="0" w:after="0"/>
                              <w:jc w:val="center"/>
                              <w:textAlignment w:val="baseline"/>
                              <w:rPr/>
                            </w:pPr>
                            <w:r>
                              <w:rPr>
                                <w:b/>
                                <w:bCs/>
                                <w:color w:val="000000"/>
                                <w:kern w:val="2"/>
                              </w:rPr>
                              <w:t>O criminoso nato</w:t>
                            </w:r>
                            <w:r>
                              <w:rPr>
                                <w:color w:val="000000"/>
                                <w:kern w:val="2"/>
                              </w:rPr>
                              <w:t xml:space="preserve"> </w:t>
                            </w:r>
                          </w:p>
                          <w:p>
                            <w:pPr>
                              <w:pStyle w:val="NormalWeb"/>
                              <w:spacing w:before="0" w:after="0"/>
                              <w:jc w:val="center"/>
                              <w:textAlignment w:val="baseline"/>
                              <w:rPr>
                                <w:color w:val="000000"/>
                                <w:kern w:val="2"/>
                              </w:rPr>
                            </w:pPr>
                            <w:r>
                              <w:rPr>
                                <w:color w:val="000000"/>
                                <w:kern w:val="2"/>
                              </w:rPr>
                              <w:t>Lombroso</w:t>
                            </w:r>
                          </w:p>
                          <w:p>
                            <w:pPr>
                              <w:pStyle w:val="NormalWeb"/>
                              <w:spacing w:before="0" w:after="0"/>
                              <w:jc w:val="center"/>
                              <w:textAlignment w:val="baseline"/>
                              <w:rPr>
                                <w:color w:val="000000"/>
                                <w:kern w:val="2"/>
                              </w:rPr>
                            </w:pPr>
                            <w:r>
                              <w:rPr>
                                <w:color w:val="000000"/>
                                <w:kern w:val="2"/>
                              </w:rPr>
                            </w:r>
                          </w:p>
                          <w:p>
                            <w:pPr>
                              <w:pStyle w:val="NormalWeb"/>
                              <w:spacing w:before="0" w:after="0"/>
                              <w:jc w:val="center"/>
                              <w:textAlignment w:val="baseline"/>
                              <w:rPr>
                                <w:color w:val="000000"/>
                                <w:kern w:val="2"/>
                              </w:rPr>
                            </w:pPr>
                            <w:r>
                              <w:rPr>
                                <w:color w:val="000000"/>
                                <w:kern w:val="2"/>
                              </w:rPr>
                              <w:t>...o nariz do criminoso é frequentemente aquilino como o bico de uma ave de rapina.</w:t>
                            </w:r>
                          </w:p>
                          <w:p>
                            <w:pPr>
                              <w:pStyle w:val="NormalWeb"/>
                              <w:spacing w:before="0" w:after="0"/>
                              <w:jc w:val="center"/>
                              <w:textAlignment w:val="baseline"/>
                              <w:rPr>
                                <w:color w:val="000000"/>
                                <w:kern w:val="2"/>
                              </w:rPr>
                            </w:pPr>
                            <w:r>
                              <w:rPr>
                                <w:color w:val="000000"/>
                                <w:kern w:val="2"/>
                              </w:rPr>
                              <w:t>Suas sobrancelhas são hirsutas e tendem a se tocar acima do nariz.</w:t>
                            </w:r>
                          </w:p>
                          <w:p>
                            <w:pPr>
                              <w:pStyle w:val="NormalWeb"/>
                              <w:spacing w:before="0" w:after="0"/>
                              <w:jc w:val="center"/>
                              <w:textAlignment w:val="baseline"/>
                              <w:rPr>
                                <w:color w:val="000000"/>
                                <w:kern w:val="2"/>
                              </w:rPr>
                            </w:pPr>
                            <w:r>
                              <w:rPr>
                                <w:color w:val="000000"/>
                                <w:kern w:val="2"/>
                              </w:rPr>
                              <w:t>Com uma protuberância na parte superior da borda posterior... Vestígio da orelha pontuda...</w:t>
                            </w:r>
                          </w:p>
                        </w:txbxContent>
                      </wps:txbx>
                      <wps:bodyPr anchor="t" lIns="91440" tIns="45720" rIns="91440" bIns="45720">
                        <a:noAutofit/>
                      </wps:bodyPr>
                    </wps:wsp>
                  </a:graphicData>
                </a:graphic>
              </wp:anchor>
            </w:drawing>
          </mc:Choice>
          <mc:Fallback>
            <w:pict>
              <v:rect fillcolor="#FFFFFF" strokecolor="#000000" strokeweight="0pt" style="position:absolute;rotation:0;width:172.95pt;height:228.4pt;mso-wrap-distance-left:9.05pt;mso-wrap-distance-right:9.05pt;mso-wrap-distance-top:0pt;mso-wrap-distance-bottom:0pt;margin-top:5pt;mso-position-vertical-relative:text;margin-left:254.25pt;mso-position-horizontal-relative:text">
                <v:fill opacity="0f"/>
                <v:textbox>
                  <w:txbxContent>
                    <w:p>
                      <w:pPr>
                        <w:pStyle w:val="NormalWeb"/>
                        <w:spacing w:before="0" w:after="0"/>
                        <w:jc w:val="center"/>
                        <w:textAlignment w:val="baseline"/>
                        <w:rPr/>
                      </w:pPr>
                      <w:r>
                        <w:rPr>
                          <w:b/>
                          <w:bCs/>
                          <w:color w:val="000000"/>
                          <w:kern w:val="2"/>
                        </w:rPr>
                        <w:t>O criminoso nato</w:t>
                      </w:r>
                      <w:r>
                        <w:rPr>
                          <w:color w:val="000000"/>
                          <w:kern w:val="2"/>
                        </w:rPr>
                        <w:t xml:space="preserve"> </w:t>
                      </w:r>
                    </w:p>
                    <w:p>
                      <w:pPr>
                        <w:pStyle w:val="NormalWeb"/>
                        <w:spacing w:before="0" w:after="0"/>
                        <w:jc w:val="center"/>
                        <w:textAlignment w:val="baseline"/>
                        <w:rPr>
                          <w:color w:val="000000"/>
                          <w:kern w:val="2"/>
                        </w:rPr>
                      </w:pPr>
                      <w:r>
                        <w:rPr>
                          <w:color w:val="000000"/>
                          <w:kern w:val="2"/>
                        </w:rPr>
                        <w:t>Lombroso</w:t>
                      </w:r>
                    </w:p>
                    <w:p>
                      <w:pPr>
                        <w:pStyle w:val="NormalWeb"/>
                        <w:spacing w:before="0" w:after="0"/>
                        <w:jc w:val="center"/>
                        <w:textAlignment w:val="baseline"/>
                        <w:rPr>
                          <w:color w:val="000000"/>
                          <w:kern w:val="2"/>
                        </w:rPr>
                      </w:pPr>
                      <w:r>
                        <w:rPr>
                          <w:color w:val="000000"/>
                          <w:kern w:val="2"/>
                        </w:rPr>
                      </w:r>
                    </w:p>
                    <w:p>
                      <w:pPr>
                        <w:pStyle w:val="NormalWeb"/>
                        <w:spacing w:before="0" w:after="0"/>
                        <w:jc w:val="center"/>
                        <w:textAlignment w:val="baseline"/>
                        <w:rPr>
                          <w:color w:val="000000"/>
                          <w:kern w:val="2"/>
                        </w:rPr>
                      </w:pPr>
                      <w:r>
                        <w:rPr>
                          <w:color w:val="000000"/>
                          <w:kern w:val="2"/>
                        </w:rPr>
                        <w:t>...o nariz do criminoso é frequentemente aquilino como o bico de uma ave de rapina.</w:t>
                      </w:r>
                    </w:p>
                    <w:p>
                      <w:pPr>
                        <w:pStyle w:val="NormalWeb"/>
                        <w:spacing w:before="0" w:after="0"/>
                        <w:jc w:val="center"/>
                        <w:textAlignment w:val="baseline"/>
                        <w:rPr>
                          <w:color w:val="000000"/>
                          <w:kern w:val="2"/>
                        </w:rPr>
                      </w:pPr>
                      <w:r>
                        <w:rPr>
                          <w:color w:val="000000"/>
                          <w:kern w:val="2"/>
                        </w:rPr>
                        <w:t>Suas sobrancelhas são hirsutas e tendem a se tocar acima do nariz.</w:t>
                      </w:r>
                    </w:p>
                    <w:p>
                      <w:pPr>
                        <w:pStyle w:val="NormalWeb"/>
                        <w:spacing w:before="0" w:after="0"/>
                        <w:jc w:val="center"/>
                        <w:textAlignment w:val="baseline"/>
                        <w:rPr>
                          <w:color w:val="000000"/>
                          <w:kern w:val="2"/>
                        </w:rPr>
                      </w:pPr>
                      <w:r>
                        <w:rPr>
                          <w:color w:val="000000"/>
                          <w:kern w:val="2"/>
                        </w:rPr>
                        <w:t>Com uma protuberância na parte superior da borda posterior... Vestígio da orelha pontuda...</w:t>
                      </w:r>
                    </w:p>
                  </w:txbxContent>
                </v:textbox>
                <w10:wrap type="none"/>
              </v:rect>
            </w:pict>
          </mc:Fallback>
        </mc:AlternateContent>
      </w:r>
      <w:r>
        <mc:AlternateContent>
          <mc:Choice Requires="wps">
            <w:drawing>
              <wp:anchor behindDoc="0" distT="0" distB="0" distL="114935" distR="114935" simplePos="0" locked="0" layoutInCell="0" allowOverlap="1" relativeHeight="39">
                <wp:simplePos x="0" y="0"/>
                <wp:positionH relativeFrom="column">
                  <wp:posOffset>917575</wp:posOffset>
                </wp:positionH>
                <wp:positionV relativeFrom="paragraph">
                  <wp:posOffset>63500</wp:posOffset>
                </wp:positionV>
                <wp:extent cx="2330450" cy="2900680"/>
                <wp:effectExtent l="0" t="0" r="0" b="0"/>
                <wp:wrapNone/>
                <wp:docPr id="11" name="Quadro2"/>
                <a:graphic xmlns:a="http://schemas.openxmlformats.org/drawingml/2006/main">
                  <a:graphicData uri="http://schemas.microsoft.com/office/word/2010/wordprocessingShape">
                    <wps:wsp>
                      <wps:cNvSpPr txBox="1"/>
                      <wps:spPr>
                        <a:xfrm>
                          <a:off x="0" y="0"/>
                          <a:ext cx="2330450" cy="2900680"/>
                        </a:xfrm>
                        <a:prstGeom prst="rect"/>
                        <a:solidFill>
                          <a:srgbClr val="FFFFFF">
                            <a:alpha val="0"/>
                          </a:srgbClr>
                        </a:solidFill>
                        <a:ln w="9525">
                          <a:solidFill>
                            <a:srgbClr val="000000"/>
                          </a:solidFill>
                        </a:ln>
                      </wps:spPr>
                      <wps:txbx>
                        <w:txbxContent>
                          <w:p>
                            <w:pPr>
                              <w:pStyle w:val="NormalWeb"/>
                              <w:spacing w:before="96" w:after="0"/>
                              <w:ind w:left="547" w:hanging="547"/>
                              <w:jc w:val="center"/>
                              <w:textAlignment w:val="baseline"/>
                              <w:rPr>
                                <w:b/>
                                <w:b/>
                                <w:bCs/>
                                <w:color w:val="000000"/>
                              </w:rPr>
                            </w:pPr>
                            <w:r>
                              <w:rPr>
                                <w:b/>
                                <w:bCs/>
                                <w:color w:val="000000"/>
                              </w:rPr>
                              <w:t>Conde Drácula</w:t>
                            </w:r>
                          </w:p>
                          <w:p>
                            <w:pPr>
                              <w:pStyle w:val="NormalWeb"/>
                              <w:spacing w:before="96" w:after="0"/>
                              <w:ind w:left="547" w:hanging="547"/>
                              <w:jc w:val="center"/>
                              <w:textAlignment w:val="baseline"/>
                              <w:rPr>
                                <w:color w:val="000000"/>
                              </w:rPr>
                            </w:pPr>
                            <w:r>
                              <w:rPr>
                                <w:color w:val="000000"/>
                              </w:rPr>
                              <w:t>Bram Stoker</w:t>
                            </w:r>
                          </w:p>
                          <w:p>
                            <w:pPr>
                              <w:pStyle w:val="NormalWeb"/>
                              <w:spacing w:before="96" w:after="0"/>
                              <w:ind w:left="547" w:hanging="547"/>
                              <w:jc w:val="center"/>
                              <w:textAlignment w:val="baseline"/>
                              <w:rPr>
                                <w:color w:val="000000"/>
                              </w:rPr>
                            </w:pPr>
                            <w:r>
                              <w:rPr>
                                <w:color w:val="000000"/>
                              </w:rPr>
                              <w:t>Seu rosto era aquilino, com o nariz afilado de ponta elevada e narinas peculiarmente arqueadas....</w:t>
                            </w:r>
                          </w:p>
                          <w:p>
                            <w:pPr>
                              <w:pStyle w:val="NormalWeb"/>
                              <w:spacing w:before="96" w:after="0"/>
                              <w:ind w:left="547" w:hanging="547"/>
                              <w:jc w:val="center"/>
                              <w:textAlignment w:val="baseline"/>
                              <w:rPr>
                                <w:color w:val="000000"/>
                              </w:rPr>
                            </w:pPr>
                            <w:r>
                              <w:rPr>
                                <w:color w:val="000000"/>
                              </w:rPr>
                              <w:t>Suas sobrancelhas eram muito espessas, quase se encontrando acima do nariz...</w:t>
                            </w:r>
                          </w:p>
                          <w:p>
                            <w:pPr>
                              <w:pStyle w:val="NormalWeb"/>
                              <w:spacing w:before="96" w:after="0"/>
                              <w:ind w:left="547" w:hanging="547"/>
                              <w:jc w:val="center"/>
                              <w:textAlignment w:val="baseline"/>
                              <w:rPr>
                                <w:color w:val="000000"/>
                              </w:rPr>
                            </w:pPr>
                            <w:r>
                              <w:rPr>
                                <w:color w:val="000000"/>
                              </w:rPr>
                              <w:t xml:space="preserve">...suas orelhas eram pálidas e muito pontudas na parte superior. </w:t>
                            </w:r>
                          </w:p>
                        </w:txbxContent>
                      </wps:txbx>
                      <wps:bodyPr anchor="t" lIns="91440" tIns="45720" rIns="91440" bIns="45720">
                        <a:noAutofit/>
                      </wps:bodyPr>
                    </wps:wsp>
                  </a:graphicData>
                </a:graphic>
              </wp:anchor>
            </w:drawing>
          </mc:Choice>
          <mc:Fallback>
            <w:pict>
              <v:rect fillcolor="#FFFFFF" strokecolor="#000000" strokeweight="0pt" style="position:absolute;rotation:0;width:183.5pt;height:228.4pt;mso-wrap-distance-left:9.05pt;mso-wrap-distance-right:9.05pt;mso-wrap-distance-top:0pt;mso-wrap-distance-bottom:0pt;margin-top:5pt;mso-position-vertical-relative:text;margin-left:72.25pt;mso-position-horizontal-relative:text">
                <v:fill opacity="0f"/>
                <v:textbox>
                  <w:txbxContent>
                    <w:p>
                      <w:pPr>
                        <w:pStyle w:val="NormalWeb"/>
                        <w:spacing w:before="96" w:after="0"/>
                        <w:ind w:left="547" w:hanging="547"/>
                        <w:jc w:val="center"/>
                        <w:textAlignment w:val="baseline"/>
                        <w:rPr>
                          <w:b/>
                          <w:b/>
                          <w:bCs/>
                          <w:color w:val="000000"/>
                        </w:rPr>
                      </w:pPr>
                      <w:r>
                        <w:rPr>
                          <w:b/>
                          <w:bCs/>
                          <w:color w:val="000000"/>
                        </w:rPr>
                        <w:t>Conde Drácula</w:t>
                      </w:r>
                    </w:p>
                    <w:p>
                      <w:pPr>
                        <w:pStyle w:val="NormalWeb"/>
                        <w:spacing w:before="96" w:after="0"/>
                        <w:ind w:left="547" w:hanging="547"/>
                        <w:jc w:val="center"/>
                        <w:textAlignment w:val="baseline"/>
                        <w:rPr>
                          <w:color w:val="000000"/>
                        </w:rPr>
                      </w:pPr>
                      <w:r>
                        <w:rPr>
                          <w:color w:val="000000"/>
                        </w:rPr>
                        <w:t>Bram Stoker</w:t>
                      </w:r>
                    </w:p>
                    <w:p>
                      <w:pPr>
                        <w:pStyle w:val="NormalWeb"/>
                        <w:spacing w:before="96" w:after="0"/>
                        <w:ind w:left="547" w:hanging="547"/>
                        <w:jc w:val="center"/>
                        <w:textAlignment w:val="baseline"/>
                        <w:rPr>
                          <w:color w:val="000000"/>
                        </w:rPr>
                      </w:pPr>
                      <w:r>
                        <w:rPr>
                          <w:color w:val="000000"/>
                        </w:rPr>
                        <w:t>Seu rosto era aquilino, com o nariz afilado de ponta elevada e narinas peculiarmente arqueadas....</w:t>
                      </w:r>
                    </w:p>
                    <w:p>
                      <w:pPr>
                        <w:pStyle w:val="NormalWeb"/>
                        <w:spacing w:before="96" w:after="0"/>
                        <w:ind w:left="547" w:hanging="547"/>
                        <w:jc w:val="center"/>
                        <w:textAlignment w:val="baseline"/>
                        <w:rPr>
                          <w:color w:val="000000"/>
                        </w:rPr>
                      </w:pPr>
                      <w:r>
                        <w:rPr>
                          <w:color w:val="000000"/>
                        </w:rPr>
                        <w:t>Suas sobrancelhas eram muito espessas, quase se encontrando acima do nariz...</w:t>
                      </w:r>
                    </w:p>
                    <w:p>
                      <w:pPr>
                        <w:pStyle w:val="NormalWeb"/>
                        <w:spacing w:before="96" w:after="0"/>
                        <w:ind w:left="547" w:hanging="547"/>
                        <w:jc w:val="center"/>
                        <w:textAlignment w:val="baseline"/>
                        <w:rPr>
                          <w:color w:val="000000"/>
                        </w:rPr>
                      </w:pPr>
                      <w:r>
                        <w:rPr>
                          <w:color w:val="000000"/>
                        </w:rPr>
                        <w:t xml:space="preserve">...suas orelhas eram pálidas e muito pontudas na parte superior. </w:t>
                      </w:r>
                    </w:p>
                  </w:txbxContent>
                </v:textbox>
                <w10:wrap type="none"/>
              </v:rect>
            </w:pict>
          </mc:Fallback>
        </mc:AlternateContent>
      </w:r>
    </w:p>
    <w:p>
      <w:pPr>
        <w:pStyle w:val="Normal"/>
        <w:spacing w:lineRule="auto" w:line="360"/>
        <w:ind w:right="18" w:hanging="0"/>
        <w:jc w:val="center"/>
        <w:rPr/>
      </w:pPr>
      <w:r>
        <w:rPr/>
      </w:r>
    </w:p>
    <w:p>
      <w:pPr>
        <w:pStyle w:val="Normal"/>
        <w:spacing w:lineRule="auto" w:line="360"/>
        <w:ind w:right="18" w:hanging="0"/>
        <w:jc w:val="center"/>
        <w:rPr/>
      </w:pPr>
      <w:r>
        <w:rPr/>
      </w:r>
    </w:p>
    <w:p>
      <w:pPr>
        <w:pStyle w:val="Normal"/>
        <w:spacing w:lineRule="auto" w:line="360"/>
        <w:ind w:right="18" w:hanging="0"/>
        <w:jc w:val="center"/>
        <w:rPr/>
      </w:pPr>
      <w:r>
        <w:rPr/>
      </w:r>
    </w:p>
    <w:p>
      <w:pPr>
        <w:pStyle w:val="Normal"/>
        <w:spacing w:lineRule="auto" w:line="360"/>
        <w:ind w:right="18" w:hanging="0"/>
        <w:jc w:val="center"/>
        <w:rPr/>
      </w:pPr>
      <w:r>
        <w:rPr/>
      </w:r>
    </w:p>
    <w:p>
      <w:pPr>
        <w:pStyle w:val="Normal"/>
        <w:spacing w:lineRule="auto" w:line="360"/>
        <w:ind w:right="18" w:hanging="0"/>
        <w:jc w:val="center"/>
        <w:rPr/>
      </w:pPr>
      <w:r>
        <w:rPr/>
      </w:r>
    </w:p>
    <w:p>
      <w:pPr>
        <w:pStyle w:val="Normal"/>
        <w:spacing w:lineRule="auto" w:line="360"/>
        <w:ind w:right="18" w:hanging="0"/>
        <w:jc w:val="center"/>
        <w:rPr/>
      </w:pPr>
      <w:r>
        <w:rPr/>
      </w:r>
    </w:p>
    <w:p>
      <w:pPr>
        <w:pStyle w:val="Normal"/>
        <w:spacing w:lineRule="auto" w:line="360"/>
        <w:ind w:right="18" w:hanging="0"/>
        <w:jc w:val="center"/>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ind w:right="17" w:hanging="0"/>
        <w:jc w:val="both"/>
        <w:rPr/>
      </w:pPr>
      <w:r>
        <w:rPr/>
        <w:t xml:space="preserve">Descrição do conde Drácula por Jonathan Harker (esquerda) e descrição de um criminoso nato por Cesar Lombroso (direita). Fonte: Gould, Stephen Jay. </w:t>
      </w:r>
      <w:r>
        <w:rPr>
          <w:b/>
          <w:i/>
        </w:rPr>
        <w:t>A falsa medida do homem</w:t>
      </w:r>
      <w:r>
        <w:rPr/>
        <w:t xml:space="preserve">. São Paulo: Martins Fontes, 2003. </w:t>
      </w:r>
    </w:p>
    <w:p>
      <w:pPr>
        <w:pStyle w:val="Normal"/>
        <w:spacing w:lineRule="auto" w:line="360"/>
        <w:ind w:right="18" w:hanging="0"/>
        <w:jc w:val="both"/>
        <w:rPr/>
      </w:pPr>
      <w:r>
        <w:rPr/>
      </w:r>
    </w:p>
    <w:p>
      <w:pPr>
        <w:pStyle w:val="Normal"/>
        <w:spacing w:lineRule="auto" w:line="360"/>
        <w:ind w:right="18" w:hanging="0"/>
        <w:jc w:val="both"/>
        <w:rPr/>
      </w:pPr>
      <w:r>
        <w:rPr/>
        <w:tab/>
        <w:t>Se a ciência encontra no final do Século XIX esse grau de aceitação em um conhecimento que avança em prol do bem comum e ao mesmo tempo tal ideal não corresponde ao que se observa na vida das pessoas nas cidades, encontra-se nesse cenário uma dicotomia polarizada pela ideia de progresso e decadência nos ideais científicos da ciência moderna. Vejamos a descrição que Maria Stella faz das ruas de Londres desse período:</w:t>
      </w:r>
    </w:p>
    <w:p>
      <w:pPr>
        <w:pStyle w:val="Normal"/>
        <w:spacing w:lineRule="auto" w:line="360"/>
        <w:ind w:right="18" w:hanging="0"/>
        <w:jc w:val="both"/>
        <w:rPr/>
      </w:pPr>
      <w:r>
        <w:rPr/>
      </w:r>
    </w:p>
    <w:p>
      <w:pPr>
        <w:pStyle w:val="Normal"/>
        <w:spacing w:lineRule="auto" w:line="360"/>
        <w:ind w:left="708" w:right="558" w:hanging="0"/>
        <w:jc w:val="both"/>
        <w:rPr/>
      </w:pPr>
      <w:r>
        <w:rPr>
          <w:i/>
        </w:rPr>
        <w:t>(...) Nas ruas a animação é intensa, um mercado de legumes e frutas de má qualidade se espalha, reduzindo o espaço para os passantes. O cheiro é nauseante. Não há um único vidro de janela intacto, os muros são leprosos, e as portas, quando existem, são feitas de pranchas pregadas. (...) as péssimas condições de moradia e a superpopulação são duas anotações constantes sobre os bairros operários londrinos.</w:t>
      </w:r>
      <w:r>
        <w:rPr>
          <w:rStyle w:val="Caracteresdenotaderodap"/>
          <w:rStyle w:val="Ncoradanotaderodap"/>
          <w:i/>
        </w:rPr>
        <w:footnoteReference w:id="120"/>
      </w:r>
      <w:r>
        <w:rPr>
          <w:i/>
        </w:rPr>
        <w:t xml:space="preserve"> </w:t>
      </w:r>
    </w:p>
    <w:p>
      <w:pPr>
        <w:pStyle w:val="Normal"/>
        <w:spacing w:lineRule="auto" w:line="360"/>
        <w:ind w:left="360" w:right="558" w:hanging="0"/>
        <w:jc w:val="both"/>
        <w:rPr/>
      </w:pPr>
      <w:r>
        <w:rPr/>
      </w:r>
    </w:p>
    <w:p>
      <w:pPr>
        <w:pStyle w:val="Normal"/>
        <w:spacing w:lineRule="auto" w:line="360"/>
        <w:ind w:right="18" w:hanging="0"/>
        <w:jc w:val="both"/>
        <w:rPr/>
      </w:pPr>
      <w:r>
        <w:rPr/>
        <w:tab/>
        <w:t>Retornando à definição da geografia do horror de Carroll, compreendemos a ambientação de Drácula e os elementos do horror na obra de Bram Stoker, tal qual a descrição que vimos acima da Londres do século XIX, retrato recorrente nas obras de Charles Dickens (1812-1870). Se no romance de Mary Shelley (Frankenstein, 1818) a ciência é representada com certo pessimismo e cautela, em Drácula vemos uma ciência bem sucedida e que pode oferecer meios para se alcançar o progresso na sociedade</w:t>
      </w:r>
      <w:r>
        <w:rPr>
          <w:rStyle w:val="Caracteresdenotaderodap"/>
          <w:rStyle w:val="Ncoradanotaderodap"/>
        </w:rPr>
        <w:footnoteReference w:id="121"/>
      </w:r>
      <w:r>
        <w:rPr/>
        <w:t>.</w:t>
      </w:r>
    </w:p>
    <w:p>
      <w:pPr>
        <w:pStyle w:val="Normal"/>
        <w:spacing w:lineRule="auto" w:line="360"/>
        <w:ind w:right="18" w:hanging="0"/>
        <w:jc w:val="both"/>
        <w:rPr/>
      </w:pPr>
      <w:r>
        <w:rPr/>
        <w:t xml:space="preserve">   </w:t>
      </w:r>
    </w:p>
    <w:p>
      <w:pPr>
        <w:pStyle w:val="Normal"/>
        <w:spacing w:lineRule="auto" w:line="360"/>
        <w:ind w:right="18" w:hanging="0"/>
        <w:jc w:val="both"/>
        <w:rPr>
          <w:b/>
          <w:b/>
        </w:rPr>
      </w:pPr>
      <w:r>
        <w:rPr>
          <w:b/>
        </w:rPr>
        <w:t>A embriologia do crime e os estudos de criminologia comparada</w:t>
      </w:r>
    </w:p>
    <w:p>
      <w:pPr>
        <w:pStyle w:val="Normal"/>
        <w:spacing w:lineRule="auto" w:line="360"/>
        <w:ind w:right="18" w:hanging="0"/>
        <w:jc w:val="both"/>
        <w:rPr>
          <w:b/>
          <w:b/>
        </w:rPr>
      </w:pPr>
      <w:r>
        <w:rPr>
          <w:b/>
        </w:rPr>
      </w:r>
    </w:p>
    <w:p>
      <w:pPr>
        <w:pStyle w:val="Normal"/>
        <w:spacing w:lineRule="auto" w:line="360"/>
        <w:ind w:right="18" w:hanging="0"/>
        <w:jc w:val="both"/>
        <w:rPr/>
      </w:pPr>
      <w:r>
        <w:rPr/>
        <w:tab/>
        <w:t xml:space="preserve">Examinamos como se constituiu o romance de horror a partir da literatura fantástica no final do Século XVIII e ao longo do Século XIX. Posteriormente, a partir das ideias de Noel Carroll foi feita a análise da estética do horror e a maneira como o horror entendido como uma representação exige não só a caracterização da personagem de horror (monstros, fantasmas, mortos-vivos etc), mas uma geografia do horror. A identificação do horror como uma representação daquilo que uma determinada sociedade teme e desconhece fornece à obra de horror os elementos que sedimentam o que Carroll chamou de </w:t>
      </w:r>
      <w:r>
        <w:rPr>
          <w:i/>
        </w:rPr>
        <w:t>horror artístico</w:t>
      </w:r>
      <w:r>
        <w:rPr/>
        <w:t xml:space="preserve">. </w:t>
      </w:r>
    </w:p>
    <w:p>
      <w:pPr>
        <w:pStyle w:val="Normal"/>
        <w:spacing w:lineRule="auto" w:line="360"/>
        <w:ind w:right="18" w:hanging="0"/>
        <w:jc w:val="both"/>
        <w:rPr/>
      </w:pPr>
      <w:r>
        <w:rPr/>
        <w:tab/>
        <w:t xml:space="preserve">Vimos como é descrita a Londres do final do século XIX em termos das regiões mais pobres e afastadas de áreas centrais e como a noção do horror como elemento representativo de Carroll parecem dialogar perfeitamente. A própria caracterização das personagens na obra de Stoker parecem já indicar arquétipos que nos dão vestígios das temáticas aqui examinadas (O Doutor Van Helsing representando, de certa maneira, o equilíbrio entre superstição e a crença racional na ciência, Mina Harker e Lucy Westenra parecem representar condições da mulher em épocas distintas, O Doutor Seward e seu racionalismo ortodoxo). A dicotomia entre atraso e progresso também pode ser identificada na geografia que é narrada na história. O Conde Drácula vive em um castelo sob valores antigos, o próprio é um cavaleiro medieval morto-vivo, em clara alusão ao atraso e decadência da Europa oriental. Nas obras de horror da segunda metade do século XIX não constitui mera casualidade o horror vir do Oriente (os elementos do horror se caracterizam pelo que não é Ocidental). Enquanto isso, a razão e o progresso estão nas mãos daqueles que possuem o conhecimento científico e não por acaso, pertencem ao Ocidente, que na história deverão combater o mal.          </w:t>
      </w:r>
    </w:p>
    <w:p>
      <w:pPr>
        <w:pStyle w:val="Normal"/>
        <w:spacing w:lineRule="auto" w:line="360"/>
        <w:ind w:right="18" w:hanging="0"/>
        <w:jc w:val="both"/>
        <w:rPr/>
      </w:pPr>
      <w:r>
        <w:rPr>
          <w:b/>
        </w:rPr>
        <w:tab/>
      </w:r>
      <w:r>
        <w:rPr/>
        <w:t xml:space="preserve">Tentei aqui levantar algumas questões referente tanto a natureza do horror como as representações possíveis na sociedade europeia, focados na Inglaterra no final do século XIX, uma vez que a narrativa de horror alcança seu apogeu no mesmo período em questão, sendo utilizada por diversos autores de renome. Acredito que a correspondência entre a literatura e os eventos sociais são de tal ordem que seus vestígios nos permitem uma compreensão melhor dos fenômenos característicos a cada momento histórico.  </w:t>
      </w:r>
    </w:p>
    <w:p>
      <w:pPr>
        <w:pStyle w:val="Normal"/>
        <w:spacing w:lineRule="auto" w:line="360"/>
        <w:ind w:right="18" w:hanging="0"/>
        <w:jc w:val="both"/>
        <w:rPr/>
      </w:pPr>
      <w:r>
        <w:rPr/>
        <w:tab/>
        <w:t xml:space="preserve">Com a forte adesão da comunidade científica aos pressupostos evolutivos e à ideia de que as sociedades também evoluem se tornou necessário entender o comportamento social frente a esses determinantes biológicos. Nessa linha, os estudos referentes ao comportamento criminoso ganharam fortes adeptos da ideia de que o crime representa um comportamento atrasado, não próprio ao estágio evoluído alcançado por algumas sociedades, em particular a europeia. Talvez o maior nome nesses estudos tenha sido o médico italiano Cesare Lombroso (1835-1909). Lombroso desenvolveu inúmeras pesquisas em busca da origem biológica do comportamento criminoso. Ao contrário do que certa historiografia conta, de forma um tanto quanto ingênua, Lombroso se baseava em pesquisas científicas das mais diversas áreas e defendia categoricamente que os estudos em criminologia deveriam ser considerados um ramo das ciências biomédicas. O crime, segundo Lombroso, era mais um problema de ordem médica que social e como tal, os criminosos deveriam ser tratados em termos de cura desse estado em que se encontravam. </w:t>
      </w:r>
    </w:p>
    <w:p>
      <w:pPr>
        <w:pStyle w:val="Normal"/>
        <w:spacing w:lineRule="auto" w:line="360"/>
        <w:ind w:right="18" w:hanging="0"/>
        <w:jc w:val="both"/>
        <w:rPr/>
      </w:pPr>
      <w:r>
        <w:rPr/>
        <w:tab/>
        <w:t>Espero ter mostrado alguns elementos na composição das personagens do romance Drácula que indiquem a tentativa de associar a tipificação dos delinquentes com as personagens maléficas nos romances de horror. Esse mesmo molde foi largamente utilizado em outros gêneros literários na caracterização do oriental. Vejamos, a título de exemplo, a maneira como o conceito de atavismo ocupou posição seminal nessas “teorias biológicas sobre a criminalidade”, baseando-se em uma miscelânea de pressupostos que vão da anatomia comparada de Cuvier até o paradigma evolutivo.</w:t>
      </w:r>
    </w:p>
    <w:p>
      <w:pPr>
        <w:pStyle w:val="Normal"/>
        <w:spacing w:lineRule="auto" w:line="360"/>
        <w:ind w:right="18" w:hanging="0"/>
        <w:jc w:val="both"/>
        <w:rPr/>
      </w:pPr>
      <w:r>
        <w:rPr/>
        <w:tab/>
        <w:t xml:space="preserve">O primeiro pressuposto que destaco é o mesmo dos frenologistas e fisiognomistas de que há de forma inequívoca fortes relações entre a anatomia dos organismos e seu comportamento, inclusive o comportamento social dos primatas. Lombroso estendeu esse pressuposto ao desenvolvimento ontogênico (em sua obra </w:t>
      </w:r>
      <w:r>
        <w:rPr>
          <w:i/>
        </w:rPr>
        <w:t>O homem criminoso</w:t>
      </w:r>
      <w:r>
        <w:rPr/>
        <w:t>, a primeira parte se intitula embriologia do crime). A partir do pressuposto da correlação das partes formulado por Cuvier, os estudos em criminologia, por meio do pressuposto acima descrito, assumem que a correlação também se dá entre estruturas (órgãos) e comportamentos, dessa forma podemos identificar a propensão a determinado comportamento social por meio de sinais anatômicos. Não por acaso no final do século XIX se espalham estudos de criminologia comparada (nos moldes dos estudos comparativos das demais ciências)</w:t>
      </w:r>
      <w:r>
        <w:rPr>
          <w:rStyle w:val="Caracteresdenotaderodap"/>
          <w:rStyle w:val="Ncoradanotaderodap"/>
        </w:rPr>
        <w:footnoteReference w:id="122"/>
      </w:r>
      <w:r>
        <w:rPr/>
        <w:t xml:space="preserve">. Outro princípio importante para os criminologistas é o da teoria da recapitulação (desenvolvida principalmente por Ernst Haeckel). Essa teoria, em linhas gerais, enuncia que o desenvolvimento ontogênico (do individuo, do ovo à fase adulta) recapitula o desenvolvimento filogênico (da espécie). </w:t>
      </w:r>
    </w:p>
    <w:p>
      <w:pPr>
        <w:pStyle w:val="Normal"/>
        <w:spacing w:lineRule="auto" w:line="360"/>
        <w:ind w:right="18" w:hanging="0"/>
        <w:jc w:val="both"/>
        <w:rPr/>
      </w:pPr>
      <w:r>
        <w:rPr/>
        <w:tab/>
        <w:t>A partir desses pressupostos não constitui nenhuma estranheza a dedução de que certos povos apresentem comportamentos que povos mais "evoluídos" já o tenham abandonado no processo evolutivo. O crime, dessa forma, seria um comportamento que sociedades mais evoluídas abandonaram, porém alguns indivíduos podem apresentar tal comportamento de forma atávica. Esse “ressurgimento” de determinados comportamentos (tal como pode ocorrer com estruturas anatômicas) configura o que se denominou no século XIX pelo conceito de atavismo. Uma vez que se estabeleçam de forma rígida as relações entre as partes (anatômicas e comportamentais) é possível prever em determinados indivíduos a propensão para o crime. Cito Lombroso:</w:t>
      </w:r>
    </w:p>
    <w:p>
      <w:pPr>
        <w:pStyle w:val="Normal"/>
        <w:spacing w:lineRule="auto" w:line="360"/>
        <w:ind w:right="18" w:hanging="0"/>
        <w:jc w:val="both"/>
        <w:rPr/>
      </w:pPr>
      <w:r>
        <w:rPr/>
      </w:r>
    </w:p>
    <w:p>
      <w:pPr>
        <w:pStyle w:val="Normal"/>
        <w:spacing w:lineRule="auto" w:line="360"/>
        <w:ind w:left="708" w:right="18" w:hanging="0"/>
        <w:jc w:val="both"/>
        <w:rPr/>
      </w:pPr>
      <w:r>
        <w:rPr>
          <w:i/>
        </w:rPr>
        <w:t>Entre os violadores (quando não são cretinos), quase sempre os olhos são salientes, a fisionomia é delicada, os lábios e pálpebras são volumosos. A maior parte é frágil, loura, raquítica e, às vezes, corcunda. Os pederastas distinguem-se, frequentemente, por uma elegância feminina, pelos cabelos longos e frisados e conservam, mesmo sob o uniforme das prisões, uma certa aparência feminina. A delicadeza da pele, o aspecto infantil, a abundância de cabelos – lisos e repartidos à moda das mulheres – são traços frequentes entre esses infelizes.</w:t>
      </w:r>
      <w:r>
        <w:rPr>
          <w:rStyle w:val="Caracteresdenotaderodap"/>
          <w:rStyle w:val="Ncoradanotaderodap"/>
          <w:i/>
        </w:rPr>
        <w:footnoteReference w:id="123"/>
      </w:r>
      <w:r>
        <w:rPr>
          <w:i/>
        </w:rPr>
        <w:t xml:space="preserve">              </w:t>
      </w:r>
    </w:p>
    <w:p>
      <w:pPr>
        <w:pStyle w:val="Normal"/>
        <w:spacing w:lineRule="auto" w:line="360"/>
        <w:ind w:right="18" w:hanging="0"/>
        <w:jc w:val="both"/>
        <w:rPr>
          <w:b/>
          <w:b/>
          <w:i/>
          <w:i/>
        </w:rPr>
      </w:pPr>
      <w:r>
        <w:rPr>
          <w:b/>
          <w:i/>
        </w:rPr>
      </w:r>
    </w:p>
    <w:p>
      <w:pPr>
        <w:pStyle w:val="Normal"/>
        <w:spacing w:lineRule="auto" w:line="360"/>
        <w:ind w:right="18" w:firstLine="708"/>
        <w:jc w:val="both"/>
        <w:rPr/>
      </w:pPr>
      <w:r>
        <w:rPr/>
        <w:t>Outra consequência da adoção dos pressupostos mais caros à Biologia de final do século XIX (principalmente no que se referem às teorias da evolução e da recapitulação) é a de determinação no reino animal, para além do humano, da presença do comportamento criminoso. Uma vez que o crime é um comportamento fortemente marcado por determinantes biológicos</w:t>
      </w:r>
      <w:r>
        <w:rPr>
          <w:rStyle w:val="Caracteresdenotaderodap"/>
          <w:rStyle w:val="Ncoradanotaderodap"/>
        </w:rPr>
        <w:footnoteReference w:id="124"/>
      </w:r>
      <w:r>
        <w:rPr/>
        <w:t xml:space="preserve">, inclusive sendo considerado um comportamento atávico no nível de desenvolvimento que se atribuía aos povos europeus, torna-se necessário encontrá-lo em outros seres. Na primeira parte de seu livro </w:t>
      </w:r>
      <w:r>
        <w:rPr>
          <w:i/>
        </w:rPr>
        <w:t>O homem criminoso</w:t>
      </w:r>
      <w:r>
        <w:rPr/>
        <w:t>, Lombroso lança mão de inúmeras pesquisas e relatos que apontam para um comportamento criminoso desde o reino vegetal até o homem, passando por muitas espécies. Torna-se um axioma empiricamente comprovado a assertiva de que o crime é um comportamento presente nos organismos. Uma forte associação dessas conclusões com a caracterização de povos não europeus (principalmente africanos e asiáticos) ocorre de maneira muito semelhante à composição das personagens da literatura. O que designamos por processo de animalização do humano. Cito Lombroso:</w:t>
      </w:r>
    </w:p>
    <w:p>
      <w:pPr>
        <w:pStyle w:val="Normal"/>
        <w:spacing w:lineRule="auto" w:line="360"/>
        <w:ind w:right="18" w:hanging="0"/>
        <w:jc w:val="both"/>
        <w:rPr/>
      </w:pPr>
      <w:r>
        <w:rPr/>
      </w:r>
    </w:p>
    <w:p>
      <w:pPr>
        <w:pStyle w:val="Normal"/>
        <w:spacing w:lineRule="auto" w:line="360"/>
        <w:ind w:left="708" w:right="18" w:hanging="0"/>
        <w:jc w:val="both"/>
        <w:rPr/>
      </w:pPr>
      <w:r>
        <w:rPr>
          <w:i/>
        </w:rPr>
        <w:t>Um violador siciliano, um ladrão, três assassinos apresentavam obliquidade do orbital, arredondamento do crânio, saliência e distância dos zigomas, maxilar quadrado e compacto e uma cor amarelada da pele, aparentando assim uma exata reprodução do tipo mongol. Alguns, como Cartouche e O., pela fronte fugidia, a pequenez do crânio e a saliência da face, aproximam-se do tipo simiesco (...) Nos criminosos, tal reunião de anomalias, sobretudo atávicas (algumas são patológicas: por exemplo, a assimetria) nos dizem que eles tem o tipo criminal.</w:t>
      </w:r>
      <w:r>
        <w:rPr>
          <w:rStyle w:val="Caracteresdenotaderodap"/>
          <w:rStyle w:val="Ncoradanotaderodap"/>
          <w:i/>
        </w:rPr>
        <w:footnoteReference w:id="125"/>
      </w:r>
    </w:p>
    <w:p>
      <w:pPr>
        <w:pStyle w:val="Normal"/>
        <w:spacing w:lineRule="auto" w:line="360"/>
        <w:ind w:right="18" w:hanging="0"/>
        <w:jc w:val="both"/>
        <w:rPr>
          <w:b/>
          <w:b/>
        </w:rPr>
      </w:pPr>
      <w:r>
        <w:rPr>
          <w:b/>
        </w:rPr>
      </w:r>
    </w:p>
    <w:p>
      <w:pPr>
        <w:pStyle w:val="Normal"/>
        <w:spacing w:lineRule="auto" w:line="360"/>
        <w:ind w:right="18" w:hanging="0"/>
        <w:jc w:val="both"/>
        <w:rPr/>
      </w:pPr>
      <w:r>
        <w:rPr/>
        <w:tab/>
        <w:t xml:space="preserve">O conceito de atavismo foi mobilizado nos romances de horror no século XIX como elemento na composição das personagens e caracterização da geografia do horror sem, no entanto, designar algum objeto específico. Desse modo, o conceito é alimentado por outros conceitos que podemos considerar orbitando o conceito de atavismo como uma espécie de conceito mobilizador. Quando ocorre o deslocamento do conceito da Anatomia para o plano sociopsicológico, torna-se imperativo, no mais das vezes, o conceito estar associado a outras ideias que o preencham de significado (ideias como a de atraso, decadência, degeneração entre outras) para além do que ele carrega da Anatomia. Esse é um típico exemplo de importação do conceito com ampliação do raio de são do mesmo. O conceito de atavismo presente, tanto nos estudos de Criminologia quanto nas obras de horror, extrapolaram o conteúdo semântico de sua proposição circunscrita à área da Anatomia. Dessa forma, podemos seguramente afirmar que o conceito de </w:t>
      </w:r>
      <w:r>
        <w:rPr>
          <w:i/>
        </w:rPr>
        <w:t xml:space="preserve">Atavismo </w:t>
      </w:r>
      <w:r>
        <w:rPr/>
        <w:t xml:space="preserve">em ciências sociais aplicadas e na literatura de horror de finais do século XIX não era o mesmo que os anatomistas utilizavam, mesmo que ambos compartilhassem do mesmo vocabulário e que os primeiros não negassem em nada os pressupostos conceituais dos anatomistas, expandido (o que para eles era algo legítimo) os fenômenos ao qual o conceito se dirigia inicialmente.   </w:t>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ind w:right="18" w:hanging="0"/>
        <w:jc w:val="both"/>
        <w:rPr/>
      </w:pPr>
      <w:r>
        <w:rPr/>
      </w:r>
    </w:p>
    <w:p>
      <w:pPr>
        <w:pStyle w:val="Normal"/>
        <w:spacing w:lineRule="auto" w:line="360"/>
        <w:jc w:val="center"/>
        <w:rPr/>
      </w:pPr>
      <w:r>
        <w:rPr>
          <w:b/>
        </w:rPr>
        <w:t>O que podemos aprender com as histórias de robôs no século XXI?</w:t>
      </w:r>
    </w:p>
    <w:p>
      <w:pPr>
        <w:pStyle w:val="Normal"/>
        <w:spacing w:lineRule="auto" w:line="360"/>
        <w:jc w:val="both"/>
        <w:rPr>
          <w:b/>
          <w:b/>
        </w:rPr>
      </w:pPr>
      <w:r>
        <w:rPr>
          <w:b/>
        </w:rPr>
      </w:r>
    </w:p>
    <w:p>
      <w:pPr>
        <w:pStyle w:val="Normal"/>
        <w:spacing w:lineRule="auto" w:line="360"/>
        <w:jc w:val="both"/>
        <w:rPr/>
      </w:pPr>
      <w:r>
        <w:rPr/>
        <w:tab/>
        <w:t>A literatura de ficção científica possui na sua gênese a marca da contemporaneidade. Definir a ficção científica nos coloca o mesmo problema na definição de qualquer gênero literário (vide o caso do terror no ensaio anterior). Todorov alertou para o fato de ao definirmos os gêneros literários sabermos reconhecer na definição apenas seu valor instrumental e heurístico, nada além disso; segundo ele, devemos aceitar os critérios de classificação mas não devemos levar muito a sério os mesmos, algo próximo disso</w:t>
      </w:r>
      <w:r>
        <w:rPr>
          <w:rStyle w:val="Caracteresdenotaderodap"/>
          <w:rStyle w:val="Ncoradanotaderodap"/>
        </w:rPr>
        <w:footnoteReference w:id="126"/>
      </w:r>
      <w:r>
        <w:rPr/>
        <w:t xml:space="preserve">. A ideia comumente associada de que a ficção científica como um gênero articula indubitavelmente a narrativa e os acontecimentos a algum elemento científico permite termos algum ponto de partida na caracterização dessas obras. </w:t>
      </w:r>
    </w:p>
    <w:p>
      <w:pPr>
        <w:pStyle w:val="Normal"/>
        <w:spacing w:lineRule="auto" w:line="360"/>
        <w:jc w:val="both"/>
        <w:rPr/>
      </w:pPr>
      <w:r>
        <w:rPr/>
        <w:tab/>
        <w:t xml:space="preserve">Nesse ensaio pretendo examinar dois momentos da produção de ficção científica e sua relação com o tema da caracterização do que define o humano, pretendo fazer isso mobilizando elementos do debate interno sobre o problema mente-cérebro. Pretendo mostrar como as histórias de robôs possuem uma heurística em um momento específico do século XX a partir de um debate acadêmico sobre a questão mente-cérebro e outras questões periféricas. Ao longo de parte do século XX se desenvolveu um braço de pesquisas em Filosofia especificamente preocupada com essa temática, a chamada filosofia da mente. O debate ganhou fôlego com o desenvolvimento de determinadas áreas de pesquisa, principalmente as Neurociências, Inteligência artificial e as ciências cognitivas. Seguirei três movimentos em minha análise: (1) Farei uma breve discussão acerca de uma tentativa de definição da literatura de ficção científica, sempre uma definição provisória; (2) A origem histórica das ciências cognitivas e o problema mente-cérebro; (3) Uma breve apresentação das histórias de robôs e a importância de algumas questões de fundo nessas histórias. </w:t>
      </w:r>
    </w:p>
    <w:p>
      <w:pPr>
        <w:pStyle w:val="Normal"/>
        <w:spacing w:lineRule="auto" w:line="360"/>
        <w:jc w:val="both"/>
        <w:rPr/>
      </w:pPr>
      <w:r>
        <w:rPr/>
      </w:r>
    </w:p>
    <w:p>
      <w:pPr>
        <w:pStyle w:val="Normal"/>
        <w:spacing w:lineRule="auto" w:line="360"/>
        <w:jc w:val="both"/>
        <w:rPr>
          <w:b/>
          <w:b/>
        </w:rPr>
      </w:pPr>
      <w:r>
        <w:rPr>
          <w:b/>
        </w:rPr>
        <w:t>Ficção científica: delimitando um gênero</w:t>
      </w:r>
    </w:p>
    <w:p>
      <w:pPr>
        <w:pStyle w:val="Normal"/>
        <w:spacing w:lineRule="auto" w:line="360"/>
        <w:jc w:val="both"/>
        <w:rPr>
          <w:b/>
          <w:b/>
        </w:rPr>
      </w:pPr>
      <w:r>
        <w:rPr>
          <w:b/>
        </w:rPr>
      </w:r>
    </w:p>
    <w:p>
      <w:pPr>
        <w:pStyle w:val="Normal"/>
        <w:spacing w:lineRule="auto" w:line="360"/>
        <w:jc w:val="both"/>
        <w:rPr/>
      </w:pPr>
      <w:r>
        <w:rPr/>
        <w:tab/>
        <w:t>De acordo com o critico Darko Suvin, é condição para uma definição da ficção científica o que ele denominou por distanciamento cognitivo presente na ficção e que tem por função equilibrar a alteridade radical e certa semelhança familiar, ambas presentes nas narrativas desse gênero, de tal maneira que ao imaginarmos mundos estranhos vemos nossas próprias condições de vida em uma nova e potencialmente revolucionária perspectiva</w:t>
      </w:r>
      <w:r>
        <w:rPr>
          <w:rStyle w:val="Caracteresdenotaderodap"/>
          <w:rStyle w:val="Ncoradanotaderodap"/>
        </w:rPr>
        <w:footnoteReference w:id="127"/>
      </w:r>
      <w:r>
        <w:rPr/>
        <w:t>. De acordo com Adam Roberts, Damien Broderick desenvolveu as ideias de Suvin, acrescentando elementos de maior especificação na tentativa de delimitar melhor a literatura de ficção científica</w:t>
      </w:r>
      <w:r>
        <w:rPr>
          <w:rStyle w:val="Caracteresdenotaderodap"/>
          <w:rStyle w:val="Ncoradanotaderodap"/>
        </w:rPr>
        <w:footnoteReference w:id="128"/>
      </w:r>
      <w:r>
        <w:rPr/>
        <w:t xml:space="preserve">. Para Broderick, a ficção científica é uma espécie de narrativa própria de uma determinada cultura passando por mudanças epistêmicas implicadas no aumento e superação dos modos de produção técno-industriais, de distribuição, consumo e disposição. Nessa perspectiva, a ficção científica poderia ser caracterizada por três grandes marcas, a saber: (1) estratégias metafóricas e táticas metonímicas; (2) primeiro plano de ícones e esquemas interpretativos constituído de um "mega-texto" e concomitantemente daria ênfase na "escrita fina" e caracterização das personagens e; (3) certas prioridades frequentemente encontradas em textos científicos e pós-modernos do que em modelos literários, especialmente dando preferência ao objeto em relação ao assunto.       </w:t>
      </w:r>
    </w:p>
    <w:p>
      <w:pPr>
        <w:pStyle w:val="Normal"/>
        <w:spacing w:lineRule="auto" w:line="360"/>
        <w:jc w:val="both"/>
        <w:rPr/>
      </w:pPr>
      <w:r>
        <w:rPr/>
        <w:tab/>
        <w:t xml:space="preserve">Fugindo da forma de definição corriqueira, Samuel Delany propôs o abandono da definição em termos do objeto. Dessa forma, a ficção científica se caracteriza como um vasto jogo de convenções baseadas em um código. O leitor, ao ler a obra, aplica esse jogo ao texto no nível da frase ou do texto como um todo. De acordo com Delany, a frase "seu mundo explodiu" significa coisas diferentes dependendo se o leitor se apropria dela como uma ficção científica ou uma ficção comum. A maioria das nossas expectativas específicas de ficção científica se organizará, segundo a proposta de Delany, em torno da seguinte questão: o que no mundo retratado da história, por declaração ou implicação, deve ser diferente do nosso para que essa sentença seja normalmente proferida? A partir dessa tese, Delany entende que a ficção científica seja uma estratégia de leitura semelhante a qualquer outra empregada na leitura de outros gêneros.    </w:t>
      </w:r>
    </w:p>
    <w:p>
      <w:pPr>
        <w:pStyle w:val="Normal"/>
        <w:spacing w:lineRule="auto" w:line="360"/>
        <w:jc w:val="both"/>
        <w:rPr/>
      </w:pPr>
      <w:r>
        <w:rPr>
          <w:b/>
        </w:rPr>
        <w:t xml:space="preserve">        </w:t>
      </w:r>
      <w:r>
        <w:rPr/>
        <w:t>Apesar da multiplicidade de definições para a literatura de ficção científica, comumente se compreende a ficção científica como um ramo da ficção fantástica ou não-realista em que se diferencia pelo discurso materialista e científico, constituindo um subconjunto desses gêneros maiores. Isaac Asimov em um ensaio sobre o conceito de ficção científica foi categórico em afirmar que a ficção científica é a ciência do futuro</w:t>
      </w:r>
      <w:r>
        <w:rPr>
          <w:rStyle w:val="Caracteresdenotaderodap"/>
          <w:rStyle w:val="Ncoradanotaderodap"/>
        </w:rPr>
        <w:footnoteReference w:id="129"/>
      </w:r>
      <w:r>
        <w:rPr/>
        <w:t xml:space="preserve">. Diante dessa ideia geral, assumir que algo viaja mais rápido que a luz (fenômeno impossível dentro da ortodoxia atual da ciência) se configuraria como um elemento básico da ficção científica, uma vez que tal cenário seja racionalizado no texto através de alguns dispositivos ou tecnologias. O termo "Ciência" configura elemento chave que caracteriza, em termos históricos, a literatura de ficção científica (outro crítico literário que converge para essa ideia é Brian Aldiss, para quem a ficção científica nasce em 1818 com a publicação de </w:t>
      </w:r>
      <w:r>
        <w:rPr>
          <w:i/>
        </w:rPr>
        <w:t>Frankenstein</w:t>
      </w:r>
      <w:r>
        <w:rPr/>
        <w:t xml:space="preserve"> por Mary Shelley).</w:t>
      </w:r>
    </w:p>
    <w:p>
      <w:pPr>
        <w:pStyle w:val="Normal"/>
        <w:spacing w:lineRule="auto" w:line="360"/>
        <w:jc w:val="both"/>
        <w:rPr/>
      </w:pPr>
      <w:r>
        <w:rPr/>
        <w:tab/>
        <w:t xml:space="preserve">As propostas divergem sobre alguns aspectos, mas podemos assumir certo consenso no que tange a presença da ciência e tecnologia nas narrativas de ficção científica, bem como na composição dos cenários e personagens. Jacques Rancière entende que a noção de ficção como criação imaginária, em oposição a não ficção (o discurso histórico, por exemplo) representa uma diferenciação um tanto quanto fraca, uma vez que a ficção configura o que ele chamou por estruturas de racionalidades e que as utilizamos para obter inteligibilidade acerca de nossa experiência no mundo. A ficção, mesmo que não comprometida com nenhuma ontologia sobre os fatos e eventos narrados, ainda mantém-nos conectados e reflexivos sobre o conteúdo da narrativa; essa dimensão heurística da ficção a aproximaria de discursos oficialmente considerados não ficcionais, como as ciências humanas (Rancière, 2017). Assumirei neste ensaio esses pressupostos de Rancière e a ortodoxia que exige, para fins de classificação do gênero, a presença na narrativa da ciência e tecnologia. Examinarei a seguir a formação histórica das ciências cognitivas, fonte constante de argumento para um ramo específico da ficção científica na segunda metade do século XX.         </w:t>
      </w:r>
    </w:p>
    <w:p>
      <w:pPr>
        <w:pStyle w:val="Normal"/>
        <w:spacing w:lineRule="auto" w:line="360"/>
        <w:jc w:val="both"/>
        <w:rPr/>
      </w:pPr>
      <w:r>
        <w:rPr/>
      </w:r>
    </w:p>
    <w:p>
      <w:pPr>
        <w:pStyle w:val="Normal"/>
        <w:spacing w:lineRule="auto" w:line="360"/>
        <w:jc w:val="both"/>
        <w:rPr>
          <w:b/>
          <w:b/>
        </w:rPr>
      </w:pPr>
      <w:r>
        <w:rPr>
          <w:b/>
        </w:rPr>
        <w:t>O problema mente-cérebro e a origem das ciências cognitivas</w:t>
      </w:r>
    </w:p>
    <w:p>
      <w:pPr>
        <w:pStyle w:val="Normal"/>
        <w:spacing w:lineRule="auto" w:line="360"/>
        <w:jc w:val="both"/>
        <w:rPr>
          <w:b/>
          <w:b/>
        </w:rPr>
      </w:pPr>
      <w:r>
        <w:rPr>
          <w:b/>
        </w:rPr>
      </w:r>
    </w:p>
    <w:p>
      <w:pPr>
        <w:pStyle w:val="Normal"/>
        <w:spacing w:lineRule="auto" w:line="360"/>
        <w:jc w:val="both"/>
        <w:rPr/>
      </w:pPr>
      <w:r>
        <w:rPr/>
        <w:tab/>
        <w:t>A formação de uma nova disciplina geralmente está associada a problemas que se encontram em duas ou mais áreas já estabelecidas e que mobilizam recursos (materiais e conceituais) de outras áreas na solução desses problemas. As chamadas Ciências cognitivas configuram uma área de pesquisa que nasceu na confluência de ao menos seis áreas distintas. Howard Gardner (psicólogo que ficou conhecido nas décadas de 1980 e 1990 com sua tese sobre as múltiplas inteligências) fez uma boa análise histórica da formação das ciências cognitivas (Gardner, 1987). Para Gardner, a formação das ciências cognitivas ocorreu na confluência entre ao menos seis grandes áreas do conhecimento que compartilharam dos mesmos problemas na primeira metade do século XX. Essas áreas (figura 4) lidavam com a problemática de apresentarem uma agenda experimental que pudesse lidar com problemas e conceitos associados à cognição (conceitos tais como o de memória, atenção, inteligência, significado, emoção, linguagem, pensamento entre outros).</w:t>
      </w:r>
    </w:p>
    <w:p>
      <w:pPr>
        <w:pStyle w:val="Normal"/>
        <w:spacing w:lineRule="auto" w:line="360"/>
        <w:jc w:val="both"/>
        <w:rPr/>
      </w:pPr>
      <w:r>
        <w:rPr/>
        <w:tab/>
        <w:t xml:space="preserve">Uma área que nas décadas de 1930 e 1940 foi fortemente estimulada foi a Cibernética. Área associada ao conceito de informação e com os avanços na área de computação (mesmo antes da criação do computador) pôde ser proposto uma agenda semelhante ao das ciências experimentais (uma herança da reflexão acerca da natureza da ciência fortemente marcada pelo positivismo lógico ou círculo de Viena, como era conhecido, se referia a valorização das ciências experimentais como uma das principais características da atividade científica). Nessa esteira, as disciplinas buscavam uma espécie de selo de cientificidade adequando suas pesquisas a agendas experimentais. Não seria diferente para as disciplinas nascentes. Embora determinar uma data como o ponto de partida de uma determinada área seja um tanto quanto fictício, parte da historiografia no que se refere a origem das ciências cognitivas aceita que o simpósio Hixon seja o ponto de inflexão na formação dessa nova disciplina. O simpósio Hixon ocorreu em 1948 na Califórnia e reuniu os principais pesquisadores do momento preocupados com as ciências da computação e da informação (figura 5), e como isso se dava nos organismos e em estruturas inorgânicas.        </w:t>
      </w:r>
    </w:p>
    <w:p>
      <w:pPr>
        <w:pStyle w:val="Normal"/>
        <w:spacing w:lineRule="auto" w:line="360"/>
        <w:jc w:val="both"/>
        <w:rPr/>
      </w:pPr>
      <w:r>
        <w:rPr/>
      </w:r>
    </w:p>
    <w:p>
      <w:pPr>
        <w:pStyle w:val="Normal"/>
        <w:spacing w:lineRule="auto" w:line="360"/>
        <w:jc w:val="center"/>
        <w:rPr>
          <w:lang w:val="pt-BR" w:eastAsia="pt-BR"/>
        </w:rPr>
      </w:pPr>
      <w:r>
        <w:rPr>
          <w:lang w:val="pt-BR" w:eastAsia="pt-BR"/>
        </w:rPr>
        <w:drawing>
          <wp:inline distT="0" distB="0" distL="0" distR="0">
            <wp:extent cx="3488055" cy="2134235"/>
            <wp:effectExtent l="0" t="0" r="0" b="0"/>
            <wp:docPr id="1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descr=""/>
                    <pic:cNvPicPr>
                      <a:picLocks noChangeAspect="1" noChangeArrowheads="1"/>
                    </pic:cNvPicPr>
                  </pic:nvPicPr>
                  <pic:blipFill>
                    <a:blip r:embed="rId12"/>
                    <a:stretch>
                      <a:fillRect/>
                    </a:stretch>
                  </pic:blipFill>
                  <pic:spPr bwMode="auto">
                    <a:xfrm>
                      <a:off x="0" y="0"/>
                      <a:ext cx="3488055" cy="2134235"/>
                    </a:xfrm>
                    <a:prstGeom prst="rect">
                      <a:avLst/>
                    </a:prstGeom>
                    <a:ln w="38100">
                      <a:solidFill>
                        <a:srgbClr val="000000"/>
                      </a:solidFill>
                    </a:ln>
                  </pic:spPr>
                </pic:pic>
              </a:graphicData>
            </a:graphic>
          </wp:inline>
        </w:drawing>
      </w:r>
    </w:p>
    <w:p>
      <w:pPr>
        <w:pStyle w:val="Normal"/>
        <w:jc w:val="center"/>
        <w:rPr/>
      </w:pPr>
      <w:r>
        <w:rPr>
          <w:b/>
        </w:rPr>
        <w:t>Figura 4:</w:t>
      </w:r>
      <w:r>
        <w:rPr/>
        <w:t xml:space="preserve"> Esquema indicativo das principais áreas associadas a formação das ciências cognitivas. As linhas inteiras indicam maior interação entre as áreas e as tracejadas menor interação (Fonte: Gardner, 1987, p. 23).</w:t>
      </w:r>
    </w:p>
    <w:p>
      <w:pPr>
        <w:pStyle w:val="Normal"/>
        <w:spacing w:lineRule="auto" w:line="360"/>
        <w:jc w:val="center"/>
        <w:rPr/>
      </w:pPr>
      <w:r>
        <w:rPr/>
      </w:r>
    </w:p>
    <w:p>
      <w:pPr>
        <w:pStyle w:val="Normal"/>
        <w:spacing w:lineRule="auto" w:line="360"/>
        <w:jc w:val="center"/>
        <w:rPr>
          <w:lang w:val="pt-BR" w:eastAsia="pt-BR"/>
        </w:rPr>
      </w:pPr>
      <w:r>
        <w:rPr>
          <w:lang w:val="pt-BR" w:eastAsia="pt-BR"/>
        </w:rPr>
        <w:drawing>
          <wp:inline distT="0" distB="0" distL="0" distR="0">
            <wp:extent cx="4438015" cy="2693035"/>
            <wp:effectExtent l="0" t="0" r="0" b="0"/>
            <wp:docPr id="13"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4" descr=""/>
                    <pic:cNvPicPr>
                      <a:picLocks noChangeAspect="1" noChangeArrowheads="1"/>
                    </pic:cNvPicPr>
                  </pic:nvPicPr>
                  <pic:blipFill>
                    <a:blip r:embed="rId13"/>
                    <a:stretch>
                      <a:fillRect/>
                    </a:stretch>
                  </pic:blipFill>
                  <pic:spPr bwMode="auto">
                    <a:xfrm>
                      <a:off x="0" y="0"/>
                      <a:ext cx="4438015" cy="2693035"/>
                    </a:xfrm>
                    <a:prstGeom prst="rect">
                      <a:avLst/>
                    </a:prstGeom>
                    <a:ln w="38100">
                      <a:solidFill>
                        <a:srgbClr val="000000"/>
                      </a:solidFill>
                    </a:ln>
                  </pic:spPr>
                </pic:pic>
              </a:graphicData>
            </a:graphic>
          </wp:inline>
        </w:drawing>
      </w:r>
    </w:p>
    <w:p>
      <w:pPr>
        <w:pStyle w:val="Normal"/>
        <w:jc w:val="center"/>
        <w:rPr/>
      </w:pPr>
      <w:r>
        <w:rPr>
          <w:b/>
        </w:rPr>
        <w:t>Figura 5:</w:t>
      </w:r>
      <w:r>
        <w:rPr/>
        <w:t xml:space="preserve"> Foto de alguns dos principais participantes do Simpósio Hixon (1948) na Califórnia (Fonte: www.ibm.com; acessado no dia 09/08/2017) </w:t>
      </w:r>
    </w:p>
    <w:p>
      <w:pPr>
        <w:pStyle w:val="Normal"/>
        <w:spacing w:lineRule="auto" w:line="360"/>
        <w:jc w:val="both"/>
        <w:rPr/>
      </w:pPr>
      <w:r>
        <w:rPr/>
      </w:r>
    </w:p>
    <w:p>
      <w:pPr>
        <w:pStyle w:val="Normal"/>
        <w:spacing w:lineRule="auto" w:line="360"/>
        <w:jc w:val="both"/>
        <w:rPr/>
      </w:pPr>
      <w:r>
        <w:rPr/>
        <w:tab/>
        <w:t xml:space="preserve">Alguns dos pesquisadores que estiveram no simpósio Hixon estavam fortemente associados a pesquisas de fronteira em suas áreas de origem. Estiveram presentes o neuropsicólogo Ward Halstead (1908-1968), Wolfgang Köhler (1887-1967), importante representante da Psicologia da Gestalt, Karl Lashley (1890-1958), importante fisiologista com contribuições sobre o conceito de memória, o matemático John von Newmann (1903-1957), Marren McCulloch (1898-1969), nome forte da Inteligência artificial, entre outros. Parte significativa desses nomes estiveram presentes em 1956 em um simpósio sobre teoria da informação ocorrido no MIT, junto com pesquisadores como Noam Chomsky, Allen Newell e Herbert Simon.   </w:t>
      </w:r>
    </w:p>
    <w:p>
      <w:pPr>
        <w:pStyle w:val="Normal"/>
        <w:spacing w:lineRule="auto" w:line="360"/>
        <w:jc w:val="both"/>
        <w:rPr/>
      </w:pPr>
      <w:r>
        <w:rPr/>
        <w:tab/>
        <w:t xml:space="preserve">Os problemas em comum dessas pesquisas comumente transitavam pelas seis áreas indicadas por Gardner (figura 4), o que não significava que esses problemas eram de fácil solução, dai a necessidade de interação entre essas áreas a partir dos elementos experimentais e teóricos disponíveis. A mobilização e acomodação de aparatos, protocolos de pesquisa, conceitos e pressupostos envolvendo duas ou mais áreas se tornou imperativo na maneira como os problemas surgiam. A filosofia muito interessou a essas pesquisas com sua contribuição pela reflexão sobre os conceitos de mente, intencionalidade, fenômenos mentais e muito da reflexão derivada da chamada filosofia analítica, na Inglaterra essa vertente esteve centrada na chamada geração de Oxford da primeira metade do século XX. </w:t>
      </w:r>
    </w:p>
    <w:p>
      <w:pPr>
        <w:pStyle w:val="Normal"/>
        <w:spacing w:lineRule="auto" w:line="360"/>
        <w:jc w:val="both"/>
        <w:rPr/>
      </w:pPr>
      <w:r>
        <w:rPr/>
        <w:tab/>
        <w:t xml:space="preserve">Um filósofo que talvez mais tenha contribuído para esse debate foi o britânico Gilbert Ryle (1900-1976). Ryle pertenceu a uma tradição da filosofia analítica britânica que seguiu os passos de Ludwig Wittgenstein (1889-1951) no exame de problemas morais a partir do exame da linguagem, com a exceção que Ryle também se preocupou com o discurso científico. Em um artigo publicado em 1931 na Proceedings of the Aristotelian Society intitulado </w:t>
      </w:r>
      <w:r>
        <w:rPr>
          <w:i/>
        </w:rPr>
        <w:t>Systematically misleading expressions</w:t>
      </w:r>
      <w:r>
        <w:rPr/>
        <w:t xml:space="preserve"> Ryle examinou uma série de expressões que, apesar de justificadas no uso cotidiano, não constituem o que ele chamou de problemas filosóficos genuínos (na série </w:t>
      </w:r>
      <w:r>
        <w:rPr>
          <w:i/>
        </w:rPr>
        <w:t>Os pensadores</w:t>
      </w:r>
      <w:r>
        <w:rPr/>
        <w:t xml:space="preserve"> da editora Abril há uma versão incompleta desse artigo). Cito Ryle:</w:t>
      </w:r>
    </w:p>
    <w:p>
      <w:pPr>
        <w:pStyle w:val="Normal"/>
        <w:spacing w:lineRule="auto" w:line="360"/>
        <w:jc w:val="both"/>
        <w:rPr/>
      </w:pPr>
      <w:r>
        <w:rPr/>
      </w:r>
    </w:p>
    <w:p>
      <w:pPr>
        <w:pStyle w:val="Normal"/>
        <w:spacing w:lineRule="auto" w:line="360"/>
        <w:ind w:left="705" w:hanging="0"/>
        <w:jc w:val="both"/>
        <w:rPr/>
      </w:pPr>
      <w:r>
        <w:rPr>
          <w:i/>
        </w:rPr>
        <w:t xml:space="preserve">Existem muitas expressões que ocorrem no discurso não filosófico e que - </w:t>
        <w:tab/>
        <w:t xml:space="preserve">embora sejam compreendidas com perfeita clareza por aqueles que as utilizam e </w:t>
        <w:tab/>
        <w:t xml:space="preserve">por aqueles que as escutam ou que as leem - são, não obstante, expressas em </w:t>
        <w:tab/>
        <w:t xml:space="preserve">certas formas gramaticais ou sintáticas tais que é possível demonstrar serem elas impróprias para o estado de coisas que elas registram (ou para o suposto estado </w:t>
        <w:tab/>
        <w:t>de coisas que elas pretendem registrar)</w:t>
      </w:r>
      <w:r>
        <w:rPr/>
        <w:t>.</w:t>
      </w:r>
      <w:r>
        <w:rPr>
          <w:rStyle w:val="Caracteresdenotaderodap"/>
          <w:rStyle w:val="Ncoradanotaderodap"/>
        </w:rPr>
        <w:footnoteReference w:id="130"/>
      </w:r>
      <w:r>
        <w:rPr/>
        <w:t xml:space="preserve">            </w:t>
      </w:r>
    </w:p>
    <w:p>
      <w:pPr>
        <w:pStyle w:val="Normal"/>
        <w:spacing w:lineRule="auto" w:line="360"/>
        <w:jc w:val="both"/>
        <w:rPr/>
      </w:pPr>
      <w:r>
        <w:rPr/>
      </w:r>
    </w:p>
    <w:p>
      <w:pPr>
        <w:pStyle w:val="Normal"/>
        <w:spacing w:lineRule="auto" w:line="360"/>
        <w:jc w:val="both"/>
        <w:rPr/>
      </w:pPr>
      <w:r>
        <w:rPr/>
        <w:tab/>
        <w:t xml:space="preserve">Ryle expandiu seu interesse para examinar expressões utilizadas no discurso científico, e para tal escolheu examinar a Psicologia. Em 1949 publicou o que é considerado a primeira obra contemporânea a se debruçar sobre o problema mente-cérebro de forma sistemática se opondo à tradição cartesiana. O livro publicado por Ryle sob o título </w:t>
      </w:r>
      <w:r>
        <w:rPr>
          <w:i/>
        </w:rPr>
        <w:t>The concept of mind</w:t>
      </w:r>
      <w:r>
        <w:rPr/>
        <w:t xml:space="preserve"> é uma espécie de marco zero na formação da Filosofia da mente. Nessa obra, Ryle objetiva como ideia central analisar o problema da relação causal entre o corpo e os estados mentais. Para tal iniciou apresentando o que ele denominou de doutrina oficial (posição dualista comumente associada ao cartesianismo). Segundo o dualismo (em todo seu espectro), diferenciamos os estados mentais dos estados corporais por algumas características; os primeiros não estão no espaço, consequentemente suas operações não estão sujeitas às leis da mecânica e não configuram eventos públicos (são eventos privados sujeitos a uma linguagem de primeira pessoa), enquanto que os estados corporais ocorrem no espaço, são sujeitos às leis da física e são públicos (no sentido que se configuram em termos comportamentais). </w:t>
      </w:r>
    </w:p>
    <w:p>
      <w:pPr>
        <w:pStyle w:val="Normal"/>
        <w:spacing w:lineRule="auto" w:line="360"/>
        <w:jc w:val="both"/>
        <w:rPr/>
      </w:pPr>
      <w:r>
        <w:rPr/>
        <w:tab/>
        <w:t xml:space="preserve">O debate sobre a problemática mente-cérebro se desenvolveu muito após o trabalho de Ryle, mas alguns pontos colocados pelo filósofo constituem pedras de toque da área atualmente. Talvez a principal contribuição de Ryle tenha sido apontar que, à maneira como mente e corpo se relacionam geram inúmeros problemas teóricos e que não serão solucionados pela via experimental. Após apresentar a tese dualista e suas limitações, Ryle introduziu a noção de erro de categoria, o que segundo boa parte da análise no restante da obra, será tributária dos problemas envolvendo o conceito de estados mentais. No capítulo terceiro Ryle examina o problema acerca da noção de vontade. Inicialmente atacou o problema assumindo que na história da Psicologia o conceito de volição configura um erro categorial. </w:t>
      </w:r>
    </w:p>
    <w:p>
      <w:pPr>
        <w:pStyle w:val="Normal"/>
        <w:spacing w:lineRule="auto" w:line="360"/>
        <w:jc w:val="both"/>
        <w:rPr/>
      </w:pPr>
      <w:r>
        <w:rPr/>
        <w:tab/>
        <w:t>Nessa crítica, Ryle distingue três processos mentais distintos: o pensamento, o sentimento e a vontade. As funções da mente, no modelo dualista, apresentam três modos irredutíveis, o cognoscitivo, o emotivo e o volitivo. Ryle propôs a eliminação de um desses eixos. No modelo dualista, uma ação muscular (pública) é causada por um ato volitivo (privada). Ryle se refere a versões dualistas como versões do mito do fantasma na máquina que expressam uma proposição causal em que se afirme que o ato corporal, de apertar um gatilho, por exemplo, foi efeito do ato mental de querer apertar o gatilho. Cito Ryle:</w:t>
      </w:r>
    </w:p>
    <w:p>
      <w:pPr>
        <w:pStyle w:val="Normal"/>
        <w:spacing w:lineRule="auto" w:line="360"/>
        <w:jc w:val="both"/>
        <w:rPr/>
      </w:pPr>
      <w:r>
        <w:rPr/>
      </w:r>
    </w:p>
    <w:p>
      <w:pPr>
        <w:pStyle w:val="Normal"/>
        <w:spacing w:lineRule="auto" w:line="360"/>
        <w:jc w:val="both"/>
        <w:rPr/>
      </w:pPr>
      <w:r>
        <w:rPr/>
        <w:tab/>
      </w:r>
      <w:r>
        <w:rPr>
          <w:i/>
        </w:rPr>
        <w:t xml:space="preserve">(...) Dizer que alguém apertou intencionalmente o gatilho é afirmar que certo </w:t>
        <w:tab/>
        <w:t>ato mental causou a contração dos músculos do dedo</w:t>
      </w:r>
      <w:r>
        <w:rPr>
          <w:rStyle w:val="Caracteresdenotaderodap"/>
          <w:rStyle w:val="Ncoradanotaderodap"/>
          <w:i/>
        </w:rPr>
        <w:footnoteReference w:id="131"/>
      </w:r>
      <w:r>
        <w:rPr>
          <w:i/>
        </w:rPr>
        <w:t>.</w:t>
      </w:r>
      <w:r>
        <w:rPr/>
        <w:t xml:space="preserve">          </w:t>
      </w:r>
    </w:p>
    <w:p>
      <w:pPr>
        <w:pStyle w:val="Normal"/>
        <w:spacing w:lineRule="auto" w:line="360"/>
        <w:jc w:val="both"/>
        <w:rPr/>
      </w:pPr>
      <w:r>
        <w:rPr/>
      </w:r>
    </w:p>
    <w:p>
      <w:pPr>
        <w:pStyle w:val="Normal"/>
        <w:spacing w:lineRule="auto" w:line="360"/>
        <w:jc w:val="both"/>
        <w:rPr/>
      </w:pPr>
      <w:r>
        <w:rPr/>
        <w:tab/>
        <w:t xml:space="preserve">Se o especialista fala, de acordo com Ryle, em volições ou atos de vontade, o mesmo assume que a mente é uma espécie de campo secundário e não espacial de causas especiais. Dessa forma, os atos corporais seriam expressões de atos mentais. Ryle apresenta quatro objeções à caracterização dos atos de vontade na perspectiva dualista. Duas nos interessam aqui; uma delas afirma que as volições são privadas; inferimos as volições do outro mediante a conduta externa observada. Além do que, dentre os comportamentos observáveis, ainda se deve buscar razões para decidir que a ação foi voluntária e não reflexa ou habitual, ou mesmo o resultado de uma causa externa. Diante dessa caracterização dos atos de vontade, a conexão entre volições e movimentos constitui um mistério. Essa objeção nos remete a segunda, que se refere a conexão causal entre as volições e os movimentos serem de natureza distinta a qualquer problema de natureza interno a uma teoria científica. </w:t>
      </w:r>
    </w:p>
    <w:p>
      <w:pPr>
        <w:pStyle w:val="Normal"/>
        <w:spacing w:lineRule="auto" w:line="360"/>
        <w:jc w:val="both"/>
        <w:rPr/>
      </w:pPr>
      <w:r>
        <w:rPr/>
        <w:tab/>
        <w:t>As condições de existência dos estados mentais e corporais criam o que Ryle denominou por um paradoxo na tentativa, dentro da teoria, de se estabelecer a explicação causal. A saída não admite trocar o vocabulário da Psicologia por um vocabulário técnico, uma vez que os predicados associados ao ato de vontade também são atribuídos a estados mentais. Para Ryle, esse caso possui como pano de fundo um problema mais geral, expresso na questão de como se aplicam aos atos humanos os conceitos referentes ao mental e ao comportamento. Resumidamente, podemos nos referir daqui em diante como o problema da causação do comportamento.</w:t>
      </w:r>
    </w:p>
    <w:p>
      <w:pPr>
        <w:pStyle w:val="Normal"/>
        <w:spacing w:lineRule="auto" w:line="360"/>
        <w:jc w:val="both"/>
        <w:rPr/>
      </w:pPr>
      <w:r>
        <w:rPr/>
        <w:tab/>
        <w:t>Retomando a discussão inicial da seção, as outras áreas associadas à origem das ciências cognitivas contribuíram tal qual a Filosofia, com problemas já bem estabelecidos em seus respectivos campos. Parte significativa da Psicologia da primeira metade do século XX estava preocupada em explicar fenômenos de desenvolvimento da inteligência na criança, aprendizagem e representações mentais. Com o desenvolvimento da Inteligência artificial, o uso das técnicas e, posteriormente, dos computadores puderam estimular as pesquisas em Psicologia na análise de dados. Nas décadas 1940 e 1950, no que se refere aos estudos sobre o sistema nervoso, a Neurociência em formação estava fortemente ocupada em explicar como ocorre a sinalização entre as células nervosas (a explicação da sinapse por meio de abertura e fechamento de canais proteicos se deu numa série de artigos publicados a partir de 1952 pelos pesquisadores Alan L. Hodgkin (1914-1998) e Andrew F. Huxley (1917-2012), porém, uma década antes se tentou modelar o sistema nervoso numa perspectiva computacional). A Antropologia e a Linguística foram as outras duas áreas que, de acordo com Gardner, contribuíram para a formação das ciências cognitivas.</w:t>
      </w:r>
    </w:p>
    <w:p>
      <w:pPr>
        <w:pStyle w:val="Normal"/>
        <w:spacing w:lineRule="auto" w:line="360"/>
        <w:jc w:val="both"/>
        <w:rPr/>
      </w:pPr>
      <w:r>
        <w:rPr/>
        <w:tab/>
        <w:t xml:space="preserve">As ciências cognitivas inicialmente não tinham somente o problema mente-cérebro como objeto de exame. Aspectos diversos da cognição foram objeto de estudo dessa nova disciplina. A maneira como esses problemas passaram a ser examinados, enfatizando aspectos da cognição e não somente comportamentais permitiram inúmeros avanços nas pesquisas e aplicações em diversos campos. No que se refere ao debate sobre a natureza dos estados mentais, as contribuições da Computação e da Inteligência artificial foram centrais. Sem exageros podemos afirmar que nesse momento se estabeleceu o paradigma computacional da mente. A ideia de que o sistema nervoso, em última instância, processa informações de entrada (do meio) e responde a essa entrada de informações (comportamentais, por exemplo) sugeriu a essa geração a ideia de que fosse possível reproduzir esse comportamento (capacidade de computabilidade de um número imenso de informações) em um suporte distinto do cérebro (um computador, por exemplo), de alguma maneira aspectos da cognição (aprendizagem, memória, inteligência etc) poderiam ser reproduzidos. A euforia em torno desses estudos foi tamanha que para os fundadores da Inteligência artificial não mais fazia sentido a pergunta sobre a possibilidade de as máquinas pensarem, mas a pergunta deveria ser quando a capacidade de pensamento se igualaria e ultrapassaria a capacidade humana.               </w:t>
      </w:r>
    </w:p>
    <w:p>
      <w:pPr>
        <w:pStyle w:val="Normal"/>
        <w:spacing w:lineRule="auto" w:line="360"/>
        <w:jc w:val="both"/>
        <w:rPr/>
      </w:pPr>
      <w:r>
        <w:rPr>
          <w:b/>
        </w:rPr>
        <w:tab/>
      </w:r>
      <w:r>
        <w:rPr/>
        <w:t xml:space="preserve">O debate persistiu por décadas. As primeiras aplicações do computador em pesquisas sobre Inteligência artificial foram em desenvolvimento de jogos (principalmente de xadrez) e aprendizagem de idiomas. Com o desenvolvimento da computação, cada vez mais aumentava a capacidade de computabilidade de um número maior de informações, o que aumentava consequentemente o otimismo sobre a "inteligência" das máquinas. Em 1972 esses estudos sofrem o primeiro ataque a essa euforia um tanto quanto exagerada (farei esse breve percurso para, na próxima seção situar as histórias de robôs nesse contexto). </w:t>
      </w:r>
    </w:p>
    <w:p>
      <w:pPr>
        <w:pStyle w:val="Normal"/>
        <w:spacing w:lineRule="auto" w:line="360"/>
        <w:ind w:firstLine="708"/>
        <w:jc w:val="both"/>
        <w:rPr/>
      </w:pPr>
      <w:r>
        <w:rPr>
          <w:lang w:val="en-US"/>
        </w:rPr>
        <w:t xml:space="preserve">O filósofo de Berkeley Hubert L. Dreyfus (1929-2017) publicou em 1972 o livro </w:t>
      </w:r>
      <w:r>
        <w:rPr>
          <w:i/>
          <w:lang w:val="en-US"/>
        </w:rPr>
        <w:t>What computers can't do: the limits of artificial intelligence</w:t>
      </w:r>
      <w:r>
        <w:rPr>
          <w:lang w:val="en-US"/>
        </w:rPr>
        <w:t xml:space="preserve">. </w:t>
      </w:r>
      <w:r>
        <w:rPr/>
        <w:t xml:space="preserve">Nessa obra Dreyfus ataca o que ele chamou de otimismo sem conta. A obra se divide em duas grandes partes, sendo a primeira uma excelente análise histórica da formação do campo da Inteligência artificial. Dreyfus reconhece a importância das pesquisas em Inteligência artificial; o foco de sua critica se refere ao que ele denominou a crença em que as máquinas desenvolveriam capacidades semelhantes às humanas. Ainda assim a crítica mais forte ao programa de pesquisa da Inteligência artificial viria somente quase uma década depois da publicação de Dreyfus. </w:t>
      </w:r>
    </w:p>
    <w:p>
      <w:pPr>
        <w:pStyle w:val="Normal"/>
        <w:spacing w:lineRule="auto" w:line="360"/>
        <w:jc w:val="both"/>
        <w:rPr/>
      </w:pPr>
      <w:r>
        <w:rPr/>
        <w:tab/>
        <w:t xml:space="preserve">Em 1980, o filósofo estadunidense John Searle (1932) publicou o artigo </w:t>
      </w:r>
      <w:r>
        <w:rPr>
          <w:i/>
        </w:rPr>
        <w:t>Minds, brain, and programs</w:t>
      </w:r>
      <w:r>
        <w:rPr/>
        <w:t xml:space="preserve"> em que apresentou uma das grandes objeções a pretensão da Inteligência artificial no que concerne a ideia de que as máquinas possam adquirir consciência. Searle separou o que ele chamou de programa fraco da Inteligência artificial do programa forte. Segundo Searle, o programa fraco se refere a proposta de uso da Inteligência artificial para fins de compreensão da cognição humana por meio do uso de todo aparato técnico disponível das ciências da computação sem, no entanto, a pretensão de que estejamos reproduzindo os estados mentais na máquina. Já o programa forte seria a proposta de que é possível reproduzir estados mentais nas máquinas uma vez que não é o suporte, mas sim a capacidade de processamento de informação o que garante a emulação dos estados mentais. Dessa forma, se essa capacidade do cérebro puder ser reproduzida em outro suporte (um computador, por exemplo) é de se esperar que seja possível gerar estados mentais na máquina. Searle apresentou um experimento mental que ficou muito conhecido no meio e que ainda não teve uma solução satisfatória. </w:t>
      </w:r>
    </w:p>
    <w:p>
      <w:pPr>
        <w:pStyle w:val="Normal"/>
        <w:spacing w:lineRule="auto" w:line="360"/>
        <w:jc w:val="both"/>
        <w:rPr/>
      </w:pPr>
      <w:r>
        <w:rPr/>
        <w:tab/>
        <w:t xml:space="preserve">O experimento mental apresentado por Searle é conhecido por experimento do quarto chinês. Imagine um sujeito em um quarto em que há um compartimento de entrada e outro de saída de tabuas. O sujeito sabe apenas o idioma inglês mas tem a sua disposição um manual de tradução de símbolos do chinês para o inglês. Ao ser inserido uma tabua com símbolos chineses, ele utiliza o manual e faz a "tradução" e passa para fora a tabua traduzida. Searle pergunta se o sujeito sabe chinês? É provável que a resposta seja negativa. No máximo diríamos que ele manipula os símbolos com uso do manual, mas não ultrapassa o nível da sintaxe. Nesse processo o sujeito não compreende a semântica da linguagem que manipula. Para Searle, esse é exatamente o processo que ocorre no computador. Há sintaxe, mas não semântica. Dessa forma, ele afirma que o computador não opera no mundo semelhantemente ao humano. Essa objeção foi uma das mais fortes ao programa forte da Inteligência artificial, porém foi ignorada por muitos dos adeptos da área, ficando restrita aos círculos filosóficos. </w:t>
      </w:r>
    </w:p>
    <w:p>
      <w:pPr>
        <w:pStyle w:val="Normal"/>
        <w:spacing w:lineRule="auto" w:line="360"/>
        <w:jc w:val="both"/>
        <w:rPr/>
      </w:pPr>
      <w:r>
        <w:rPr/>
        <w:tab/>
        <w:t xml:space="preserve">O debate sobre a inteligência nas máquinas teve outras versões, avançando para propostas conciliadoras, outras nem tanto. Discutirei rapidamente a proposta do filósofo estadunidense Daniel Dennett (1942) para, em seguida examinarmos como as histórias de robôs na segunda metade do século XX dialogaram com essas diversas visões sobre a questão. Concluiremos com uma breve discussão sobre o papel que essas histórias de ficção científica assumem com um importante papel como estruturas racionais de inteligibilidade da realidade (aqui não defendo que estruturas racionais de inteligibilidade sejam tomadas por um discurso que se comprometa com qualquer explicação realística do mundo).       </w:t>
      </w:r>
    </w:p>
    <w:p>
      <w:pPr>
        <w:pStyle w:val="Normal"/>
        <w:spacing w:lineRule="auto" w:line="360"/>
        <w:jc w:val="both"/>
        <w:rPr/>
      </w:pPr>
      <w:r>
        <w:rPr/>
      </w:r>
    </w:p>
    <w:p>
      <w:pPr>
        <w:pStyle w:val="Normal"/>
        <w:spacing w:lineRule="auto" w:line="360"/>
        <w:jc w:val="both"/>
        <w:rPr>
          <w:b/>
          <w:b/>
        </w:rPr>
      </w:pPr>
      <w:r>
        <w:rPr>
          <w:b/>
        </w:rPr>
        <w:t>A proposta conciliadora de Daniel Dennett</w:t>
      </w:r>
    </w:p>
    <w:p>
      <w:pPr>
        <w:pStyle w:val="Normal"/>
        <w:spacing w:lineRule="auto" w:line="360"/>
        <w:jc w:val="both"/>
        <w:rPr>
          <w:b/>
          <w:b/>
        </w:rPr>
      </w:pPr>
      <w:r>
        <w:rPr>
          <w:b/>
        </w:rPr>
      </w:r>
    </w:p>
    <w:p>
      <w:pPr>
        <w:pStyle w:val="Normal"/>
        <w:spacing w:lineRule="auto" w:line="360"/>
        <w:jc w:val="both"/>
        <w:rPr/>
      </w:pPr>
      <w:r>
        <w:rPr/>
        <w:tab/>
        <w:t>Daniel Dennett nasceu em 1942 em Boston no EUA. Dennett concluiu seu doutoramento em 1965 sob a orientação de Gilbert Ryle em Oxford. Ainda na graduação em Harvard foi aluno de Quine, que o influenciou profundamente. A proposta de Dennett configura um caso sui generis no debate uma vez que ele não assume nenhuma forma de dualismo mente-cérebro, porém não se desloca no espectro do debate para posições materialistas reducionistas</w:t>
      </w:r>
      <w:r>
        <w:rPr>
          <w:rStyle w:val="Caracteresdenotaderodap"/>
          <w:rStyle w:val="Ncoradanotaderodap"/>
        </w:rPr>
        <w:footnoteReference w:id="132"/>
      </w:r>
      <w:r>
        <w:rPr/>
        <w:t xml:space="preserve">. Dennett propõe ao problema da consciência e dos estados mentais uma solução que permita conciliar a filosofia da mente com a Inteligência artificial. </w:t>
      </w:r>
    </w:p>
    <w:p>
      <w:pPr>
        <w:pStyle w:val="Normal"/>
        <w:spacing w:lineRule="auto" w:line="360"/>
        <w:jc w:val="both"/>
        <w:rPr/>
      </w:pPr>
      <w:r>
        <w:rPr/>
        <w:tab/>
        <w:t xml:space="preserve">Em uma obra de 1969 (conteúdo e consciência), Dennett propõe que os termos da Psicologia (Dennett se referia a esses termos como pertencendo a </w:t>
      </w:r>
      <w:r>
        <w:rPr>
          <w:i/>
        </w:rPr>
        <w:t>folk psychology</w:t>
      </w:r>
      <w:r>
        <w:rPr/>
        <w:t xml:space="preserve">) sejam tratados como conceitos teóricos. Dessa forma, conceitos como o de mente, emoção, inteligência seriam entidades teóricas que lançamos mão na explicação de comportamentos complexos que operam no que ele chamou da instância intencional (Dennett, 1993; 1987). Para Dennett, os fenômenos podem ser examinados em três níveis: (1) no nível ou instância física; (2) nível ou instância do design e; (3) nível ou instância intencional. Fenômenos de áreas como os da Física ou Engenharia podem ser examinados nos dois primeiros níveis. Quando nos referimos ao comportamento complexo de animais que demonstrem intencionalidade nas ações, os primeiros níveis não são suficientes, dai a inconsistência para Dennett na busca de estruturas responsáveis pelos estados mentais, por exemplo, ou mesmo propostas como a do materialismo eliminativo, que propunha reduzir estados mentais a estados cerebrais. Dessa forma, o vocabulário da </w:t>
      </w:r>
      <w:r>
        <w:rPr>
          <w:i/>
        </w:rPr>
        <w:t>folk psychology</w:t>
      </w:r>
      <w:r>
        <w:rPr/>
        <w:t xml:space="preserve"> não poderia ser um estágio passageiro do desenvolvimento de áreas como a Psicologia ou as ciências cognitivas, mas um recurso teórico para explicarmos o comportamento animal. </w:t>
      </w:r>
    </w:p>
    <w:p>
      <w:pPr>
        <w:pStyle w:val="Normal"/>
        <w:spacing w:lineRule="auto" w:line="360"/>
        <w:jc w:val="both"/>
        <w:rPr/>
      </w:pPr>
      <w:r>
        <w:rPr/>
        <w:tab/>
        <w:t xml:space="preserve">Nesse sentido, Dennett compreende que se uma máquina manifestar comportamento complexo e para tal, tivermos que recorrer ao vocabulário da </w:t>
      </w:r>
      <w:r>
        <w:rPr>
          <w:i/>
        </w:rPr>
        <w:t xml:space="preserve">folk psychology </w:t>
      </w:r>
      <w:r>
        <w:rPr/>
        <w:t xml:space="preserve">para explicar esse comportamento, não haveria nenhum problema em atribuir consciência à máquina. A proposta de Dennett não inflaciona as capacidades operacionais dos computadores como faz a Inteligência artificial, ao contrário, deflaciona o compromisso ontológico que temos com esses conceitos ao atribuí-los a nossa e outras espécies. Para Dennett, a pergunta sobre se existem estados mentais não configura uma pergunta forte, uma vez que ela entraria no mesmo debate acerca da existência de outras entidades teóricas, tão comum na ciência contemporânea (exemplo seriam os conceitos de elétron, átomo, gene etc). Em um ensaio de 1981 Dennett desenvolve melhor sua tese dos sistemas intencionais e, posteriormente em um livro de 1987 (Dennett, 2006; 1987).  </w:t>
      </w:r>
    </w:p>
    <w:p>
      <w:pPr>
        <w:pStyle w:val="Normal"/>
        <w:spacing w:lineRule="auto" w:line="360"/>
        <w:jc w:val="both"/>
        <w:rPr/>
      </w:pPr>
      <w:r>
        <w:rPr/>
        <w:tab/>
        <w:t xml:space="preserve">Em uma obra de 1991 (a consciência explicada), Dennett retoma o problema da consciência e oferece uma solução. Nossos estados mentais, ao configurar conceitos teóricos que utilizamos para explicar nosso comportamento, representam uma multiplicidade de informações que recebemos do meio a todo momento (pelas vias sensoriais). Dennett explica o conceito de consciência a partir de uma proposta da computação. Com o avanço dos computadores, uma proposta que foi muito bem aceita na década de 1980 tratava-se de um programa que criava vários subprogramas que, associados com uma espécie de programa mãe, pudesse melhorar a capacidade de gerenciar e computar um maior número de informações. Dennett se inspirou no programa pandemônio para, em analogia com a noção de consciência, afirmar que a ideia de organização e linearidade que temos na maneira como percebemos o mundo a partir da desordem de informações que entram por nossas vias sensoriais é o que chamamos de consciência (a ideia de consciência de Dennett foi apelidada de máquina joyceana, em alusão ao livro Ulisses de James Joyce). Para Dennett, inclusive, a consciência como esse "gerenciador" que cria essa narrativa da percepção da realidade representou alguma pressão seletiva para nossa espécie, sendo transmitida no nível da cultura (Dennett adotou a tese dos </w:t>
      </w:r>
      <w:r>
        <w:rPr>
          <w:i/>
        </w:rPr>
        <w:t>memes</w:t>
      </w:r>
      <w:r>
        <w:rPr/>
        <w:t xml:space="preserve"> proposta por Richard Dawkins em meados da década de 1970). Nas histórias de robôs, mesmo nas mais otimistas quanto a presença de consciência nas máquinas, o argumento sempre vai na contramão da tese de Dennett. Na ficção, as máquinas sempre alcançam a singularidade e desenvolvem a consciência, ou seja, a ontologia da ideia de consciência em nossa espécie é sempre salvaguardada, condição que Dennett não assume. Vejamos como algumas histórias de robôs dialogaram com parte desse debate sobre a inteligência das máquinas e nossa relação com o desenvolvimento dessa tecnologia. </w:t>
      </w:r>
    </w:p>
    <w:p>
      <w:pPr>
        <w:pStyle w:val="Normal"/>
        <w:spacing w:lineRule="auto" w:line="360"/>
        <w:jc w:val="both"/>
        <w:rPr/>
      </w:pPr>
      <w:r>
        <w:rPr/>
      </w:r>
    </w:p>
    <w:p>
      <w:pPr>
        <w:pStyle w:val="Normal"/>
        <w:spacing w:lineRule="auto" w:line="360"/>
        <w:jc w:val="both"/>
        <w:rPr>
          <w:b/>
          <w:b/>
        </w:rPr>
      </w:pPr>
      <w:r>
        <w:rPr>
          <w:b/>
        </w:rPr>
        <w:t>O que as histórias de robôs podem nos ensinar?</w:t>
      </w:r>
    </w:p>
    <w:p>
      <w:pPr>
        <w:pStyle w:val="Normal"/>
        <w:spacing w:lineRule="auto" w:line="360"/>
        <w:jc w:val="both"/>
        <w:rPr>
          <w:b/>
          <w:b/>
        </w:rPr>
      </w:pPr>
      <w:r>
        <w:rPr>
          <w:b/>
        </w:rPr>
      </w:r>
    </w:p>
    <w:p>
      <w:pPr>
        <w:pStyle w:val="Normal"/>
        <w:spacing w:lineRule="auto" w:line="360"/>
        <w:jc w:val="both"/>
        <w:rPr/>
      </w:pPr>
      <w:r>
        <w:rPr/>
        <w:tab/>
        <w:t>Em minha proposta inicial apresentei o recorte temporal, principalmente na segunda metade do século XX, no entanto, farei uma breve digressão pelo que entendo possa ser associado às histórias de robôs como uma espécie de precursores. Nas condições de contorno estabelecidas por boa parte dos críticos em aceitar que a literatura de ficção científica tem seu nascedouro localizado em meados do século XIX, as histórias de robôs proliferam mesmo somente no século XX, porém há histórias no século XIX em que já podemos ver elementos que estarão presentes, resignificados, nas histórias cem anos depois. Embora o termo Robô apareça pela primeira vez na obra do escritor Karel Capek numa peça de 1921, a associação histórica mais frequente é com a ideia de autômatos. Na modernidade, com o desenvolvimento da mecânica e, posteriormente de outras áreas da Física, o século XVII e XVIII viu proliferarem a construção de autômatos com diversas finalidades, desde a mera diversão das pessoas até interesses de pesquisa sobre locomoção, linguagem e outros fenômenos biológicos. Na literatura, a presença do autômato está diretamente ligada a discussão sobre o que define o vivo em relação ao não vivo.</w:t>
      </w:r>
    </w:p>
    <w:p>
      <w:pPr>
        <w:pStyle w:val="Normal"/>
        <w:spacing w:lineRule="auto" w:line="360"/>
        <w:jc w:val="both"/>
        <w:rPr/>
      </w:pPr>
      <w:r>
        <w:rPr/>
        <w:tab/>
        <w:t xml:space="preserve">Em um conto de 1817 que se tornou famoso devido a análise feita por Sigmund Freud (1856-1939) acerca do conceito de estranho, o escritor alemão E.T.A. Hoffmann (1776-1822) em seu </w:t>
      </w:r>
      <w:r>
        <w:rPr>
          <w:i/>
        </w:rPr>
        <w:t>Der Sandmann</w:t>
      </w:r>
      <w:r>
        <w:rPr/>
        <w:t xml:space="preserve"> (o homem de areia) explora o terreno do fantástico em uma narrativa ao mesmo tempo de horror e mistério. A personagem Olímpia é um autômato e em clara alusão ao mito grego de Pigmalião e Galatéia Hoffmann desenvolve a história. Outra obra desse mesmo momento que é constantemente associada, entre as inúmeras possibilidades de leitura, ao debate sobre os limites do vivo e não vivo é Frankenstein de Mary Shelley publicado em 1818. Em termos contemporâneos, as histórias de robôs, já no contexto da ficção científica própria do século XX somente aparecerá no final do século XIX. Duas obras são significativas desse momento, um romance e um conto escrito por um escritor típico de histórias de horror.     </w:t>
      </w:r>
    </w:p>
    <w:p>
      <w:pPr>
        <w:pStyle w:val="Normal"/>
        <w:spacing w:lineRule="auto" w:line="360"/>
        <w:jc w:val="both"/>
        <w:rPr/>
      </w:pPr>
      <w:r>
        <w:rPr/>
        <w:tab/>
        <w:t xml:space="preserve">A primeira obra é </w:t>
      </w:r>
      <w:r>
        <w:rPr>
          <w:i/>
        </w:rPr>
        <w:t>L'Ève future</w:t>
      </w:r>
      <w:r>
        <w:rPr/>
        <w:t xml:space="preserve">, publicada em 1886 por Auguste Villiers de L'Isle-Adam (1838-1889), escritor conhecido por seus contos cruéis. Nessa história Thomas Edson é a personagem principal responsável por criar a androide Hadaly. Hadaly representa o estereótipo da mulher perfeita (vemos aqui uma resignificação moderna do mito de Pigmalião e Galatéia novamente), ambientada no final do século XIX e recheada do entusiasmo com a ciência e tecnologia desse momento. Uma marca desse tipo de romance é que, ao mesmo tempo em que apresenta esse entusiasmo com a ciência, o autor ironiza a ideia de progresso uma vez que questões mais basais não são solucionadas mesmo com a ideia posta de uma aproximação da máquina com o humano como indicativo dessa evolução. O escritor estadunidense de histórias de terror Ambrose Bierce (1842-1913) publicou em 1894 o conto </w:t>
      </w:r>
      <w:r>
        <w:rPr>
          <w:i/>
        </w:rPr>
        <w:t>O feitiço e o feiticeiro</w:t>
      </w:r>
      <w:r>
        <w:rPr/>
        <w:t xml:space="preserve"> (Bierce apud Asimov, 1983, pp. 17-24). Nesse conto é narrada a história de Moxon e da construção de um autômato que desenvolve certo nível de consciência e que será responsável pela destruição de seu criador. Não é a primeira vez que autômatos aparecem em obras literárias, porém o conto de Bierce representa junto com </w:t>
      </w:r>
      <w:r>
        <w:rPr>
          <w:i/>
        </w:rPr>
        <w:t>L'Ève future</w:t>
      </w:r>
      <w:r>
        <w:rPr/>
        <w:t xml:space="preserve"> uma das primeiras obras em que a temática é problematizada em termos contemporâneos. A crítica aos perigos da associação homem-máquina, ao desenvolvimento desse tipo de tecnologia e suas implicações éticas configura elementos próprios dessa literatura. No conto de Bierce, a mensagem é claramente pessimista no que se refere a nossa relação com a tecnologia no sentido de que o desenvolvimento da consciência nas máquinas implica o risco de sobrevivência de nossa própria espécie. </w:t>
      </w:r>
    </w:p>
    <w:p>
      <w:pPr>
        <w:pStyle w:val="Normal"/>
        <w:spacing w:lineRule="auto" w:line="360"/>
        <w:jc w:val="both"/>
        <w:rPr/>
      </w:pPr>
      <w:r>
        <w:rPr/>
        <w:tab/>
        <w:t xml:space="preserve">Bierce também inaugura uma tradição nas histórias de robôs. A visão distópica em relação às máquinas. Quando Isaac Asimov (1919-1992) escreveu seu primeiro conto de robôs em 1940, a história de </w:t>
      </w:r>
      <w:r>
        <w:rPr>
          <w:i/>
        </w:rPr>
        <w:t>Robbie</w:t>
      </w:r>
      <w:r>
        <w:rPr/>
        <w:t xml:space="preserve"> tinha por finalidade restaurar certo otimismo na relação do humano com as máquinas. O próprio Asimov afirmou na introdução da coletânea que organizou (Asimov, 1983) que a tipificação de Robbie objetivava desconstruir o imaginário que muitas obras de ficção científica tinham lapidado de forma a traçar um cenário apocalíptico do futuro em relação às máquinas. Dividirei nesse ensaio as histórias contemporâneas de robôs em três momentos, sendo que o marco divisório é basicamente o mesmo dos estudos e desenvolvimento de áreas como a Inteligência artificial e as ciências cognitivas (ver esquemas 1 e 2).</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lang w:val="pt-BR" w:eastAsia="pt-BR"/>
        </w:rPr>
      </w:pPr>
      <w:r>
        <w:rPr>
          <w:lang w:val="pt-BR" w:eastAsia="pt-BR"/>
        </w:rPr>
      </w:r>
      <w:r>
        <mc:AlternateContent>
          <mc:Choice Requires="wps">
            <w:drawing>
              <wp:anchor behindDoc="0" distT="0" distB="0" distL="114935" distR="114935" simplePos="0" locked="0" layoutInCell="0" allowOverlap="1" relativeHeight="42">
                <wp:simplePos x="0" y="0"/>
                <wp:positionH relativeFrom="column">
                  <wp:posOffset>-86360</wp:posOffset>
                </wp:positionH>
                <wp:positionV relativeFrom="paragraph">
                  <wp:posOffset>-158750</wp:posOffset>
                </wp:positionV>
                <wp:extent cx="5571490" cy="6551930"/>
                <wp:effectExtent l="0" t="0" r="0" b="0"/>
                <wp:wrapNone/>
                <wp:docPr id="14" name="Quadro4"/>
                <a:graphic xmlns:a="http://schemas.openxmlformats.org/drawingml/2006/main">
                  <a:graphicData uri="http://schemas.microsoft.com/office/word/2010/wordprocessingShape">
                    <wps:wsp>
                      <wps:cNvSpPr txBox="1"/>
                      <wps:spPr>
                        <a:xfrm>
                          <a:off x="0" y="0"/>
                          <a:ext cx="5571490" cy="6551930"/>
                        </a:xfrm>
                        <a:prstGeom prst="rect"/>
                        <a:solidFill>
                          <a:srgbClr val="FFFFFF">
                            <a:alpha val="97000"/>
                          </a:srgbClr>
                        </a:solidFill>
                        <a:ln w="38100">
                          <a:solidFill>
                            <a:srgbClr val="000000"/>
                          </a:solidFill>
                        </a:ln>
                      </wps:spPr>
                      <wps:txbx>
                        <w:txbxContent>
                          <w:p>
                            <w:pPr>
                              <w:pStyle w:val="Normal"/>
                              <w:spacing w:before="0" w:after="40"/>
                              <w:jc w:val="center"/>
                              <w:rPr/>
                            </w:pPr>
                            <w:r>
                              <w:rPr/>
                              <w:t>Antecedentes históricos das histórias de robôs</w:t>
                            </w:r>
                          </w:p>
                          <w:p>
                            <w:pPr>
                              <w:pStyle w:val="Normal"/>
                              <w:spacing w:before="0" w:after="40"/>
                              <w:jc w:val="center"/>
                              <w:rPr/>
                            </w:pPr>
                            <w:r>
                              <w:rPr/>
                              <w:t>(em associação com a história da ficção científica)</w:t>
                            </w:r>
                          </w:p>
                          <w:p>
                            <w:pPr>
                              <w:pStyle w:val="Normal"/>
                              <w:spacing w:before="0" w:after="40"/>
                              <w:jc w:val="center"/>
                              <w:rPr>
                                <w:lang w:val="pt-BR" w:eastAsia="pt-BR"/>
                              </w:rPr>
                            </w:pPr>
                            <w:r>
                              <w:rPr>
                                <w:lang w:val="pt-BR" w:eastAsia="pt-BR"/>
                              </w:rPr>
                              <w:drawing>
                                <wp:inline distT="0" distB="0" distL="0" distR="0">
                                  <wp:extent cx="120015" cy="327025"/>
                                  <wp:effectExtent l="0" t="0" r="0" b="0"/>
                                  <wp:docPr id="15"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Romance de ficção científica contemporâneo</w:t>
                            </w:r>
                          </w:p>
                          <w:p>
                            <w:pPr>
                              <w:pStyle w:val="Normal"/>
                              <w:spacing w:before="0" w:after="40"/>
                              <w:jc w:val="center"/>
                              <w:rPr>
                                <w:lang w:val="pt-BR" w:eastAsia="pt-BR"/>
                              </w:rPr>
                            </w:pPr>
                            <w:r>
                              <w:rPr>
                                <w:lang w:val="pt-BR" w:eastAsia="pt-BR"/>
                              </w:rPr>
                              <w:drawing>
                                <wp:inline distT="0" distB="0" distL="0" distR="0">
                                  <wp:extent cx="120015" cy="327025"/>
                                  <wp:effectExtent l="0" t="0" r="0" b="0"/>
                                  <wp:docPr id="16"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7"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Der Sandmann     Frankenstein</w:t>
                            </w:r>
                          </w:p>
                          <w:p>
                            <w:pPr>
                              <w:pStyle w:val="Normal"/>
                              <w:spacing w:before="0" w:after="40"/>
                              <w:jc w:val="center"/>
                              <w:rPr/>
                            </w:pPr>
                            <w:r>
                              <w:rPr/>
                              <w:t>1815                    1818</w:t>
                            </w:r>
                          </w:p>
                          <w:p>
                            <w:pPr>
                              <w:pStyle w:val="Normal"/>
                              <w:spacing w:before="0" w:after="40"/>
                              <w:jc w:val="center"/>
                              <w:rPr/>
                            </w:pPr>
                            <w:r>
                              <w:rPr/>
                            </w:r>
                          </w:p>
                          <w:p>
                            <w:pPr>
                              <w:pStyle w:val="Normal"/>
                              <w:spacing w:before="0" w:after="40"/>
                              <w:jc w:val="center"/>
                              <w:rPr/>
                            </w:pPr>
                            <w:r>
                              <w:rPr>
                                <w:b/>
                              </w:rPr>
                              <w:t>Primeira fase:</w:t>
                            </w:r>
                            <w:r>
                              <w:rPr/>
                              <w:t xml:space="preserve"> anterior ao paradigma do modelo simbólico (computacional)</w:t>
                            </w:r>
                          </w:p>
                          <w:p>
                            <w:pPr>
                              <w:pStyle w:val="Normal"/>
                              <w:spacing w:before="0" w:after="40"/>
                              <w:jc w:val="center"/>
                              <w:rPr>
                                <w:lang w:val="pt-BR" w:eastAsia="pt-BR"/>
                              </w:rPr>
                            </w:pPr>
                            <w:r>
                              <w:rPr>
                                <w:lang w:val="pt-BR" w:eastAsia="pt-BR"/>
                              </w:rPr>
                              <w:drawing>
                                <wp:inline distT="0" distB="0" distL="0" distR="0">
                                  <wp:extent cx="120015" cy="327025"/>
                                  <wp:effectExtent l="0" t="0" r="0" b="0"/>
                                  <wp:docPr id="17"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8"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 xml:space="preserve">                     </w:t>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b/>
                              </w:rPr>
                              <w:t>Segunda fase:</w:t>
                            </w:r>
                            <w:r>
                              <w:rPr/>
                              <w:t xml:space="preserve"> Paradigma computacional (desenvolvimento das ciências cognitivas e Inteligência artificial)</w:t>
                            </w:r>
                          </w:p>
                          <w:p>
                            <w:pPr>
                              <w:pStyle w:val="Normal"/>
                              <w:spacing w:before="0" w:after="40"/>
                              <w:jc w:val="center"/>
                              <w:rPr/>
                            </w:pPr>
                            <w:r>
                              <w:rPr/>
                              <w:t xml:space="preserve">Nessa fase proliferam temáticas como mitos de criação das máquinas, questões morais, narrativas apocalípticas, evolução da inteligência nas máquinas, natureza humana entre outras.   </w:t>
                            </w:r>
                          </w:p>
                          <w:p>
                            <w:pPr>
                              <w:pStyle w:val="Normal"/>
                              <w:spacing w:before="0" w:after="40"/>
                              <w:jc w:val="center"/>
                              <w:rPr>
                                <w:lang w:val="pt-BR" w:eastAsia="pt-BR"/>
                              </w:rPr>
                            </w:pPr>
                            <w:r>
                              <w:rPr>
                                <w:lang w:val="pt-BR" w:eastAsia="pt-BR"/>
                              </w:rPr>
                              <w:drawing>
                                <wp:inline distT="0" distB="0" distL="0" distR="0">
                                  <wp:extent cx="120015" cy="327025"/>
                                  <wp:effectExtent l="0" t="0" r="0" b="0"/>
                                  <wp:docPr id="18"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9"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3pt" style="position:absolute;rotation:0;width:438.7pt;height:515.9pt;mso-wrap-distance-left:9.05pt;mso-wrap-distance-right:9.05pt;mso-wrap-distance-top:0pt;mso-wrap-distance-bottom:0pt;margin-top:-12.5pt;mso-position-vertical-relative:text;margin-left:-6.8pt;mso-position-horizontal-relative:text">
                <v:fill opacity="63568.95f"/>
                <v:textbox>
                  <w:txbxContent>
                    <w:p>
                      <w:pPr>
                        <w:pStyle w:val="Normal"/>
                        <w:spacing w:before="0" w:after="40"/>
                        <w:jc w:val="center"/>
                        <w:rPr/>
                      </w:pPr>
                      <w:r>
                        <w:rPr/>
                        <w:t>Antecedentes históricos das histórias de robôs</w:t>
                      </w:r>
                    </w:p>
                    <w:p>
                      <w:pPr>
                        <w:pStyle w:val="Normal"/>
                        <w:spacing w:before="0" w:after="40"/>
                        <w:jc w:val="center"/>
                        <w:rPr/>
                      </w:pPr>
                      <w:r>
                        <w:rPr/>
                        <w:t>(em associação com a história da ficção científica)</w:t>
                      </w:r>
                    </w:p>
                    <w:p>
                      <w:pPr>
                        <w:pStyle w:val="Normal"/>
                        <w:spacing w:before="0" w:after="40"/>
                        <w:jc w:val="center"/>
                        <w:rPr>
                          <w:lang w:val="pt-BR" w:eastAsia="pt-BR"/>
                        </w:rPr>
                      </w:pPr>
                      <w:r>
                        <w:rPr>
                          <w:lang w:val="pt-BR" w:eastAsia="pt-BR"/>
                        </w:rPr>
                        <w:drawing>
                          <wp:inline distT="0" distB="0" distL="0" distR="0">
                            <wp:extent cx="120015" cy="327025"/>
                            <wp:effectExtent l="0" t="0" r="0" b="0"/>
                            <wp:docPr id="19"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Romance de ficção científica contemporâneo</w:t>
                      </w:r>
                    </w:p>
                    <w:p>
                      <w:pPr>
                        <w:pStyle w:val="Normal"/>
                        <w:spacing w:before="0" w:after="40"/>
                        <w:jc w:val="center"/>
                        <w:rPr>
                          <w:lang w:val="pt-BR" w:eastAsia="pt-BR"/>
                        </w:rPr>
                      </w:pPr>
                      <w:r>
                        <w:rPr>
                          <w:lang w:val="pt-BR" w:eastAsia="pt-BR"/>
                        </w:rPr>
                        <w:drawing>
                          <wp:inline distT="0" distB="0" distL="0" distR="0">
                            <wp:extent cx="120015" cy="327025"/>
                            <wp:effectExtent l="0" t="0" r="0" b="0"/>
                            <wp:docPr id="2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7"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Der Sandmann     Frankenstein</w:t>
                      </w:r>
                    </w:p>
                    <w:p>
                      <w:pPr>
                        <w:pStyle w:val="Normal"/>
                        <w:spacing w:before="0" w:after="40"/>
                        <w:jc w:val="center"/>
                        <w:rPr/>
                      </w:pPr>
                      <w:r>
                        <w:rPr/>
                        <w:t>1815                    1818</w:t>
                      </w:r>
                    </w:p>
                    <w:p>
                      <w:pPr>
                        <w:pStyle w:val="Normal"/>
                        <w:spacing w:before="0" w:after="40"/>
                        <w:jc w:val="center"/>
                        <w:rPr/>
                      </w:pPr>
                      <w:r>
                        <w:rPr/>
                      </w:r>
                    </w:p>
                    <w:p>
                      <w:pPr>
                        <w:pStyle w:val="Normal"/>
                        <w:spacing w:before="0" w:after="40"/>
                        <w:jc w:val="center"/>
                        <w:rPr/>
                      </w:pPr>
                      <w:r>
                        <w:rPr>
                          <w:b/>
                        </w:rPr>
                        <w:t>Primeira fase:</w:t>
                      </w:r>
                      <w:r>
                        <w:rPr/>
                        <w:t xml:space="preserve"> anterior ao paradigma do modelo simbólico (computacional)</w:t>
                      </w:r>
                    </w:p>
                    <w:p>
                      <w:pPr>
                        <w:pStyle w:val="Normal"/>
                        <w:spacing w:before="0" w:after="40"/>
                        <w:jc w:val="center"/>
                        <w:rPr>
                          <w:lang w:val="pt-BR" w:eastAsia="pt-BR"/>
                        </w:rPr>
                      </w:pPr>
                      <w:r>
                        <w:rPr>
                          <w:lang w:val="pt-BR" w:eastAsia="pt-BR"/>
                        </w:rPr>
                        <w:drawing>
                          <wp:inline distT="0" distB="0" distL="0" distR="0">
                            <wp:extent cx="120015" cy="327025"/>
                            <wp:effectExtent l="0" t="0" r="0" b="0"/>
                            <wp:docPr id="2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8"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 xml:space="preserve">                     </w:t>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b/>
                        </w:rPr>
                        <w:t>Segunda fase:</w:t>
                      </w:r>
                      <w:r>
                        <w:rPr/>
                        <w:t xml:space="preserve"> Paradigma computacional (desenvolvimento das ciências cognitivas e Inteligência artificial)</w:t>
                      </w:r>
                    </w:p>
                    <w:p>
                      <w:pPr>
                        <w:pStyle w:val="Normal"/>
                        <w:spacing w:before="0" w:after="40"/>
                        <w:jc w:val="center"/>
                        <w:rPr/>
                      </w:pPr>
                      <w:r>
                        <w:rPr/>
                        <w:t xml:space="preserve">Nessa fase proliferam temáticas como mitos de criação das máquinas, questões morais, narrativas apocalípticas, evolução da inteligência nas máquinas, natureza humana entre outras.   </w:t>
                      </w:r>
                    </w:p>
                    <w:p>
                      <w:pPr>
                        <w:pStyle w:val="Normal"/>
                        <w:spacing w:before="0" w:after="40"/>
                        <w:jc w:val="center"/>
                        <w:rPr>
                          <w:lang w:val="pt-BR" w:eastAsia="pt-BR"/>
                        </w:rPr>
                      </w:pPr>
                      <w:r>
                        <w:rPr>
                          <w:lang w:val="pt-BR" w:eastAsia="pt-BR"/>
                        </w:rPr>
                        <w:drawing>
                          <wp:inline distT="0" distB="0" distL="0" distR="0">
                            <wp:extent cx="120015" cy="327025"/>
                            <wp:effectExtent l="0" t="0" r="0" b="0"/>
                            <wp:docPr id="2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9"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r>
                    </w:p>
                    <w:p>
                      <w:pPr>
                        <w:pStyle w:val="Normal"/>
                        <w:rPr/>
                      </w:pPr>
                      <w:r>
                        <w:rPr/>
                      </w:r>
                    </w:p>
                  </w:txbxContent>
                </v:textbox>
                <w10:wrap type="none"/>
              </v:rect>
            </w:pict>
          </mc:Fallback>
        </mc:AlternateContent>
      </w:r>
    </w:p>
    <w:p>
      <w:pPr>
        <w:pStyle w:val="Normal"/>
        <w:spacing w:lineRule="auto" w:line="360"/>
        <w:jc w:val="both"/>
        <w:rPr/>
      </w:pPr>
      <w:r>
        <w:rPr/>
      </w:r>
    </w:p>
    <w:p>
      <w:pPr>
        <w:pStyle w:val="Normal"/>
        <w:spacing w:lineRule="auto" w:line="360"/>
        <w:jc w:val="both"/>
        <w:rPr/>
      </w:pPr>
      <w:r>
        <w:rPr/>
        <w:t xml:space="preserve"> </w:t>
      </w:r>
    </w:p>
    <w:p>
      <w:pPr>
        <w:pStyle w:val="Normal"/>
        <w:spacing w:lineRule="auto" w:line="360"/>
        <w:jc w:val="both"/>
        <w:rPr/>
      </w:pPr>
      <w:r>
        <w:rPr/>
        <w:tab/>
        <w:t xml:space="preserve">   </w:t>
      </w:r>
    </w:p>
    <w:p>
      <w:pPr>
        <w:pStyle w:val="Normal"/>
        <w:spacing w:lineRule="auto" w:line="360"/>
        <w:jc w:val="both"/>
        <w:rPr/>
      </w:pPr>
      <w:r>
        <w:rPr/>
        <w:t xml:space="preserve">            </w:t>
      </w:r>
    </w:p>
    <w:p>
      <w:pPr>
        <w:pStyle w:val="Normal"/>
        <w:spacing w:lineRule="auto" w:line="360"/>
        <w:jc w:val="both"/>
        <w:rPr>
          <w:b/>
          <w:b/>
        </w:rPr>
      </w:pPr>
      <w:r>
        <w:rPr/>
        <w:t xml:space="preserve">  </w:t>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lang w:val="pt-BR" w:eastAsia="pt-BR"/>
        </w:rPr>
      </w:pPr>
      <w:r>
        <w:rPr>
          <w:b/>
          <w:lang w:val="pt-BR" w:eastAsia="pt-BR"/>
        </w:rPr>
        <mc:AlternateContent>
          <mc:Choice Requires="wpg">
            <w:drawing>
              <wp:anchor behindDoc="0" distT="0" distB="0" distL="114935" distR="114935" simplePos="0" locked="0" layoutInCell="0" allowOverlap="1" relativeHeight="51">
                <wp:simplePos x="0" y="0"/>
                <wp:positionH relativeFrom="column">
                  <wp:posOffset>767080</wp:posOffset>
                </wp:positionH>
                <wp:positionV relativeFrom="paragraph">
                  <wp:posOffset>165100</wp:posOffset>
                </wp:positionV>
                <wp:extent cx="3853815" cy="1187450"/>
                <wp:effectExtent l="0" t="0" r="0" b="0"/>
                <wp:wrapNone/>
                <wp:docPr id="23" name=""/>
                <a:graphic xmlns:a="http://schemas.openxmlformats.org/drawingml/2006/main">
                  <a:graphicData uri="http://schemas.microsoft.com/office/word/2010/wordprocessingGroup">
                    <wpg:wgp>
                      <wpg:cNvGrpSpPr/>
                      <wpg:grpSpPr>
                        <a:xfrm>
                          <a:off x="0" y="0"/>
                          <a:ext cx="3853080" cy="1186920"/>
                          <a:chOff x="767160" y="165240"/>
                          <a:chExt cx="3853080" cy="1186920"/>
                        </a:xfrm>
                      </wpg:grpSpPr>
                      <wps:wsp>
                        <wps:cNvSpPr txBox="1"/>
                        <wps:spPr>
                          <a:xfrm>
                            <a:off x="0" y="9000"/>
                            <a:ext cx="1699200" cy="568440"/>
                          </a:xfrm>
                          <a:prstGeom prst="rect">
                            <a:avLst/>
                          </a:prstGeom>
                          <a:solidFill>
                            <a:srgbClr val="ffffff"/>
                          </a:solid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pt-BR" w:bidi="ar-SA"/>
                                </w:rPr>
                                <w:t>O feitiço e o feiticeiro</w:t>
                              </w:r>
                            </w:p>
                            <w:p>
                              <w:pPr>
                                <w:overflowPunct w:val="false"/>
                                <w:bidi w:val="0"/>
                                <w:jc w:val="center"/>
                                <w:rPr/>
                              </w:pPr>
                              <w:r>
                                <w:rPr>
                                  <w:kern w:val="2"/>
                                  <w:sz w:val="24"/>
                                  <w:szCs w:val="24"/>
                                  <w:rFonts w:ascii="Times New Roman" w:hAnsi="Times New Roman" w:eastAsia="Times New Roman" w:cs="Times New Roman"/>
                                  <w:color w:val="auto"/>
                                  <w:lang w:val="pt-BR" w:bidi="ar-SA"/>
                                </w:rPr>
                                <w:t>Ambrose Bierce (1894)</w:t>
                              </w:r>
                            </w:p>
                            <w:p>
                              <w:pPr>
                                <w:overflowPunct w:val="false"/>
                                <w:bidi w:val="0"/>
                                <w:jc w:val="center"/>
                                <w:rPr/>
                              </w:pPr>
                              <w:r>
                                <w:rPr>
                                  <w:kern w:val="2"/>
                                  <w:rFonts w:ascii="Liberation Serif" w:hAnsi="Liberation Serif" w:eastAsia="NSimSun" w:cs="Lucida Sans"/>
                                  <w:lang w:bidi="hi-IN"/>
                                </w:rPr>
                              </w:r>
                            </w:p>
                          </w:txbxContent>
                        </wps:txbx>
                        <wps:bodyPr wrap="square">
                          <a:noAutofit/>
                        </wps:bodyPr>
                      </wps:wsp>
                      <wps:wsp>
                        <wps:cNvSpPr txBox="1"/>
                        <wps:spPr>
                          <a:xfrm>
                            <a:off x="2252880" y="0"/>
                            <a:ext cx="1600200" cy="617760"/>
                          </a:xfrm>
                          <a:prstGeom prst="rect">
                            <a:avLst/>
                          </a:prstGeom>
                          <a:solidFill>
                            <a:srgbClr val="ffffff"/>
                          </a:solidFill>
                          <a:ln w="0">
                            <a:noFill/>
                          </a:ln>
                        </wps:spPr>
                        <wps:txbx>
                          <w:txbxContent>
                            <w:p>
                              <w:pPr>
                                <w:overflowPunct w:val="false"/>
                                <w:bidi w:val="0"/>
                                <w:spacing w:before="0" w:after="40"/>
                                <w:jc w:val="center"/>
                                <w:rPr/>
                              </w:pPr>
                              <w:r>
                                <w:rPr>
                                  <w:kern w:val="2"/>
                                  <w:sz w:val="24"/>
                                  <w:szCs w:val="24"/>
                                  <w:rFonts w:ascii="Times New Roman" w:hAnsi="Times New Roman" w:eastAsia="Times New Roman" w:cs="Times New Roman"/>
                                  <w:color w:val="auto"/>
                                  <w:lang w:val="pt-BR" w:bidi="ar-SA"/>
                                </w:rPr>
                                <w:t xml:space="preserve">A máquina perdida </w:t>
                              </w:r>
                            </w:p>
                            <w:p>
                              <w:pPr>
                                <w:overflowPunct w:val="false"/>
                                <w:bidi w:val="0"/>
                                <w:jc w:val="center"/>
                                <w:rPr/>
                              </w:pPr>
                              <w:r>
                                <w:rPr>
                                  <w:kern w:val="2"/>
                                  <w:sz w:val="24"/>
                                  <w:szCs w:val="24"/>
                                  <w:rFonts w:ascii="Times New Roman" w:hAnsi="Times New Roman" w:eastAsia="Times New Roman" w:cs="Times New Roman"/>
                                  <w:color w:val="auto"/>
                                  <w:lang w:val="pt-BR" w:bidi="ar-SA"/>
                                </w:rPr>
                                <w:t>John Wyndham (1932)</w:t>
                              </w:r>
                            </w:p>
                          </w:txbxContent>
                        </wps:txbx>
                        <wps:bodyPr wrap="square">
                          <a:noAutofit/>
                        </wps:bodyPr>
                      </wps:wsp>
                      <wps:wsp>
                        <wps:cNvSpPr txBox="1"/>
                        <wps:spPr>
                          <a:xfrm>
                            <a:off x="124560" y="568800"/>
                            <a:ext cx="1574280" cy="617760"/>
                          </a:xfrm>
                          <a:prstGeom prst="rect">
                            <a:avLst/>
                          </a:prstGeom>
                          <a:solidFill>
                            <a:srgbClr val="ffffff"/>
                          </a:solid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pt-BR" w:bidi="ar-SA"/>
                                </w:rPr>
                                <w:t>Rex</w:t>
                              </w:r>
                            </w:p>
                            <w:p>
                              <w:pPr>
                                <w:overflowPunct w:val="false"/>
                                <w:bidi w:val="0"/>
                                <w:jc w:val="center"/>
                                <w:rPr/>
                              </w:pPr>
                              <w:r>
                                <w:rPr>
                                  <w:kern w:val="2"/>
                                  <w:sz w:val="24"/>
                                  <w:szCs w:val="24"/>
                                  <w:rFonts w:ascii="Times New Roman" w:hAnsi="Times New Roman" w:eastAsia="Times New Roman" w:cs="Times New Roman"/>
                                  <w:color w:val="auto"/>
                                  <w:lang w:val="pt-BR" w:bidi="ar-SA"/>
                                </w:rPr>
                                <w:t>Harl Vincent (1934)</w:t>
                              </w:r>
                            </w:p>
                          </w:txbxContent>
                        </wps:txbx>
                        <wps:bodyPr wrap="square">
                          <a:noAutofit/>
                        </wps:bodyPr>
                      </wps:wsp>
                      <wps:wsp>
                        <wps:cNvSpPr txBox="1"/>
                        <wps:spPr>
                          <a:xfrm>
                            <a:off x="2331720" y="547200"/>
                            <a:ext cx="1409760" cy="617760"/>
                          </a:xfrm>
                          <a:prstGeom prst="rect">
                            <a:avLst/>
                          </a:prstGeom>
                          <a:solidFill>
                            <a:srgbClr val="ffffff"/>
                          </a:solid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pt-BR" w:bidi="ar-SA"/>
                                </w:rPr>
                                <w:t>Robbie</w:t>
                              </w:r>
                            </w:p>
                            <w:p>
                              <w:pPr>
                                <w:overflowPunct w:val="false"/>
                                <w:bidi w:val="0"/>
                                <w:jc w:val="center"/>
                                <w:rPr/>
                              </w:pPr>
                              <w:r>
                                <w:rPr>
                                  <w:kern w:val="2"/>
                                  <w:sz w:val="24"/>
                                  <w:szCs w:val="24"/>
                                  <w:rFonts w:ascii="Times New Roman" w:hAnsi="Times New Roman" w:eastAsia="Times New Roman" w:cs="Times New Roman"/>
                                  <w:color w:val="auto"/>
                                  <w:lang w:val="pt-BR" w:bidi="ar-SA"/>
                                </w:rPr>
                                <w:t>Isaac Asimov (1940)</w:t>
                              </w:r>
                            </w:p>
                          </w:txbxContent>
                        </wps:txbx>
                        <wps:bodyPr wrap="square">
                          <a:noAutofit/>
                        </wps:bodyPr>
                      </wps:wsp>
                    </wpg:wgp>
                  </a:graphicData>
                </a:graphic>
              </wp:anchor>
            </w:drawing>
          </mc:Choice>
          <mc:Fallback>
            <w:pict>
              <v:group id="shape_0" style="position:absolute;margin-left:60.4pt;margin-top:13pt;width:303.4pt;height:93.45pt" coordorigin="1208,260" coordsize="6068,1869">
                <v:shape id="shape_0" fillcolor="white" stroked="f" style="position:absolute;left:1208;top:274;width:2675;height:894;mso-wrap-style:square;v-text-anchor:top" type="shapetype_202">
                  <v:textbox>
                    <w:txbxContent>
                      <w:p>
                        <w:pPr>
                          <w:overflowPunct w:val="false"/>
                          <w:bidi w:val="0"/>
                          <w:jc w:val="center"/>
                          <w:rPr/>
                        </w:pPr>
                        <w:r>
                          <w:rPr>
                            <w:kern w:val="2"/>
                            <w:sz w:val="24"/>
                            <w:szCs w:val="24"/>
                            <w:rFonts w:ascii="Times New Roman" w:hAnsi="Times New Roman" w:eastAsia="Times New Roman" w:cs="Times New Roman"/>
                            <w:color w:val="auto"/>
                            <w:lang w:val="pt-BR" w:bidi="ar-SA"/>
                          </w:rPr>
                          <w:t>O feitiço e o feiticeiro</w:t>
                        </w:r>
                      </w:p>
                      <w:p>
                        <w:pPr>
                          <w:overflowPunct w:val="false"/>
                          <w:bidi w:val="0"/>
                          <w:jc w:val="center"/>
                          <w:rPr/>
                        </w:pPr>
                        <w:r>
                          <w:rPr>
                            <w:kern w:val="2"/>
                            <w:sz w:val="24"/>
                            <w:szCs w:val="24"/>
                            <w:rFonts w:ascii="Times New Roman" w:hAnsi="Times New Roman" w:eastAsia="Times New Roman" w:cs="Times New Roman"/>
                            <w:color w:val="auto"/>
                            <w:lang w:val="pt-BR" w:bidi="ar-SA"/>
                          </w:rPr>
                          <w:t>Ambrose Bierce (1894)</w:t>
                        </w:r>
                      </w:p>
                      <w:p>
                        <w:pPr>
                          <w:overflowPunct w:val="false"/>
                          <w:bidi w:val="0"/>
                          <w:jc w:val="center"/>
                          <w:rPr/>
                        </w:pPr>
                        <w:r>
                          <w:rPr>
                            <w:kern w:val="2"/>
                            <w:rFonts w:ascii="Liberation Serif" w:hAnsi="Liberation Serif" w:eastAsia="NSimSun" w:cs="Lucida Sans"/>
                            <w:lang w:bidi="hi-IN"/>
                          </w:rPr>
                        </w:r>
                      </w:p>
                    </w:txbxContent>
                  </v:textbox>
                  <v:fill o:detectmouseclick="t" type="solid" color2="black"/>
                  <v:stroke color="#3465a4" joinstyle="round" endcap="flat"/>
                  <w10:wrap type="none"/>
                </v:shape>
                <v:shape id="shape_0" fillcolor="white" stroked="f" style="position:absolute;left:4756;top:260;width:2519;height:972;mso-wrap-style:square;v-text-anchor:top" type="shapetype_202">
                  <v:textbox>
                    <w:txbxContent>
                      <w:p>
                        <w:pPr>
                          <w:overflowPunct w:val="false"/>
                          <w:bidi w:val="0"/>
                          <w:spacing w:before="0" w:after="40"/>
                          <w:jc w:val="center"/>
                          <w:rPr/>
                        </w:pPr>
                        <w:r>
                          <w:rPr>
                            <w:kern w:val="2"/>
                            <w:sz w:val="24"/>
                            <w:szCs w:val="24"/>
                            <w:rFonts w:ascii="Times New Roman" w:hAnsi="Times New Roman" w:eastAsia="Times New Roman" w:cs="Times New Roman"/>
                            <w:color w:val="auto"/>
                            <w:lang w:val="pt-BR" w:bidi="ar-SA"/>
                          </w:rPr>
                          <w:t xml:space="preserve">A máquina perdida </w:t>
                        </w:r>
                      </w:p>
                      <w:p>
                        <w:pPr>
                          <w:overflowPunct w:val="false"/>
                          <w:bidi w:val="0"/>
                          <w:jc w:val="center"/>
                          <w:rPr/>
                        </w:pPr>
                        <w:r>
                          <w:rPr>
                            <w:kern w:val="2"/>
                            <w:sz w:val="24"/>
                            <w:szCs w:val="24"/>
                            <w:rFonts w:ascii="Times New Roman" w:hAnsi="Times New Roman" w:eastAsia="Times New Roman" w:cs="Times New Roman"/>
                            <w:color w:val="auto"/>
                            <w:lang w:val="pt-BR" w:bidi="ar-SA"/>
                          </w:rPr>
                          <w:t>John Wyndham (1932)</w:t>
                        </w:r>
                      </w:p>
                    </w:txbxContent>
                  </v:textbox>
                  <v:fill o:detectmouseclick="t" type="solid" color2="black"/>
                  <v:stroke color="#3465a4" joinstyle="round" endcap="flat"/>
                </v:shape>
                <v:shape id="shape_0" fillcolor="white" stroked="f" style="position:absolute;left:1404;top:1156;width:2478;height:972;mso-wrap-style:square;v-text-anchor:top" type="shapetype_202">
                  <v:textbox>
                    <w:txbxContent>
                      <w:p>
                        <w:pPr>
                          <w:overflowPunct w:val="false"/>
                          <w:bidi w:val="0"/>
                          <w:jc w:val="center"/>
                          <w:rPr/>
                        </w:pPr>
                        <w:r>
                          <w:rPr>
                            <w:kern w:val="2"/>
                            <w:sz w:val="24"/>
                            <w:szCs w:val="24"/>
                            <w:rFonts w:ascii="Times New Roman" w:hAnsi="Times New Roman" w:eastAsia="Times New Roman" w:cs="Times New Roman"/>
                            <w:color w:val="auto"/>
                            <w:lang w:val="pt-BR" w:bidi="ar-SA"/>
                          </w:rPr>
                          <w:t>Rex</w:t>
                        </w:r>
                      </w:p>
                      <w:p>
                        <w:pPr>
                          <w:overflowPunct w:val="false"/>
                          <w:bidi w:val="0"/>
                          <w:jc w:val="center"/>
                          <w:rPr/>
                        </w:pPr>
                        <w:r>
                          <w:rPr>
                            <w:kern w:val="2"/>
                            <w:sz w:val="24"/>
                            <w:szCs w:val="24"/>
                            <w:rFonts w:ascii="Times New Roman" w:hAnsi="Times New Roman" w:eastAsia="Times New Roman" w:cs="Times New Roman"/>
                            <w:color w:val="auto"/>
                            <w:lang w:val="pt-BR" w:bidi="ar-SA"/>
                          </w:rPr>
                          <w:t>Harl Vincent (1934)</w:t>
                        </w:r>
                      </w:p>
                    </w:txbxContent>
                  </v:textbox>
                  <v:fill o:detectmouseclick="t" type="solid" color2="black"/>
                  <v:stroke color="#3465a4" joinstyle="round" endcap="flat"/>
                </v:shape>
                <v:shape id="shape_0" fillcolor="white" stroked="f" style="position:absolute;left:4880;top:1122;width:2219;height:972;mso-wrap-style:square;v-text-anchor:top" type="shapetype_202">
                  <v:textbox>
                    <w:txbxContent>
                      <w:p>
                        <w:pPr>
                          <w:overflowPunct w:val="false"/>
                          <w:bidi w:val="0"/>
                          <w:jc w:val="center"/>
                          <w:rPr/>
                        </w:pPr>
                        <w:r>
                          <w:rPr>
                            <w:kern w:val="2"/>
                            <w:sz w:val="24"/>
                            <w:szCs w:val="24"/>
                            <w:rFonts w:ascii="Times New Roman" w:hAnsi="Times New Roman" w:eastAsia="Times New Roman" w:cs="Times New Roman"/>
                            <w:color w:val="auto"/>
                            <w:lang w:val="pt-BR" w:bidi="ar-SA"/>
                          </w:rPr>
                          <w:t>Robbie</w:t>
                        </w:r>
                      </w:p>
                      <w:p>
                        <w:pPr>
                          <w:overflowPunct w:val="false"/>
                          <w:bidi w:val="0"/>
                          <w:jc w:val="center"/>
                          <w:rPr/>
                        </w:pPr>
                        <w:r>
                          <w:rPr>
                            <w:kern w:val="2"/>
                            <w:sz w:val="24"/>
                            <w:szCs w:val="24"/>
                            <w:rFonts w:ascii="Times New Roman" w:hAnsi="Times New Roman" w:eastAsia="Times New Roman" w:cs="Times New Roman"/>
                            <w:color w:val="auto"/>
                            <w:lang w:val="pt-BR" w:bidi="ar-SA"/>
                          </w:rPr>
                          <w:t>Isaac Asimov (1940)</w:t>
                        </w:r>
                      </w:p>
                    </w:txbxContent>
                  </v:textbox>
                  <v:fill o:detectmouseclick="t" type="solid" color2="black"/>
                  <v:stroke color="#3465a4" joinstyle="round" endcap="flat"/>
                </v:shape>
              </v:group>
            </w:pict>
          </mc:Fallback>
        </mc:AlternateContent>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lang w:val="pt-BR" w:eastAsia="pt-BR"/>
        </w:rPr>
      </w:pPr>
      <w:r>
        <w:rPr>
          <w:b/>
          <w:lang w:val="pt-BR" w:eastAsia="pt-BR"/>
        </w:rPr>
      </w:r>
      <w:r>
        <mc:AlternateContent>
          <mc:Choice Requires="wps">
            <w:drawing>
              <wp:anchor behindDoc="0" distT="0" distB="0" distL="114935" distR="114935" simplePos="0" locked="0" layoutInCell="0" allowOverlap="1" relativeHeight="43">
                <wp:simplePos x="0" y="0"/>
                <wp:positionH relativeFrom="column">
                  <wp:posOffset>2014855</wp:posOffset>
                </wp:positionH>
                <wp:positionV relativeFrom="paragraph">
                  <wp:posOffset>214630</wp:posOffset>
                </wp:positionV>
                <wp:extent cx="1593850" cy="427355"/>
                <wp:effectExtent l="0" t="0" r="0" b="0"/>
                <wp:wrapNone/>
                <wp:docPr id="24" name="Quadro5"/>
                <a:graphic xmlns:a="http://schemas.openxmlformats.org/drawingml/2006/main">
                  <a:graphicData uri="http://schemas.microsoft.com/office/word/2010/wordprocessingShape">
                    <wps:wsp>
                      <wps:cNvSpPr txBox="1"/>
                      <wps:spPr>
                        <a:xfrm>
                          <a:off x="0" y="0"/>
                          <a:ext cx="1593850" cy="427355"/>
                        </a:xfrm>
                        <a:prstGeom prst="rect"/>
                        <a:solidFill>
                          <a:srgbClr val="FFFFFF"/>
                        </a:solidFill>
                      </wps:spPr>
                      <wps:txbx>
                        <w:txbxContent>
                          <w:p>
                            <w:pPr>
                              <w:pStyle w:val="Normal"/>
                              <w:jc w:val="center"/>
                              <w:rPr/>
                            </w:pPr>
                            <w:r>
                              <w:rPr/>
                              <w:t>Adeus ao mestre</w:t>
                            </w:r>
                          </w:p>
                          <w:p>
                            <w:pPr>
                              <w:pStyle w:val="Normal"/>
                              <w:jc w:val="center"/>
                              <w:rPr/>
                            </w:pPr>
                            <w:r>
                              <w:rPr/>
                              <w:t>Harry Bates (1940)</w:t>
                            </w:r>
                          </w:p>
                        </w:txbxContent>
                      </wps:txbx>
                      <wps:bodyPr anchor="t" lIns="92075" tIns="46355" rIns="92075" bIns="46355">
                        <a:noAutofit/>
                      </wps:bodyPr>
                    </wps:wsp>
                  </a:graphicData>
                </a:graphic>
              </wp:anchor>
            </w:drawing>
          </mc:Choice>
          <mc:Fallback>
            <w:pict>
              <v:rect fillcolor="#FFFFFF" style="position:absolute;rotation:0;width:125.5pt;height:33.65pt;mso-wrap-distance-left:9.05pt;mso-wrap-distance-right:9.05pt;mso-wrap-distance-top:0pt;mso-wrap-distance-bottom:0pt;margin-top:16.9pt;mso-position-vertical-relative:text;margin-left:158.65pt;mso-position-horizontal-relative:text">
                <v:textbox inset="0.100694444444444in,0.0506944444444444in,0.100694444444444in,0.0506944444444444in">
                  <w:txbxContent>
                    <w:p>
                      <w:pPr>
                        <w:pStyle w:val="Normal"/>
                        <w:jc w:val="center"/>
                        <w:rPr/>
                      </w:pPr>
                      <w:r>
                        <w:rPr/>
                        <w:t>Adeus ao mestre</w:t>
                      </w:r>
                    </w:p>
                    <w:p>
                      <w:pPr>
                        <w:pStyle w:val="Normal"/>
                        <w:jc w:val="center"/>
                        <w:rPr/>
                      </w:pPr>
                      <w:r>
                        <w:rPr/>
                        <w:t>Harry Bates (1940)</w:t>
                      </w:r>
                    </w:p>
                  </w:txbxContent>
                </v:textbox>
                <w10:wrap type="none"/>
              </v:rect>
            </w:pict>
          </mc:Fallback>
        </mc:AlternateContent>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rPr>
      </w:pPr>
      <w:r>
        <w:rPr>
          <w:b/>
        </w:rPr>
      </w:r>
    </w:p>
    <w:p>
      <w:pPr>
        <w:pStyle w:val="Normal"/>
        <w:spacing w:lineRule="auto" w:line="360"/>
        <w:jc w:val="both"/>
        <w:rPr>
          <w:b/>
          <w:b/>
          <w:lang w:val="pt-BR" w:eastAsia="pt-BR"/>
        </w:rPr>
      </w:pPr>
      <w:r>
        <w:rPr>
          <w:b/>
          <w:lang w:val="pt-BR" w:eastAsia="pt-BR"/>
        </w:rPr>
      </w:r>
      <w:r>
        <mc:AlternateContent>
          <mc:Choice Requires="wps">
            <w:drawing>
              <wp:anchor behindDoc="0" distT="0" distB="0" distL="114935" distR="114935" simplePos="0" locked="0" layoutInCell="0" allowOverlap="1" relativeHeight="52">
                <wp:simplePos x="0" y="0"/>
                <wp:positionH relativeFrom="column">
                  <wp:posOffset>3020060</wp:posOffset>
                </wp:positionH>
                <wp:positionV relativeFrom="paragraph">
                  <wp:posOffset>103505</wp:posOffset>
                </wp:positionV>
                <wp:extent cx="1930400" cy="450850"/>
                <wp:effectExtent l="0" t="0" r="0" b="0"/>
                <wp:wrapNone/>
                <wp:docPr id="25" name="Quadro7"/>
                <a:graphic xmlns:a="http://schemas.openxmlformats.org/drawingml/2006/main">
                  <a:graphicData uri="http://schemas.microsoft.com/office/word/2010/wordprocessingShape">
                    <wps:wsp>
                      <wps:cNvSpPr txBox="1"/>
                      <wps:spPr>
                        <a:xfrm>
                          <a:off x="0" y="0"/>
                          <a:ext cx="1930400" cy="450850"/>
                        </a:xfrm>
                        <a:prstGeom prst="rect"/>
                        <a:solidFill>
                          <a:srgbClr val="FFFFFF"/>
                        </a:solidFill>
                      </wps:spPr>
                      <wps:txbx>
                        <w:txbxContent>
                          <w:p>
                            <w:pPr>
                              <w:pStyle w:val="Normal"/>
                              <w:jc w:val="center"/>
                              <w:rPr>
                                <w:b/>
                                <w:b/>
                                <w:bCs/>
                              </w:rPr>
                            </w:pPr>
                            <w:r>
                              <w:rPr>
                                <w:b/>
                                <w:bCs/>
                              </w:rPr>
                              <w:t>Satisfação</w:t>
                            </w:r>
                          </w:p>
                          <w:p>
                            <w:pPr>
                              <w:pStyle w:val="Normal"/>
                              <w:jc w:val="center"/>
                              <w:rPr/>
                            </w:pPr>
                            <w:r>
                              <w:rPr/>
                              <w:t>A.E. Van Vogt (1951)</w:t>
                            </w:r>
                          </w:p>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152pt;height:35.5pt;mso-wrap-distance-left:9.05pt;mso-wrap-distance-right:9.05pt;mso-wrap-distance-top:0pt;mso-wrap-distance-bottom:0pt;margin-top:8.15pt;mso-position-vertical-relative:text;margin-left:237.8pt;mso-position-horizontal-relative:text">
                <v:textbox inset="0.100694444444444in,0.0506944444444444in,0.100694444444444in,0.0506944444444444in">
                  <w:txbxContent>
                    <w:p>
                      <w:pPr>
                        <w:pStyle w:val="Normal"/>
                        <w:jc w:val="center"/>
                        <w:rPr>
                          <w:b/>
                          <w:b/>
                          <w:bCs/>
                        </w:rPr>
                      </w:pPr>
                      <w:r>
                        <w:rPr>
                          <w:b/>
                          <w:bCs/>
                        </w:rPr>
                        <w:t>Satisfação</w:t>
                      </w:r>
                    </w:p>
                    <w:p>
                      <w:pPr>
                        <w:pStyle w:val="Normal"/>
                        <w:jc w:val="center"/>
                        <w:rPr/>
                      </w:pPr>
                      <w:r>
                        <w:rPr/>
                        <w:t>A.E. Van Vogt (1951)</w:t>
                      </w:r>
                    </w:p>
                    <w:p>
                      <w:pPr>
                        <w:pStyle w:val="Normal"/>
                        <w:jc w:val="center"/>
                        <w:rPr/>
                      </w:pPr>
                      <w:r>
                        <w:rPr/>
                      </w:r>
                    </w:p>
                  </w:txbxContent>
                </v:textbox>
                <w10:wrap type="none"/>
              </v:rect>
            </w:pict>
          </mc:Fallback>
        </mc:AlternateContent>
      </w:r>
      <w:r>
        <mc:AlternateContent>
          <mc:Choice Requires="wps">
            <w:drawing>
              <wp:anchor behindDoc="0" distT="0" distB="0" distL="114935" distR="114935" simplePos="0" locked="0" layoutInCell="0" allowOverlap="1" relativeHeight="53">
                <wp:simplePos x="0" y="0"/>
                <wp:positionH relativeFrom="column">
                  <wp:posOffset>187325</wp:posOffset>
                </wp:positionH>
                <wp:positionV relativeFrom="paragraph">
                  <wp:posOffset>141605</wp:posOffset>
                </wp:positionV>
                <wp:extent cx="2235200" cy="412750"/>
                <wp:effectExtent l="0" t="0" r="0" b="0"/>
                <wp:wrapNone/>
                <wp:docPr id="26" name="Quadro6"/>
                <a:graphic xmlns:a="http://schemas.openxmlformats.org/drawingml/2006/main">
                  <a:graphicData uri="http://schemas.microsoft.com/office/word/2010/wordprocessingShape">
                    <wps:wsp>
                      <wps:cNvSpPr txBox="1"/>
                      <wps:spPr>
                        <a:xfrm>
                          <a:off x="0" y="0"/>
                          <a:ext cx="2235200" cy="412750"/>
                        </a:xfrm>
                        <a:prstGeom prst="rect"/>
                        <a:solidFill>
                          <a:srgbClr val="FFFFFF"/>
                        </a:solidFill>
                      </wps:spPr>
                      <wps:txbx>
                        <w:txbxContent>
                          <w:p>
                            <w:pPr>
                              <w:pStyle w:val="Normal"/>
                              <w:jc w:val="center"/>
                              <w:rPr>
                                <w:lang w:val="en-US"/>
                              </w:rPr>
                            </w:pPr>
                            <w:r>
                              <w:rPr>
                                <w:b/>
                                <w:bCs/>
                                <w:lang w:val="en-US"/>
                              </w:rPr>
                              <w:t>Disque F para Frankenstein</w:t>
                            </w:r>
                          </w:p>
                          <w:p>
                            <w:pPr>
                              <w:pStyle w:val="Normal"/>
                              <w:jc w:val="center"/>
                              <w:rPr>
                                <w:lang w:val="en-US"/>
                              </w:rPr>
                            </w:pPr>
                            <w:r>
                              <w:rPr>
                                <w:lang w:val="en-US"/>
                              </w:rPr>
                              <w:t>Arthur C. Clarke (1965)</w:t>
                            </w:r>
                          </w:p>
                        </w:txbxContent>
                      </wps:txbx>
                      <wps:bodyPr anchor="t" lIns="92075" tIns="46355" rIns="92075" bIns="46355">
                        <a:noAutofit/>
                      </wps:bodyPr>
                    </wps:wsp>
                  </a:graphicData>
                </a:graphic>
              </wp:anchor>
            </w:drawing>
          </mc:Choice>
          <mc:Fallback>
            <w:pict>
              <v:rect fillcolor="#FFFFFF" style="position:absolute;rotation:0;width:176pt;height:32.5pt;mso-wrap-distance-left:9.05pt;mso-wrap-distance-right:9.05pt;mso-wrap-distance-top:0pt;mso-wrap-distance-bottom:0pt;margin-top:11.15pt;mso-position-vertical-relative:text;margin-left:14.75pt;mso-position-horizontal-relative:text">
                <v:textbox inset="0.100694444444444in,0.0506944444444444in,0.100694444444444in,0.0506944444444444in">
                  <w:txbxContent>
                    <w:p>
                      <w:pPr>
                        <w:pStyle w:val="Normal"/>
                        <w:jc w:val="center"/>
                        <w:rPr>
                          <w:lang w:val="en-US"/>
                        </w:rPr>
                      </w:pPr>
                      <w:r>
                        <w:rPr>
                          <w:b/>
                          <w:bCs/>
                          <w:lang w:val="en-US"/>
                        </w:rPr>
                        <w:t>Disque F para Frankenstein</w:t>
                      </w:r>
                    </w:p>
                    <w:p>
                      <w:pPr>
                        <w:pStyle w:val="Normal"/>
                        <w:jc w:val="center"/>
                        <w:rPr>
                          <w:lang w:val="en-US"/>
                        </w:rPr>
                      </w:pPr>
                      <w:r>
                        <w:rPr>
                          <w:lang w:val="en-US"/>
                        </w:rPr>
                        <w:t>Arthur C. Clarke (1965)</w:t>
                      </w:r>
                    </w:p>
                  </w:txbxContent>
                </v:textbox>
                <w10:wrap type="none"/>
              </v:rect>
            </w:pict>
          </mc:Fallback>
        </mc:AlternateContent>
      </w:r>
    </w:p>
    <w:p>
      <w:pPr>
        <w:pStyle w:val="Normal"/>
        <w:spacing w:lineRule="auto" w:line="360"/>
        <w:jc w:val="both"/>
        <w:rPr/>
      </w:pPr>
      <w:r>
        <w:rPr/>
      </w:r>
    </w:p>
    <w:p>
      <w:pPr>
        <w:pStyle w:val="Normal"/>
        <w:spacing w:lineRule="auto" w:line="360"/>
        <w:jc w:val="both"/>
        <w:rPr/>
      </w:pPr>
      <w:r>
        <w:rPr/>
        <w:tab/>
      </w:r>
      <w:r>
        <mc:AlternateContent>
          <mc:Choice Requires="wps">
            <w:drawing>
              <wp:anchor behindDoc="0" distT="0" distB="0" distL="114935" distR="114935" simplePos="0" locked="0" layoutInCell="0" allowOverlap="1" relativeHeight="54">
                <wp:simplePos x="0" y="0"/>
                <wp:positionH relativeFrom="column">
                  <wp:posOffset>3079115</wp:posOffset>
                </wp:positionH>
                <wp:positionV relativeFrom="paragraph">
                  <wp:posOffset>216535</wp:posOffset>
                </wp:positionV>
                <wp:extent cx="2120900" cy="449580"/>
                <wp:effectExtent l="0" t="0" r="0" b="0"/>
                <wp:wrapNone/>
                <wp:docPr id="27" name="Quadro8"/>
                <a:graphic xmlns:a="http://schemas.openxmlformats.org/drawingml/2006/main">
                  <a:graphicData uri="http://schemas.microsoft.com/office/word/2010/wordprocessingShape">
                    <wps:wsp>
                      <wps:cNvSpPr txBox="1"/>
                      <wps:spPr>
                        <a:xfrm>
                          <a:off x="0" y="0"/>
                          <a:ext cx="2120900" cy="449580"/>
                        </a:xfrm>
                        <a:prstGeom prst="rect"/>
                        <a:solidFill>
                          <a:srgbClr val="FFFFFF"/>
                        </a:solidFill>
                      </wps:spPr>
                      <wps:txbx>
                        <w:txbxContent>
                          <w:p>
                            <w:pPr>
                              <w:pStyle w:val="Normal"/>
                              <w:jc w:val="center"/>
                              <w:rPr>
                                <w:b/>
                                <w:b/>
                                <w:bCs/>
                              </w:rPr>
                            </w:pPr>
                            <w:r>
                              <w:rPr>
                                <w:b/>
                                <w:bCs/>
                              </w:rPr>
                              <w:t>A formiga elétrica</w:t>
                            </w:r>
                          </w:p>
                          <w:p>
                            <w:pPr>
                              <w:pStyle w:val="Normal"/>
                              <w:jc w:val="center"/>
                              <w:rPr/>
                            </w:pPr>
                            <w:r>
                              <w:rPr/>
                              <w:t>Philip K. Dick (1969)</w:t>
                            </w:r>
                          </w:p>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167pt;height:35.4pt;mso-wrap-distance-left:9.05pt;mso-wrap-distance-right:9.05pt;mso-wrap-distance-top:0pt;mso-wrap-distance-bottom:0pt;margin-top:17.05pt;mso-position-vertical-relative:text;margin-left:242.45pt;mso-position-horizontal-relative:text">
                <v:textbox inset="0.100694444444444in,0.0506944444444444in,0.100694444444444in,0.0506944444444444in">
                  <w:txbxContent>
                    <w:p>
                      <w:pPr>
                        <w:pStyle w:val="Normal"/>
                        <w:jc w:val="center"/>
                        <w:rPr>
                          <w:b/>
                          <w:b/>
                          <w:bCs/>
                        </w:rPr>
                      </w:pPr>
                      <w:r>
                        <w:rPr>
                          <w:b/>
                          <w:bCs/>
                        </w:rPr>
                        <w:t>A formiga elétrica</w:t>
                      </w:r>
                    </w:p>
                    <w:p>
                      <w:pPr>
                        <w:pStyle w:val="Normal"/>
                        <w:jc w:val="center"/>
                        <w:rPr/>
                      </w:pPr>
                      <w:r>
                        <w:rPr/>
                        <w:t>Philip K. Dick (1969)</w:t>
                      </w:r>
                    </w:p>
                    <w:p>
                      <w:pPr>
                        <w:pStyle w:val="Normal"/>
                        <w:jc w:val="center"/>
                        <w:rPr/>
                      </w:pPr>
                      <w:r>
                        <w:rPr/>
                      </w:r>
                    </w:p>
                  </w:txbxContent>
                </v:textbox>
                <w10:wrap type="none"/>
              </v:rect>
            </w:pict>
          </mc:Fallback>
        </mc:AlternateContent>
      </w:r>
      <w:r>
        <mc:AlternateContent>
          <mc:Choice Requires="wps">
            <w:drawing>
              <wp:anchor behindDoc="0" distT="0" distB="0" distL="114935" distR="114935" simplePos="0" locked="0" layoutInCell="0" allowOverlap="1" relativeHeight="55">
                <wp:simplePos x="0" y="0"/>
                <wp:positionH relativeFrom="column">
                  <wp:posOffset>349885</wp:posOffset>
                </wp:positionH>
                <wp:positionV relativeFrom="paragraph">
                  <wp:posOffset>227965</wp:posOffset>
                </wp:positionV>
                <wp:extent cx="1993900" cy="438150"/>
                <wp:effectExtent l="0" t="0" r="0" b="0"/>
                <wp:wrapNone/>
                <wp:docPr id="28" name="Quadro9"/>
                <a:graphic xmlns:a="http://schemas.openxmlformats.org/drawingml/2006/main">
                  <a:graphicData uri="http://schemas.microsoft.com/office/word/2010/wordprocessingShape">
                    <wps:wsp>
                      <wps:cNvSpPr txBox="1"/>
                      <wps:spPr>
                        <a:xfrm>
                          <a:off x="0" y="0"/>
                          <a:ext cx="1993900" cy="438150"/>
                        </a:xfrm>
                        <a:prstGeom prst="rect"/>
                        <a:solidFill>
                          <a:srgbClr val="FFFFFF"/>
                        </a:solidFill>
                      </wps:spPr>
                      <wps:txbx>
                        <w:txbxContent>
                          <w:p>
                            <w:pPr>
                              <w:pStyle w:val="Normal"/>
                              <w:jc w:val="center"/>
                              <w:rPr>
                                <w:b/>
                                <w:b/>
                                <w:bCs/>
                              </w:rPr>
                            </w:pPr>
                            <w:r>
                              <w:rPr>
                                <w:b/>
                                <w:bCs/>
                              </w:rPr>
                              <w:t>O homem bicentenário</w:t>
                            </w:r>
                          </w:p>
                          <w:p>
                            <w:pPr>
                              <w:pStyle w:val="Normal"/>
                              <w:jc w:val="center"/>
                              <w:rPr/>
                            </w:pPr>
                            <w:r>
                              <w:rPr/>
                              <w:t>Isaac Asimov (1976)</w:t>
                            </w:r>
                          </w:p>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157pt;height:34.5pt;mso-wrap-distance-left:9.05pt;mso-wrap-distance-right:9.05pt;mso-wrap-distance-top:0pt;mso-wrap-distance-bottom:0pt;margin-top:17.95pt;mso-position-vertical-relative:text;margin-left:27.55pt;mso-position-horizontal-relative:text">
                <v:textbox inset="0.100694444444444in,0.0506944444444444in,0.100694444444444in,0.0506944444444444in">
                  <w:txbxContent>
                    <w:p>
                      <w:pPr>
                        <w:pStyle w:val="Normal"/>
                        <w:jc w:val="center"/>
                        <w:rPr>
                          <w:b/>
                          <w:b/>
                          <w:bCs/>
                        </w:rPr>
                      </w:pPr>
                      <w:r>
                        <w:rPr>
                          <w:b/>
                          <w:bCs/>
                        </w:rPr>
                        <w:t>O homem bicentenário</w:t>
                      </w:r>
                    </w:p>
                    <w:p>
                      <w:pPr>
                        <w:pStyle w:val="Normal"/>
                        <w:jc w:val="center"/>
                        <w:rPr/>
                      </w:pPr>
                      <w:r>
                        <w:rPr/>
                        <w:t>Isaac Asimov (1976)</w:t>
                      </w:r>
                    </w:p>
                    <w:p>
                      <w:pPr>
                        <w:pStyle w:val="Normal"/>
                        <w:jc w:val="center"/>
                        <w:rPr/>
                      </w:pPr>
                      <w:r>
                        <w:rPr/>
                      </w:r>
                    </w:p>
                  </w:txbxContent>
                </v:textbox>
                <w10:wrap type="none"/>
              </v:rect>
            </w:pict>
          </mc:Fallback>
        </mc:AlternateContent>
      </w:r>
    </w:p>
    <w:p>
      <w:pPr>
        <w:pStyle w:val="Normal"/>
        <w:spacing w:lineRule="auto" w:line="360"/>
        <w:jc w:val="both"/>
        <w:rPr/>
      </w:pPr>
      <w:r>
        <w:rPr/>
      </w:r>
    </w:p>
    <w:p>
      <w:pPr>
        <w:pStyle w:val="Normal"/>
        <w:spacing w:lineRule="auto" w:line="360"/>
        <w:jc w:val="both"/>
        <w:rPr/>
      </w:pPr>
      <w:r>
        <w:rPr/>
      </w:r>
    </w:p>
    <w:p>
      <w:pPr>
        <w:pStyle w:val="Normal"/>
        <w:spacing w:lineRule="auto" w:line="360"/>
        <w:jc w:val="both"/>
        <w:rPr>
          <w:b/>
          <w:b/>
          <w:lang w:val="pt-BR" w:eastAsia="pt-BR"/>
        </w:rPr>
      </w:pPr>
      <w:r>
        <w:rPr>
          <w:b/>
          <w:lang w:val="pt-BR" w:eastAsia="pt-BR"/>
        </w:rPr>
      </w:r>
      <w:r>
        <mc:AlternateContent>
          <mc:Choice Requires="wps">
            <w:drawing>
              <wp:anchor behindDoc="0" distT="0" distB="0" distL="114935" distR="114935" simplePos="0" locked="0" layoutInCell="0" allowOverlap="1" relativeHeight="40">
                <wp:simplePos x="0" y="0"/>
                <wp:positionH relativeFrom="column">
                  <wp:posOffset>-86360</wp:posOffset>
                </wp:positionH>
                <wp:positionV relativeFrom="paragraph">
                  <wp:posOffset>103505</wp:posOffset>
                </wp:positionV>
                <wp:extent cx="5571490" cy="1948815"/>
                <wp:effectExtent l="0" t="0" r="0" b="0"/>
                <wp:wrapNone/>
                <wp:docPr id="29" name="Quadro10"/>
                <a:graphic xmlns:a="http://schemas.openxmlformats.org/drawingml/2006/main">
                  <a:graphicData uri="http://schemas.microsoft.com/office/word/2010/wordprocessingShape">
                    <wps:wsp>
                      <wps:cNvSpPr txBox="1"/>
                      <wps:spPr>
                        <a:xfrm>
                          <a:off x="0" y="0"/>
                          <a:ext cx="5571490" cy="1948815"/>
                        </a:xfrm>
                        <a:prstGeom prst="rect"/>
                        <a:solidFill>
                          <a:srgbClr val="FFFFFF">
                            <a:alpha val="97000"/>
                          </a:srgbClr>
                        </a:solidFill>
                        <a:ln w="38100">
                          <a:solidFill>
                            <a:srgbClr val="000000"/>
                          </a:solidFill>
                        </a:ln>
                      </wps:spPr>
                      <wps:txbx>
                        <w:txbxContent>
                          <w:p>
                            <w:pPr>
                              <w:pStyle w:val="Normal"/>
                              <w:spacing w:before="0" w:after="40"/>
                              <w:jc w:val="center"/>
                              <w:rPr/>
                            </w:pPr>
                            <w:r>
                              <w:rPr/>
                            </w:r>
                          </w:p>
                          <w:p>
                            <w:pPr>
                              <w:pStyle w:val="Normal"/>
                              <w:spacing w:before="0" w:after="40"/>
                              <w:jc w:val="center"/>
                              <w:rPr/>
                            </w:pPr>
                            <w:r>
                              <w:rPr>
                                <w:b/>
                              </w:rPr>
                              <w:t>Terceira fase:</w:t>
                            </w:r>
                            <w:r>
                              <w:rPr/>
                              <w:t xml:space="preserve"> Essa fase se inaugura com a literatura cyberpunk na década de 1980</w:t>
                            </w:r>
                          </w:p>
                          <w:p>
                            <w:pPr>
                              <w:pStyle w:val="Normal"/>
                              <w:spacing w:before="0" w:after="40"/>
                              <w:jc w:val="center"/>
                              <w:rPr>
                                <w:lang w:val="pt-BR" w:eastAsia="pt-BR"/>
                              </w:rPr>
                            </w:pPr>
                            <w:r>
                              <w:rPr>
                                <w:lang w:val="pt-BR" w:eastAsia="pt-BR"/>
                              </w:rPr>
                              <w:drawing>
                                <wp:inline distT="0" distB="0" distL="0" distR="0">
                                  <wp:extent cx="120015" cy="327025"/>
                                  <wp:effectExtent l="0" t="0" r="0" b="0"/>
                                  <wp:docPr id="3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10"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 xml:space="preserve">                 </w:t>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txbxContent>
                      </wps:txbx>
                      <wps:bodyPr anchor="t" lIns="91440" tIns="45720" rIns="91440" bIns="45720">
                        <a:noAutofit/>
                      </wps:bodyPr>
                    </wps:wsp>
                  </a:graphicData>
                </a:graphic>
              </wp:anchor>
            </w:drawing>
          </mc:Choice>
          <mc:Fallback>
            <w:pict>
              <v:rect fillcolor="#FFFFFF" strokecolor="#000000" strokeweight="3pt" style="position:absolute;rotation:0;width:438.7pt;height:153.45pt;mso-wrap-distance-left:9.05pt;mso-wrap-distance-right:9.05pt;mso-wrap-distance-top:0pt;mso-wrap-distance-bottom:0pt;margin-top:8.15pt;mso-position-vertical-relative:text;margin-left:-6.8pt;mso-position-horizontal-relative:text">
                <v:fill opacity="63568.95f"/>
                <v:textbox>
                  <w:txbxContent>
                    <w:p>
                      <w:pPr>
                        <w:pStyle w:val="Normal"/>
                        <w:spacing w:before="0" w:after="40"/>
                        <w:jc w:val="center"/>
                        <w:rPr/>
                      </w:pPr>
                      <w:r>
                        <w:rPr/>
                      </w:r>
                    </w:p>
                    <w:p>
                      <w:pPr>
                        <w:pStyle w:val="Normal"/>
                        <w:spacing w:before="0" w:after="40"/>
                        <w:jc w:val="center"/>
                        <w:rPr/>
                      </w:pPr>
                      <w:r>
                        <w:rPr>
                          <w:b/>
                        </w:rPr>
                        <w:t>Terceira fase:</w:t>
                      </w:r>
                      <w:r>
                        <w:rPr/>
                        <w:t xml:space="preserve"> Essa fase se inaugura com a literatura cyberpunk na década de 1980</w:t>
                      </w:r>
                    </w:p>
                    <w:p>
                      <w:pPr>
                        <w:pStyle w:val="Normal"/>
                        <w:spacing w:before="0" w:after="40"/>
                        <w:jc w:val="center"/>
                        <w:rPr>
                          <w:lang w:val="pt-BR" w:eastAsia="pt-BR"/>
                        </w:rPr>
                      </w:pPr>
                      <w:r>
                        <w:rPr>
                          <w:lang w:val="pt-BR" w:eastAsia="pt-BR"/>
                        </w:rPr>
                        <w:drawing>
                          <wp:inline distT="0" distB="0" distL="0" distR="0">
                            <wp:extent cx="120015" cy="327025"/>
                            <wp:effectExtent l="0" t="0" r="0" b="0"/>
                            <wp:docPr id="31"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10" descr=""/>
                                    <pic:cNvPicPr>
                                      <a:picLocks noChangeAspect="1" noChangeArrowheads="1"/>
                                    </pic:cNvPicPr>
                                  </pic:nvPicPr>
                                  <pic:blipFill>
                                    <a:blip r:embed="rId14"/>
                                    <a:srcRect l="-405" t="-150" r="-405" b="-150"/>
                                    <a:stretch>
                                      <a:fillRect/>
                                    </a:stretch>
                                  </pic:blipFill>
                                  <pic:spPr bwMode="auto">
                                    <a:xfrm>
                                      <a:off x="0" y="0"/>
                                      <a:ext cx="120015" cy="327025"/>
                                    </a:xfrm>
                                    <a:prstGeom prst="rect">
                                      <a:avLst/>
                                    </a:prstGeom>
                                  </pic:spPr>
                                </pic:pic>
                              </a:graphicData>
                            </a:graphic>
                          </wp:inline>
                        </w:drawing>
                      </w:r>
                    </w:p>
                    <w:p>
                      <w:pPr>
                        <w:pStyle w:val="Normal"/>
                        <w:spacing w:before="0" w:after="40"/>
                        <w:jc w:val="center"/>
                        <w:rPr/>
                      </w:pPr>
                      <w:r>
                        <w:rPr/>
                        <w:t xml:space="preserve">                 </w:t>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p>
                      <w:pPr>
                        <w:pStyle w:val="Normal"/>
                        <w:spacing w:before="0" w:after="40"/>
                        <w:jc w:val="center"/>
                        <w:rPr/>
                      </w:pPr>
                      <w:r>
                        <w:rPr/>
                      </w:r>
                    </w:p>
                  </w:txbxContent>
                </v:textbox>
                <w10:wrap type="none"/>
              </v:rect>
            </w:pict>
          </mc:Fallback>
        </mc:AlternateContent>
      </w:r>
    </w:p>
    <w:p>
      <w:pPr>
        <w:pStyle w:val="Normal"/>
        <w:spacing w:lineRule="auto" w:line="360"/>
        <w:jc w:val="both"/>
        <w:rPr/>
      </w:pPr>
      <w:r>
        <w:rPr/>
      </w:r>
    </w:p>
    <w:p>
      <w:pPr>
        <w:pStyle w:val="Normal"/>
        <w:spacing w:lineRule="auto" w:line="360"/>
        <w:jc w:val="both"/>
        <w:rPr>
          <w:b/>
          <w:b/>
          <w:lang w:val="pt-BR" w:eastAsia="pt-BR"/>
        </w:rPr>
      </w:pPr>
      <w:r>
        <w:rPr>
          <w:b/>
          <w:lang w:val="pt-BR" w:eastAsia="pt-BR"/>
        </w:rPr>
        <mc:AlternateContent>
          <mc:Choice Requires="wpg">
            <w:drawing>
              <wp:anchor behindDoc="0" distT="0" distB="0" distL="114935" distR="114935" simplePos="0" locked="0" layoutInCell="0" allowOverlap="1" relativeHeight="41">
                <wp:simplePos x="0" y="0"/>
                <wp:positionH relativeFrom="column">
                  <wp:posOffset>713105</wp:posOffset>
                </wp:positionH>
                <wp:positionV relativeFrom="paragraph">
                  <wp:posOffset>162560</wp:posOffset>
                </wp:positionV>
                <wp:extent cx="4066540" cy="1282700"/>
                <wp:effectExtent l="0" t="0" r="0" b="0"/>
                <wp:wrapNone/>
                <wp:docPr id="32" name=""/>
                <a:graphic xmlns:a="http://schemas.openxmlformats.org/drawingml/2006/main">
                  <a:graphicData uri="http://schemas.microsoft.com/office/word/2010/wordprocessingGroup">
                    <wpg:wgp>
                      <wpg:cNvGrpSpPr/>
                      <wpg:grpSpPr>
                        <a:xfrm>
                          <a:off x="0" y="0"/>
                          <a:ext cx="4065840" cy="1281960"/>
                          <a:chOff x="713160" y="162720"/>
                          <a:chExt cx="4065840" cy="1281960"/>
                        </a:xfrm>
                      </wpg:grpSpPr>
                      <wps:wsp>
                        <wps:cNvSpPr txBox="1"/>
                        <wps:spPr>
                          <a:xfrm>
                            <a:off x="0" y="43200"/>
                            <a:ext cx="1637640" cy="540360"/>
                          </a:xfrm>
                          <a:prstGeom prst="rect">
                            <a:avLst/>
                          </a:prstGeom>
                          <a:solidFill>
                            <a:srgbClr val="ffffff"/>
                          </a:solidFill>
                          <a:ln w="0">
                            <a:noFill/>
                          </a:ln>
                        </wps:spPr>
                        <wps:txbx>
                          <w:txbxContent>
                            <w:p>
                              <w:pPr>
                                <w:overflowPunct w:val="false"/>
                                <w:bidi w:val="0"/>
                                <w:jc w:val="center"/>
                                <w:rPr/>
                              </w:pPr>
                              <w:r>
                                <w:rPr>
                                  <w:kern w:val="2"/>
                                  <w:sz w:val="24"/>
                                  <w:b/>
                                  <w:szCs w:val="24"/>
                                  <w:bCs/>
                                  <w:rFonts w:ascii="Times New Roman" w:hAnsi="Times New Roman" w:eastAsia="Times New Roman" w:cs="Times New Roman"/>
                                  <w:color w:val="auto"/>
                                  <w:lang w:val="pt-BR" w:bidi="ar-SA"/>
                                </w:rPr>
                                <w:t>Neuromancer</w:t>
                              </w:r>
                            </w:p>
                            <w:p>
                              <w:pPr>
                                <w:overflowPunct w:val="false"/>
                                <w:bidi w:val="0"/>
                                <w:jc w:val="center"/>
                                <w:rPr/>
                              </w:pPr>
                              <w:r>
                                <w:rPr>
                                  <w:kern w:val="2"/>
                                  <w:sz w:val="24"/>
                                  <w:szCs w:val="24"/>
                                  <w:rFonts w:ascii="Times New Roman" w:hAnsi="Times New Roman" w:eastAsia="Times New Roman" w:cs="Times New Roman"/>
                                  <w:color w:val="auto"/>
                                  <w:lang w:val="pt-BR" w:bidi="ar-SA"/>
                                </w:rPr>
                                <w:t>William Gibson (1984)</w:t>
                              </w:r>
                            </w:p>
                            <w:p>
                              <w:pPr>
                                <w:overflowPunct w:val="false"/>
                                <w:bidi w:val="0"/>
                                <w:jc w:val="center"/>
                                <w:rPr/>
                              </w:pPr>
                              <w:r>
                                <w:rPr>
                                  <w:kern w:val="2"/>
                                  <w:rFonts w:ascii="Liberation Serif" w:hAnsi="Liberation Serif" w:eastAsia="NSimSun" w:cs="Lucida Sans"/>
                                  <w:lang w:bidi="hi-IN"/>
                                </w:rPr>
                              </w:r>
                            </w:p>
                          </w:txbxContent>
                        </wps:txbx>
                        <wps:bodyPr wrap="square">
                          <a:noAutofit/>
                        </wps:bodyPr>
                      </wps:wsp>
                      <wps:wsp>
                        <wps:cNvSpPr txBox="1"/>
                        <wps:spPr>
                          <a:xfrm>
                            <a:off x="2073960" y="0"/>
                            <a:ext cx="1991880" cy="468000"/>
                          </a:xfrm>
                          <a:prstGeom prst="rect">
                            <a:avLst/>
                          </a:prstGeom>
                          <a:solidFill>
                            <a:srgbClr val="ffffff"/>
                          </a:solidFill>
                          <a:ln w="0">
                            <a:noFill/>
                          </a:ln>
                        </wps:spPr>
                        <wps:txbx>
                          <w:txbxContent>
                            <w:p>
                              <w:pPr>
                                <w:overflowPunct w:val="false"/>
                                <w:bidi w:val="0"/>
                                <w:jc w:val="center"/>
                                <w:rPr/>
                              </w:pPr>
                              <w:r>
                                <w:rPr>
                                  <w:kern w:val="2"/>
                                  <w:sz w:val="24"/>
                                  <w:b/>
                                  <w:szCs w:val="24"/>
                                  <w:bCs/>
                                  <w:rFonts w:ascii="Times New Roman" w:hAnsi="Times New Roman" w:eastAsia="Times New Roman" w:cs="Times New Roman"/>
                                  <w:color w:val="auto"/>
                                  <w:lang w:val="pt-BR" w:bidi="ar-SA"/>
                                </w:rPr>
                                <w:t>Snow Crash</w:t>
                              </w:r>
                            </w:p>
                            <w:p>
                              <w:pPr>
                                <w:overflowPunct w:val="false"/>
                                <w:bidi w:val="0"/>
                                <w:jc w:val="center"/>
                                <w:rPr/>
                              </w:pPr>
                              <w:r>
                                <w:rPr>
                                  <w:kern w:val="2"/>
                                  <w:sz w:val="24"/>
                                  <w:szCs w:val="24"/>
                                  <w:rFonts w:ascii="Times New Roman" w:hAnsi="Times New Roman" w:eastAsia="Times New Roman" w:cs="Times New Roman"/>
                                  <w:color w:val="auto"/>
                                  <w:lang w:val="pt-BR" w:bidi="ar-SA"/>
                                </w:rPr>
                                <w:t>Neal Stephenson (1992)</w:t>
                              </w:r>
                            </w:p>
                            <w:p>
                              <w:pPr>
                                <w:overflowPunct w:val="false"/>
                                <w:bidi w:val="0"/>
                                <w:jc w:val="center"/>
                                <w:rPr/>
                              </w:pPr>
                              <w:r>
                                <w:rPr>
                                  <w:kern w:val="2"/>
                                  <w:rFonts w:ascii="Liberation Serif" w:hAnsi="Liberation Serif" w:eastAsia="NSimSun" w:cs="Lucida Sans"/>
                                  <w:lang w:bidi="hi-IN"/>
                                </w:rPr>
                              </w:r>
                            </w:p>
                          </w:txbxContent>
                        </wps:txbx>
                        <wps:bodyPr wrap="square">
                          <a:noAutofit/>
                        </wps:bodyPr>
                      </wps:wsp>
                      <wps:wsp>
                        <wps:cNvSpPr txBox="1"/>
                        <wps:spPr>
                          <a:xfrm>
                            <a:off x="1208520" y="749160"/>
                            <a:ext cx="1412280" cy="532800"/>
                          </a:xfrm>
                          <a:prstGeom prst="rect">
                            <a:avLst/>
                          </a:prstGeom>
                          <a:solidFill>
                            <a:srgbClr val="ffffff"/>
                          </a:solidFill>
                          <a:ln w="0">
                            <a:noFill/>
                          </a:ln>
                        </wps:spPr>
                        <wps:txbx>
                          <w:txbxContent>
                            <w:p>
                              <w:pPr>
                                <w:overflowPunct w:val="false"/>
                                <w:bidi w:val="0"/>
                                <w:jc w:val="center"/>
                                <w:rPr/>
                              </w:pPr>
                              <w:r>
                                <w:rPr>
                                  <w:kern w:val="2"/>
                                  <w:sz w:val="24"/>
                                  <w:b/>
                                  <w:szCs w:val="24"/>
                                  <w:bCs/>
                                  <w:rFonts w:ascii="Times New Roman" w:hAnsi="Times New Roman" w:eastAsia="Times New Roman" w:cs="Times New Roman"/>
                                  <w:color w:val="auto"/>
                                  <w:lang w:val="pt-BR" w:bidi="ar-SA"/>
                                </w:rPr>
                                <w:t>Machine man</w:t>
                              </w:r>
                            </w:p>
                            <w:p>
                              <w:pPr>
                                <w:overflowPunct w:val="false"/>
                                <w:bidi w:val="0"/>
                                <w:jc w:val="center"/>
                                <w:rPr/>
                              </w:pPr>
                              <w:r>
                                <w:rPr>
                                  <w:kern w:val="2"/>
                                  <w:sz w:val="24"/>
                                  <w:szCs w:val="24"/>
                                  <w:rFonts w:ascii="Times New Roman" w:hAnsi="Times New Roman" w:eastAsia="Times New Roman" w:cs="Times New Roman"/>
                                  <w:color w:val="auto"/>
                                  <w:lang w:val="pt-BR" w:bidi="ar-SA"/>
                                </w:rPr>
                                <w:t>Max Barry (2011)</w:t>
                              </w:r>
                            </w:p>
                            <w:p>
                              <w:pPr>
                                <w:overflowPunct w:val="false"/>
                                <w:bidi w:val="0"/>
                                <w:jc w:val="center"/>
                                <w:rPr/>
                              </w:pPr>
                              <w:r>
                                <w:rPr>
                                  <w:kern w:val="2"/>
                                  <w:rFonts w:ascii="Liberation Serif" w:hAnsi="Liberation Serif" w:eastAsia="NSimSun" w:cs="Lucida Sans"/>
                                  <w:lang w:bidi="hi-IN"/>
                                </w:rPr>
                              </w:r>
                            </w:p>
                          </w:txbxContent>
                        </wps:txbx>
                        <wps:bodyPr wrap="square">
                          <a:noAutofit/>
                        </wps:bodyPr>
                      </wps:wsp>
                    </wpg:wgp>
                  </a:graphicData>
                </a:graphic>
              </wp:anchor>
            </w:drawing>
          </mc:Choice>
          <mc:Fallback>
            <w:pict>
              <v:group id="shape_0" style="position:absolute;margin-left:56.15pt;margin-top:12.8pt;width:320.15pt;height:100.95pt" coordorigin="1123,256" coordsize="6403,2019">
                <v:shape id="shape_0" fillcolor="white" stroked="f" style="position:absolute;left:1123;top:324;width:2578;height:850;mso-wrap-style:square;v-text-anchor:top" type="shapetype_202">
                  <v:textbox>
                    <w:txbxContent>
                      <w:p>
                        <w:pPr>
                          <w:overflowPunct w:val="false"/>
                          <w:bidi w:val="0"/>
                          <w:jc w:val="center"/>
                          <w:rPr/>
                        </w:pPr>
                        <w:r>
                          <w:rPr>
                            <w:kern w:val="2"/>
                            <w:sz w:val="24"/>
                            <w:b/>
                            <w:szCs w:val="24"/>
                            <w:bCs/>
                            <w:rFonts w:ascii="Times New Roman" w:hAnsi="Times New Roman" w:eastAsia="Times New Roman" w:cs="Times New Roman"/>
                            <w:color w:val="auto"/>
                            <w:lang w:val="pt-BR" w:bidi="ar-SA"/>
                          </w:rPr>
                          <w:t>Neuromancer</w:t>
                        </w:r>
                      </w:p>
                      <w:p>
                        <w:pPr>
                          <w:overflowPunct w:val="false"/>
                          <w:bidi w:val="0"/>
                          <w:jc w:val="center"/>
                          <w:rPr/>
                        </w:pPr>
                        <w:r>
                          <w:rPr>
                            <w:kern w:val="2"/>
                            <w:sz w:val="24"/>
                            <w:szCs w:val="24"/>
                            <w:rFonts w:ascii="Times New Roman" w:hAnsi="Times New Roman" w:eastAsia="Times New Roman" w:cs="Times New Roman"/>
                            <w:color w:val="auto"/>
                            <w:lang w:val="pt-BR" w:bidi="ar-SA"/>
                          </w:rPr>
                          <w:t>William Gibson (1984)</w:t>
                        </w:r>
                      </w:p>
                      <w:p>
                        <w:pPr>
                          <w:overflowPunct w:val="false"/>
                          <w:bidi w:val="0"/>
                          <w:jc w:val="center"/>
                          <w:rPr/>
                        </w:pPr>
                        <w:r>
                          <w:rPr>
                            <w:kern w:val="2"/>
                            <w:rFonts w:ascii="Liberation Serif" w:hAnsi="Liberation Serif" w:eastAsia="NSimSun" w:cs="Lucida Sans"/>
                            <w:lang w:bidi="hi-IN"/>
                          </w:rPr>
                        </w:r>
                      </w:p>
                    </w:txbxContent>
                  </v:textbox>
                  <v:fill o:detectmouseclick="t" type="solid" color2="black"/>
                  <v:stroke color="#3465a4" joinstyle="round" endcap="flat"/>
                  <w10:wrap type="none"/>
                </v:shape>
                <v:shape id="shape_0" fillcolor="white" stroked="f" style="position:absolute;left:4389;top:256;width:3136;height:736;mso-wrap-style:square;v-text-anchor:top" type="shapetype_202">
                  <v:textbox>
                    <w:txbxContent>
                      <w:p>
                        <w:pPr>
                          <w:overflowPunct w:val="false"/>
                          <w:bidi w:val="0"/>
                          <w:jc w:val="center"/>
                          <w:rPr/>
                        </w:pPr>
                        <w:r>
                          <w:rPr>
                            <w:kern w:val="2"/>
                            <w:sz w:val="24"/>
                            <w:b/>
                            <w:szCs w:val="24"/>
                            <w:bCs/>
                            <w:rFonts w:ascii="Times New Roman" w:hAnsi="Times New Roman" w:eastAsia="Times New Roman" w:cs="Times New Roman"/>
                            <w:color w:val="auto"/>
                            <w:lang w:val="pt-BR" w:bidi="ar-SA"/>
                          </w:rPr>
                          <w:t>Snow Crash</w:t>
                        </w:r>
                      </w:p>
                      <w:p>
                        <w:pPr>
                          <w:overflowPunct w:val="false"/>
                          <w:bidi w:val="0"/>
                          <w:jc w:val="center"/>
                          <w:rPr/>
                        </w:pPr>
                        <w:r>
                          <w:rPr>
                            <w:kern w:val="2"/>
                            <w:sz w:val="24"/>
                            <w:szCs w:val="24"/>
                            <w:rFonts w:ascii="Times New Roman" w:hAnsi="Times New Roman" w:eastAsia="Times New Roman" w:cs="Times New Roman"/>
                            <w:color w:val="auto"/>
                            <w:lang w:val="pt-BR" w:bidi="ar-SA"/>
                          </w:rPr>
                          <w:t>Neal Stephenson (1992)</w:t>
                        </w:r>
                      </w:p>
                      <w:p>
                        <w:pPr>
                          <w:overflowPunct w:val="false"/>
                          <w:bidi w:val="0"/>
                          <w:jc w:val="center"/>
                          <w:rPr/>
                        </w:pPr>
                        <w:r>
                          <w:rPr>
                            <w:kern w:val="2"/>
                            <w:rFonts w:ascii="Liberation Serif" w:hAnsi="Liberation Serif" w:eastAsia="NSimSun" w:cs="Lucida Sans"/>
                            <w:lang w:bidi="hi-IN"/>
                          </w:rPr>
                        </w:r>
                      </w:p>
                    </w:txbxContent>
                  </v:textbox>
                  <v:fill o:detectmouseclick="t" type="solid" color2="black"/>
                  <v:stroke color="#3465a4" joinstyle="round" endcap="flat"/>
                </v:shape>
                <v:shape id="shape_0" fillcolor="white" stroked="f" style="position:absolute;left:3026;top:1436;width:2223;height:838;mso-wrap-style:square;v-text-anchor:top" type="shapetype_202">
                  <v:textbox>
                    <w:txbxContent>
                      <w:p>
                        <w:pPr>
                          <w:overflowPunct w:val="false"/>
                          <w:bidi w:val="0"/>
                          <w:jc w:val="center"/>
                          <w:rPr/>
                        </w:pPr>
                        <w:r>
                          <w:rPr>
                            <w:kern w:val="2"/>
                            <w:sz w:val="24"/>
                            <w:b/>
                            <w:szCs w:val="24"/>
                            <w:bCs/>
                            <w:rFonts w:ascii="Times New Roman" w:hAnsi="Times New Roman" w:eastAsia="Times New Roman" w:cs="Times New Roman"/>
                            <w:color w:val="auto"/>
                            <w:lang w:val="pt-BR" w:bidi="ar-SA"/>
                          </w:rPr>
                          <w:t>Machine man</w:t>
                        </w:r>
                      </w:p>
                      <w:p>
                        <w:pPr>
                          <w:overflowPunct w:val="false"/>
                          <w:bidi w:val="0"/>
                          <w:jc w:val="center"/>
                          <w:rPr/>
                        </w:pPr>
                        <w:r>
                          <w:rPr>
                            <w:kern w:val="2"/>
                            <w:sz w:val="24"/>
                            <w:szCs w:val="24"/>
                            <w:rFonts w:ascii="Times New Roman" w:hAnsi="Times New Roman" w:eastAsia="Times New Roman" w:cs="Times New Roman"/>
                            <w:color w:val="auto"/>
                            <w:lang w:val="pt-BR" w:bidi="ar-SA"/>
                          </w:rPr>
                          <w:t>Max Barry (2011)</w:t>
                        </w:r>
                      </w:p>
                      <w:p>
                        <w:pPr>
                          <w:overflowPunct w:val="false"/>
                          <w:bidi w:val="0"/>
                          <w:jc w:val="center"/>
                          <w:rPr/>
                        </w:pPr>
                        <w:r>
                          <w:rPr>
                            <w:kern w:val="2"/>
                            <w:rFonts w:ascii="Liberation Serif" w:hAnsi="Liberation Serif" w:eastAsia="NSimSun" w:cs="Lucida Sans"/>
                            <w:lang w:bidi="hi-IN"/>
                          </w:rPr>
                        </w:r>
                      </w:p>
                    </w:txbxContent>
                  </v:textbox>
                  <v:fill o:detectmouseclick="t" type="solid" color2="black"/>
                  <v:stroke color="#3465a4" joinstyle="round" endcap="flat"/>
                </v:shape>
              </v:group>
            </w:pict>
          </mc:Fallback>
        </mc:AlternateConten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jc w:val="center"/>
        <w:rPr/>
      </w:pPr>
      <w:r>
        <w:rPr>
          <w:b/>
        </w:rPr>
        <w:t xml:space="preserve">Esquemas 1 e 2: </w:t>
      </w:r>
      <w:r>
        <w:rPr/>
        <w:t>Divisão das três fases das histórias de robôs. Na tabela foram indicadas apenas algumas obras representantes de cada momento. Há inúmeras outras obras em cada período indicado.</w:t>
      </w:r>
    </w:p>
    <w:p>
      <w:pPr>
        <w:pStyle w:val="Normal"/>
        <w:spacing w:lineRule="auto" w:line="360"/>
        <w:jc w:val="both"/>
        <w:rPr/>
      </w:pPr>
      <w:r>
        <w:rPr/>
      </w:r>
    </w:p>
    <w:p>
      <w:pPr>
        <w:pStyle w:val="Normal"/>
        <w:spacing w:lineRule="auto" w:line="360"/>
        <w:ind w:firstLine="708"/>
        <w:jc w:val="both"/>
        <w:rPr/>
      </w:pPr>
      <w:r>
        <w:rPr/>
        <w:t xml:space="preserve">Nos esquemas 1 e 2 divido as histórias de robôs em três momentos em função do diálogo que cada período estabelece com o desenvolvimento de áreas diretamente ligadas ao desenvolvimento das máquinas e robôs. A primeira fase, apesar de já possuir elementos caros à ficção científica em termos contemporâneos, ainda tinha como lastro na construção da narrativa e dos argumentos o debate dos séculos XVIII e XIX em grande medida. </w:t>
      </w:r>
    </w:p>
    <w:p>
      <w:pPr>
        <w:pStyle w:val="Normal"/>
        <w:spacing w:lineRule="auto" w:line="360"/>
        <w:jc w:val="both"/>
        <w:rPr/>
      </w:pPr>
      <w:r>
        <w:rPr/>
        <w:tab/>
        <w:t xml:space="preserve">A segunda fase (algo em torno das décadas de 1940 e 1980) já incorporou parte do debate sobre a inteligência das máquinas e desenvolvimento de consciência, porém ainda representava um elemento de segundo plano. A discussão acerca da natureza humana imperava nessas histórias. A terceira fase (iniciada em meados da década de 1980) já se torna difícil de identificar uma separação clara entre os elementos desse debate como recursos narrativos e os argumentos centrais. A ideia de colocar em primeiro plano e, consequentemente, diluir ao longo das histórias a discussão sobre as fronteiras entre o humano e a máquina, a realidade virtual e sua alternativa entre outras possibilidades indicam a forte adesão dessa fase dessas histórias com alguns dos conceitos da ala mais otimista da Inteligência artificial e ciências afins. Essa literatura da terceira fase (Neuromancer e Snow Crash são ótimos representantes dessa fase), mesmo possuindo uma espécie de simbiose com esse debate, apresenta invariavelmente cenários de possibilidades que, a meu ver, ampliam a discussão ética sobre o futuro da relação com a tecnologia e inúmeras questões que advém desse ponto. Essa dimensão posta por essas obras não somente como descritivas de um determinado cenário mas como vetores do debate configuram uma possível resposta para a pergunta que nomeia o ensaio.  </w:t>
      </w:r>
    </w:p>
    <w:p>
      <w:pPr>
        <w:pStyle w:val="Normal"/>
        <w:spacing w:lineRule="auto" w:line="360"/>
        <w:jc w:val="both"/>
        <w:rPr>
          <w:b/>
          <w:b/>
        </w:rPr>
      </w:pPr>
      <w:r>
        <w:rPr>
          <w:b/>
        </w:rPr>
      </w:r>
    </w:p>
    <w:p>
      <w:pPr>
        <w:pStyle w:val="Normal"/>
        <w:spacing w:lineRule="auto" w:line="360"/>
        <w:ind w:right="18" w:hanging="0"/>
        <w:jc w:val="both"/>
        <w:rPr>
          <w:b/>
          <w:b/>
        </w:rPr>
      </w:pPr>
      <w:r>
        <w:rPr>
          <w:b/>
        </w:rPr>
      </w:r>
    </w:p>
    <w:p>
      <w:pPr>
        <w:pStyle w:val="Normal"/>
        <w:spacing w:lineRule="auto" w:line="360"/>
        <w:ind w:right="18" w:hanging="0"/>
        <w:jc w:val="both"/>
        <w:rPr>
          <w:b/>
          <w:b/>
        </w:rPr>
      </w:pPr>
      <w:r>
        <w:rPr>
          <w:b/>
        </w:rPr>
      </w:r>
    </w:p>
    <w:p>
      <w:pPr>
        <w:pStyle w:val="Normal"/>
        <w:spacing w:lineRule="auto" w:line="360"/>
        <w:ind w:right="18" w:hanging="0"/>
        <w:jc w:val="both"/>
        <w:rPr>
          <w:b/>
          <w:b/>
        </w:rPr>
      </w:pPr>
      <w:r>
        <w:rPr>
          <w:b/>
        </w:rPr>
      </w:r>
    </w:p>
    <w:p>
      <w:pPr>
        <w:pStyle w:val="Normal"/>
        <w:spacing w:lineRule="auto" w:line="360"/>
        <w:ind w:right="18" w:hanging="0"/>
        <w:jc w:val="both"/>
        <w:rPr>
          <w:b/>
          <w:b/>
        </w:rPr>
      </w:pPr>
      <w:r>
        <w:rPr>
          <w:b/>
        </w:rPr>
      </w:r>
    </w:p>
    <w:p>
      <w:pPr>
        <w:pStyle w:val="Normal"/>
        <w:spacing w:lineRule="auto" w:line="360"/>
        <w:ind w:right="18" w:hanging="0"/>
        <w:jc w:val="both"/>
        <w:rPr>
          <w:b/>
          <w:b/>
        </w:rPr>
      </w:pPr>
      <w:r>
        <w:rPr>
          <w:b/>
        </w:rPr>
      </w:r>
    </w:p>
    <w:p>
      <w:pPr>
        <w:pStyle w:val="Normal"/>
        <w:spacing w:lineRule="auto" w:line="360"/>
        <w:ind w:right="18" w:hanging="0"/>
        <w:jc w:val="both"/>
        <w:rPr>
          <w:b/>
          <w:b/>
        </w:rPr>
      </w:pPr>
      <w:r>
        <w:rPr>
          <w:b/>
        </w:rPr>
      </w:r>
    </w:p>
    <w:p>
      <w:pPr>
        <w:pStyle w:val="Normal"/>
        <w:spacing w:lineRule="auto" w:line="360"/>
        <w:ind w:right="18" w:hanging="0"/>
        <w:jc w:val="both"/>
        <w:rPr>
          <w:b/>
          <w:b/>
        </w:rPr>
      </w:pPr>
      <w:r>
        <w:rPr>
          <w:b/>
        </w:rPr>
      </w:r>
    </w:p>
    <w:p>
      <w:pPr>
        <w:pStyle w:val="Normal"/>
        <w:spacing w:lineRule="auto" w:line="360"/>
        <w:jc w:val="center"/>
        <w:rPr>
          <w:b/>
          <w:b/>
        </w:rPr>
      </w:pPr>
      <w:r>
        <w:rPr>
          <w:b/>
        </w:rPr>
        <w:t xml:space="preserve">Ciência e teorias da percepção nos primórdios do Cinema </w:t>
      </w:r>
    </w:p>
    <w:p>
      <w:pPr>
        <w:pStyle w:val="Normal"/>
        <w:spacing w:lineRule="auto" w:line="360"/>
        <w:jc w:val="center"/>
        <w:rPr>
          <w:b/>
          <w:b/>
        </w:rPr>
      </w:pPr>
      <w:r>
        <w:rPr>
          <w:b/>
        </w:rPr>
      </w:r>
    </w:p>
    <w:p>
      <w:pPr>
        <w:pStyle w:val="Normal"/>
        <w:spacing w:lineRule="auto" w:line="360"/>
        <w:jc w:val="both"/>
        <w:rPr/>
      </w:pPr>
      <w:r>
        <w:rPr/>
        <w:tab/>
        <w:t>O longo século XIX</w:t>
      </w:r>
      <w:r>
        <w:rPr>
          <w:rStyle w:val="Caracteresdenotaderodap"/>
          <w:rStyle w:val="Ncoradanotaderodap"/>
        </w:rPr>
        <w:footnoteReference w:id="133"/>
      </w:r>
      <w:r>
        <w:rPr/>
        <w:t xml:space="preserve"> acompanha os desdobramentos da revolução francesa ocorrida no final do século XVIII e o rompimento com o antigo regime marca o advento da idade contemporânea. É imperativo a compreensão de alguns pontos na constituição da sociedade contemporânea que sirvam de base ao exame do surgimento do cinema no final do século XIX e porque o cinema em seus primórdios oferecia uma melhor maneira de adaptação ao homem que se deslocava do campo às cidades na formação das metrópoles no mundo contemporâneo. </w:t>
      </w:r>
    </w:p>
    <w:p>
      <w:pPr>
        <w:pStyle w:val="Normal"/>
        <w:spacing w:lineRule="auto" w:line="360"/>
        <w:jc w:val="both"/>
        <w:rPr/>
      </w:pPr>
      <w:r>
        <w:rPr/>
        <w:tab/>
        <w:t>Uma marca do antigo regime é a idéia de uma desigualdade natural (já discuti isso de forma um pouco mais detalhada em outro ensaio). A condição dos homens na sociedade de antigo regime era determinada por meio de seu nascimento, dessa forma, admitiam-se direitos naturais que garantissem e justificassem a desigualdade entre os homens pelo nascimento. A burguesia</w:t>
      </w:r>
      <w:r>
        <w:rPr>
          <w:rStyle w:val="Caracteresdenotaderodap"/>
          <w:rStyle w:val="Ncoradanotaderodap"/>
        </w:rPr>
        <w:footnoteReference w:id="134"/>
      </w:r>
      <w:r>
        <w:rPr/>
        <w:t xml:space="preserve">, que na segunda metade do século XVIII reagiu a tal direito natural, com a ideia de que a distinção somente se justificaria com a garantia pelo trabalho. Os ideais revolucionários da primeira metade do século XIX propuseram, em parte, a ideia de que fosse possível criar um ordenamento geral acima dos costumes, garantindo assim a manutenção dos mesmos. O Estado se tornaria, contudo, o mantenedor da lei e da ordem.           </w:t>
      </w:r>
      <w:r>
        <w:rPr>
          <w:b/>
        </w:rPr>
        <w:t xml:space="preserve"> </w:t>
      </w:r>
    </w:p>
    <w:p>
      <w:pPr>
        <w:pStyle w:val="Normal"/>
        <w:spacing w:lineRule="auto" w:line="360"/>
        <w:jc w:val="both"/>
        <w:rPr/>
      </w:pPr>
      <w:r>
        <w:rPr>
          <w:b/>
        </w:rPr>
        <w:tab/>
      </w:r>
      <w:r>
        <w:rPr/>
        <w:t xml:space="preserve">A lei positiva, à maneira como se configurou na revolução francesa, pretendeu-se mantenedora da justiça na sociedade em oposição à manutenção dos costumes como baliza para o ordenamento dos estratos sociais. </w:t>
      </w:r>
    </w:p>
    <w:p>
      <w:pPr>
        <w:pStyle w:val="Normal"/>
        <w:spacing w:lineRule="auto" w:line="360"/>
        <w:jc w:val="both"/>
        <w:rPr/>
      </w:pPr>
      <w:r>
        <w:rPr/>
        <w:tab/>
        <w:t>É nesse cenário que ingressamos no século XIX, período marcado pelo capitalismo visto como responsável pelo processo civilizatório. Os fluxos de capital aumentam exigindo uma homogeneização e formando o que pode ser apontado como uma, senão a principal, característica do mundo contemporâneo, a banalização. No mundo contemporâneo há uma constante tensão</w:t>
      </w:r>
      <w:r>
        <w:rPr>
          <w:rStyle w:val="Caracteresdenotaderodap"/>
          <w:rStyle w:val="Ncoradanotaderodap"/>
        </w:rPr>
        <w:footnoteReference w:id="135"/>
      </w:r>
      <w:r>
        <w:rPr/>
        <w:t xml:space="preserve"> entre os movimentos particulares (lugar) e as linhas gerais da história (mundo). A passagem de um conceito ao uso do mesmo sofre um processo de banalização, um esvaziamento devido à velocidade nas relações. Foucault</w:t>
      </w:r>
      <w:r>
        <w:rPr>
          <w:rStyle w:val="Caracteresdenotaderodap"/>
          <w:rStyle w:val="Ncoradanotaderodap"/>
        </w:rPr>
        <w:footnoteReference w:id="136"/>
      </w:r>
      <w:r>
        <w:rPr/>
        <w:t xml:space="preserve"> afirmou que as formas de relação (ele as chamou de formas de subjetivação) entre o homem e a norma (regras de um grupo) se dão de maneira isolada e individualizada na antiguidade (Foucault examinou o caso da Grécia helênica), enquanto que, na sociedade moderna a constituição das instituições servem de intermediárias entre o individuo e a norma, diminuindo as possibilidades de subjetivação e aumentando a intensidade das mesmas, o que não implica maior liberdade na relação entre o individuo e a norma, dessa maneira podemos dizer que com o aumento nas relações, devido ao aumento no fluxo de capitais, e o estreitamento nas formas de subjetivação, as relações entre o sujeito e o conceito na utilização do primeiro pelo segundo impliquem uma banalização do conceito, uma vez que o acesso ao conteúdo se instrumentaliza na necessidade quase que exclusiva em utilizá-lo. O antigo regime pode ser antagônico ao início do século XIX se atribuirmos ao primeiro o predicado </w:t>
      </w:r>
      <w:r>
        <w:rPr>
          <w:i/>
        </w:rPr>
        <w:t>mundo do encantamento</w:t>
      </w:r>
      <w:r>
        <w:rPr/>
        <w:t xml:space="preserve">, enquanto, o século XIX seria o </w:t>
      </w:r>
      <w:r>
        <w:rPr>
          <w:i/>
        </w:rPr>
        <w:t>mundo do desencantamento</w:t>
      </w:r>
      <w:r>
        <w:rPr/>
        <w:t>, onde veria nascer a literatura fantástica e de horror, obras como a de Walpole (O castelo de Otranto) serviriam como catalisador, no imaginário popular, ao processo de negação dos privilégios da nobreza.</w:t>
      </w:r>
    </w:p>
    <w:p>
      <w:pPr>
        <w:pStyle w:val="Normal"/>
        <w:spacing w:lineRule="auto" w:line="360"/>
        <w:jc w:val="both"/>
        <w:rPr/>
      </w:pPr>
      <w:r>
        <w:rPr/>
        <w:tab/>
        <w:t xml:space="preserve">Esse contexto de desencantamento, aceleração e esvaziamento das relações, mediada pela vontade de civilização e progresso orientada pelo capitalismo na sua dimensão econômica, os desdobramentos da industrialização e o intuito do bem comum alcançado pela razão fez com que nascesse no final do século XIX o cinema, a única forma de expressão artística desenvolvida por essa burguesia do século XIX. Interessa-nos aqui examinar como surge e se consolida o cinema, paralelo ao processo civilizatório que caracterizo a modernidade na medida em que ocorreu uma urbanização acelerada nos principais países industrializados do mundo. Dentro da proposta apresentada, alguns conceitos chave nesse ensaio são os conceitos de atenção, memória, urbano dentre outros que assumem um forte papel heurístico nesse momento histórico.      </w:t>
      </w:r>
    </w:p>
    <w:p>
      <w:pPr>
        <w:pStyle w:val="Normal"/>
        <w:spacing w:lineRule="auto" w:line="360"/>
        <w:jc w:val="both"/>
        <w:rPr/>
      </w:pPr>
      <w:r>
        <w:rPr/>
      </w:r>
    </w:p>
    <w:p>
      <w:pPr>
        <w:pStyle w:val="Normal"/>
        <w:spacing w:lineRule="auto" w:line="360"/>
        <w:jc w:val="both"/>
        <w:rPr/>
      </w:pPr>
      <w:r>
        <w:rPr>
          <w:b/>
        </w:rPr>
        <w:t>Por que o cinema?</w:t>
      </w:r>
    </w:p>
    <w:p>
      <w:pPr>
        <w:pStyle w:val="Normal"/>
        <w:spacing w:lineRule="auto" w:line="360"/>
        <w:jc w:val="both"/>
        <w:rPr>
          <w:b/>
          <w:b/>
        </w:rPr>
      </w:pPr>
      <w:r>
        <w:rPr>
          <w:b/>
        </w:rPr>
      </w:r>
    </w:p>
    <w:p>
      <w:pPr>
        <w:pStyle w:val="Normal"/>
        <w:spacing w:lineRule="auto" w:line="360"/>
        <w:jc w:val="both"/>
        <w:rPr/>
      </w:pPr>
      <w:r>
        <w:rPr/>
        <w:tab/>
        <w:t>A discussão sobre se o espectador de cinema merece uma educação específica com o intuito de aprender a olhar a película não é em nada recente, nas primeiras décadas do cinema, os primeiros teóricos já apontavam para a necessidade de uma educação do olhar</w:t>
      </w:r>
      <w:r>
        <w:rPr>
          <w:rStyle w:val="Caracteresdenotaderodap"/>
          <w:rStyle w:val="Ncoradanotaderodap"/>
        </w:rPr>
        <w:footnoteReference w:id="137"/>
      </w:r>
      <w:r>
        <w:rPr/>
        <w:t>, além da exigência de uma teoria do cinema que o situasse no terreno das artes, tais como, a literatura, a música, a opera entre outras</w:t>
      </w:r>
      <w:r>
        <w:rPr>
          <w:rStyle w:val="Caracteresdenotaderodap"/>
          <w:rStyle w:val="Ncoradanotaderodap"/>
        </w:rPr>
        <w:footnoteReference w:id="138"/>
      </w:r>
      <w:r>
        <w:rPr/>
        <w:t>. Em uma sociedade marcada pelo documento e a escrita</w:t>
      </w:r>
      <w:r>
        <w:rPr>
          <w:rStyle w:val="Caracteresdenotaderodap"/>
          <w:rStyle w:val="Ncoradanotaderodap"/>
        </w:rPr>
        <w:footnoteReference w:id="139"/>
      </w:r>
      <w:r>
        <w:rPr/>
        <w:t xml:space="preserve">, o cinema surge como atividade secundária, sem o estatuto artístico de outras artes como a literatura ou o teatro.    </w:t>
      </w:r>
    </w:p>
    <w:p>
      <w:pPr>
        <w:pStyle w:val="Normal"/>
        <w:spacing w:lineRule="auto" w:line="360"/>
        <w:jc w:val="both"/>
        <w:rPr/>
      </w:pPr>
      <w:r>
        <w:rPr/>
        <w:t xml:space="preserve"> </w:t>
      </w:r>
    </w:p>
    <w:p>
      <w:pPr>
        <w:pStyle w:val="Normal"/>
        <w:spacing w:lineRule="auto" w:line="360"/>
        <w:ind w:left="360" w:right="404" w:hanging="0"/>
        <w:jc w:val="both"/>
        <w:rPr/>
      </w:pPr>
      <w:r>
        <w:rPr>
          <w:i/>
        </w:rPr>
        <w:t>Para nós, o texto escrito é sempre o referencial mais importante, onde se tem a possibilidade de voltar, pensar, refletir. Uma inteligência do mundo mediada pela linguagem oral-escrita. Mas não podemos deixar de pensar que nós mesmos, em parte, e uma maioria, totalmente, estamos formando nossa inteligibilidade do mundo a partir das imagens e sons das produções do cinema e da televisão. É também estranho que os programas e teorias de alfabetização não lidem com a ‘alfabetização’ de imagens e sons, com essa moderna forma de entender e agir no mundo. Desta maneira, é importante não ver o cinema como recurso didático ou ilustrativo, mas vê-lo como um objeto cultural, uma visão de mundo de diferentes diretores e que tem uma linguagem que performa uma inteligência verbal e, ao mesmo tempo, uma linguagem diferente da linguagem verbal.</w:t>
      </w:r>
      <w:r>
        <w:rPr>
          <w:rStyle w:val="Caracteresdenotaderodap"/>
          <w:rStyle w:val="Ncoradanotaderodap"/>
          <w:i/>
        </w:rPr>
        <w:footnoteReference w:id="140"/>
      </w:r>
    </w:p>
    <w:p>
      <w:pPr>
        <w:pStyle w:val="Normal"/>
        <w:spacing w:lineRule="auto" w:line="360"/>
        <w:jc w:val="both"/>
        <w:rPr>
          <w:b/>
          <w:b/>
        </w:rPr>
      </w:pPr>
      <w:r>
        <w:rPr>
          <w:b/>
        </w:rPr>
      </w:r>
    </w:p>
    <w:p>
      <w:pPr>
        <w:pStyle w:val="Normal"/>
        <w:spacing w:lineRule="auto" w:line="360"/>
        <w:jc w:val="both"/>
        <w:rPr/>
      </w:pPr>
      <w:r>
        <w:rPr/>
        <w:tab/>
        <w:t xml:space="preserve">Embora a fala do professor Milton Almeida faça referência aos dias de hoje, motivo pelo qual ele incluiu a televisão na exigência de uma educação audiovisual, o cinema desde suas primeiras exibições já apresentava um problema de identidade que reivindicasse ou não uma diferenciação das outras formas de expressão. Outro problema apontado por Almeida se refere às consequências políticas da ausência de uma educação audiovisual.      </w:t>
      </w:r>
    </w:p>
    <w:p>
      <w:pPr>
        <w:pStyle w:val="Normal"/>
        <w:spacing w:lineRule="auto" w:line="360"/>
        <w:jc w:val="both"/>
        <w:rPr>
          <w:b/>
          <w:b/>
        </w:rPr>
      </w:pPr>
      <w:r>
        <w:rPr>
          <w:b/>
        </w:rPr>
      </w:r>
    </w:p>
    <w:p>
      <w:pPr>
        <w:pStyle w:val="Normal"/>
        <w:spacing w:lineRule="auto" w:line="360"/>
        <w:ind w:left="360" w:right="404" w:hanging="0"/>
        <w:jc w:val="both"/>
        <w:rPr/>
      </w:pPr>
      <w:r>
        <w:rPr>
          <w:i/>
        </w:rPr>
        <w:t>Imagens e sons que são simulações do real, que se tornam reais devido a suas identificações com a oralidade da fala, com a simultaneidade dos tempos do espectador e das imagens, naquela continuidade e sequencialidade sem retorno em que o significado vai se fazendo como na cadeia sonora da fala. A diferença fundamental, que caracteriza o poder e a persuasão dos meios de comunicação em imagens e sons, é que entre estes e os espectadores não se estabelece nenhum diálogo, nenhum jogo característico da situação de uma conversa, não há possibilidade de divergência nem intervenção no discurso do outro, há somente a possibilidade de uma fala reflexão, discussão após sua exibição, e sem sua presença. É fácil pensar nas conseqüências políticas e culturais disso, principalmente se atentarmos para o fato de que a sociedade de massas é uma sociedade da visibilidade: adquire caráter de verdade instantânea aquilo que é mostrado, visto, ouvido. (...) Para as pessoas imersas na cultura de massas, o pensar é algo elementar, superficial, relações simples de causa e efeito, moralismo rígido, informações aceitas sem dúvidas, articulações aforísticas e proverbiais, inércia e leviandade psicológicas, e a visão da realidade é sempre prática.</w:t>
      </w:r>
      <w:r>
        <w:rPr>
          <w:rStyle w:val="Caracteresdenotaderodap"/>
          <w:rStyle w:val="Ncoradanotaderodap"/>
          <w:i/>
        </w:rPr>
        <w:footnoteReference w:id="141"/>
      </w:r>
    </w:p>
    <w:p>
      <w:pPr>
        <w:pStyle w:val="Normal"/>
        <w:spacing w:lineRule="auto" w:line="360"/>
        <w:jc w:val="both"/>
        <w:rPr>
          <w:b/>
          <w:b/>
        </w:rPr>
      </w:pPr>
      <w:r>
        <w:rPr>
          <w:b/>
        </w:rPr>
      </w:r>
    </w:p>
    <w:p>
      <w:pPr>
        <w:pStyle w:val="Normal"/>
        <w:spacing w:lineRule="auto" w:line="360"/>
        <w:jc w:val="both"/>
        <w:rPr/>
      </w:pPr>
      <w:r>
        <w:rPr/>
        <w:tab/>
        <w:t xml:space="preserve">As consequências políticas e culturais apontadas por Almeida são, em certa medida, condições já existentes em nossa sociedade, basta lembrarmos o conceito de banalização como ideia nuclear em que opera a sociedade contemporânea, o cinema não seria exceção à regra, mas é importante que ressaltemos que o cinema, em relação às outras artes, a literatura ou a música, por exemplo, possui uma dimensão industrial que não pode ser posta de lado no que diz respeito a qualquer metodologia teórica dirigida ao entendimento do cinema, seja como arte, seja como um produto industrial. Façamos um breve exame da dimensão dupla (arte e indústria) do cinema.       </w:t>
      </w:r>
    </w:p>
    <w:p>
      <w:pPr>
        <w:pStyle w:val="Normal"/>
        <w:spacing w:lineRule="auto" w:line="360"/>
        <w:jc w:val="both"/>
        <w:rPr>
          <w:b/>
          <w:b/>
        </w:rPr>
      </w:pPr>
      <w:r>
        <w:rPr>
          <w:b/>
        </w:rPr>
      </w:r>
    </w:p>
    <w:p>
      <w:pPr>
        <w:pStyle w:val="Normal"/>
        <w:spacing w:lineRule="auto" w:line="360"/>
        <w:jc w:val="both"/>
        <w:rPr>
          <w:b/>
          <w:b/>
        </w:rPr>
      </w:pPr>
      <w:r>
        <w:rPr>
          <w:b/>
        </w:rPr>
        <w:t>Cinema: ciência, arte e tecnologia</w:t>
      </w:r>
    </w:p>
    <w:p>
      <w:pPr>
        <w:pStyle w:val="Normal"/>
        <w:spacing w:lineRule="auto" w:line="360"/>
        <w:jc w:val="both"/>
        <w:rPr>
          <w:b/>
          <w:b/>
        </w:rPr>
      </w:pPr>
      <w:r>
        <w:rPr>
          <w:b/>
        </w:rPr>
      </w:r>
    </w:p>
    <w:p>
      <w:pPr>
        <w:pStyle w:val="Normal"/>
        <w:spacing w:lineRule="auto" w:line="360"/>
        <w:jc w:val="both"/>
        <w:rPr/>
      </w:pPr>
      <w:r>
        <w:rPr/>
        <w:tab/>
        <w:t>Certamente quando falamos em cinema, pensamos impreterivelmente em entretenimento, certo? Errado. Em um exame rápido e descuidado o entretenimento parece estar presente em qualquer obra cinematográfica, mas há filmes em que apenas apresentam algo semelhante a outras formas de transmissão de informação. Rosenfeld nos alerta sobre o cuidado ao querermos ‘contar’ a história do cinema como a história de qualquer outra arte, a pintura, por exemplo.</w:t>
      </w:r>
    </w:p>
    <w:p>
      <w:pPr>
        <w:pStyle w:val="Normal"/>
        <w:spacing w:lineRule="auto" w:line="360"/>
        <w:jc w:val="both"/>
        <w:rPr/>
      </w:pPr>
      <w:r>
        <w:rPr/>
      </w:r>
    </w:p>
    <w:p>
      <w:pPr>
        <w:pStyle w:val="Normal"/>
        <w:spacing w:lineRule="auto" w:line="360"/>
        <w:ind w:left="360" w:right="404" w:hanging="0"/>
        <w:jc w:val="both"/>
        <w:rPr/>
      </w:pPr>
      <w:r>
        <w:rPr>
          <w:i/>
        </w:rPr>
        <w:t>Pode-se escrever a ‘História do cinema’ como se escreve a história de determinada arte, à semelhança da ‘História da pintura’, por exemplo, ou da ‘História da música’? Evidentemente, o cinema pode ser arte, mas abordá-lo exclusivamente sob este prisma seria, sem dúvida, uma limitação extrema. Pois a imagem móvel é, antes de tudo, um meio de comunicação e reprodução, como a impressão tipográfica ou o disco. (...) Da mesma forma como o jornal ou o rádio, o cinema pode difundir notícias, anúncios, propaganda e lições de divulgação científica; e na maioria dos casos cuidará, como os bons jornais e as boas estações de rádio, de uma correta redação e coordenação fluente das matérias divulgadas sem que, por isso, se possa falar de arte.</w:t>
      </w:r>
      <w:r>
        <w:rPr>
          <w:rStyle w:val="Caracteresdenotaderodap"/>
          <w:rStyle w:val="Ncoradanotaderodap"/>
          <w:i/>
        </w:rPr>
        <w:footnoteReference w:id="142"/>
      </w:r>
      <w:r>
        <w:rPr>
          <w:i/>
        </w:rPr>
        <w:t xml:space="preserve">        </w:t>
      </w:r>
    </w:p>
    <w:p>
      <w:pPr>
        <w:pStyle w:val="Normal"/>
        <w:spacing w:lineRule="auto" w:line="360"/>
        <w:jc w:val="both"/>
        <w:rPr>
          <w:i/>
          <w:i/>
        </w:rPr>
      </w:pPr>
      <w:r>
        <w:rPr>
          <w:i/>
        </w:rPr>
      </w:r>
    </w:p>
    <w:p>
      <w:pPr>
        <w:pStyle w:val="Normal"/>
        <w:spacing w:lineRule="auto" w:line="360"/>
        <w:jc w:val="both"/>
        <w:rPr/>
      </w:pPr>
      <w:r>
        <w:rPr/>
        <w:tab/>
        <w:t>Durante todo o século XIX foram feitas tentativas de obter técnicas de imagem em movimento, principalmente após o advento da fotografia em meados da década de 1820. Ismail Xavier nos conta de inúmeros aparelhos que na segunda metade do século XIX foram patenteados nos Estados Unidos, mesmo não diferindo muito entre si</w:t>
      </w:r>
      <w:r>
        <w:rPr>
          <w:rStyle w:val="Caracteresdenotaderodap"/>
          <w:rStyle w:val="Ncoradanotaderodap"/>
        </w:rPr>
        <w:footnoteReference w:id="143"/>
      </w:r>
      <w:r>
        <w:rPr/>
        <w:t xml:space="preserve">. Quando resolvemos falar da história do cinema, necessariamente retrocedemos no século XIX e nos aparelhos que tentavam reproduzir o movimento. Diferente de um historiador da pintura que não necessita discutir o processo químico das tintas ao longo da história ou mesmo um historiador da literatura que pode saltar a história do papel e seus predecessores, o cinema exige que não se cometa tal salto, a relação estreita entre tecnologia e arte é para o cinema condição de nascimento. Basta lembrarmos que as primeiras filmagens não tinham necessariamente o caráter de entretenimento, muitas delas eram usadas nas Universidades para fins de pesquisa do movimento ou mera curiosidade sobre a nova tecnologia que despontava.  </w:t>
      </w:r>
    </w:p>
    <w:p>
      <w:pPr>
        <w:pStyle w:val="Normal"/>
        <w:spacing w:lineRule="auto" w:line="360"/>
        <w:jc w:val="both"/>
        <w:rPr/>
      </w:pPr>
      <w:r>
        <w:rPr/>
      </w:r>
    </w:p>
    <w:p>
      <w:pPr>
        <w:pStyle w:val="Normal"/>
        <w:spacing w:lineRule="auto" w:line="360"/>
        <w:ind w:left="360" w:right="404" w:hanging="0"/>
        <w:jc w:val="both"/>
        <w:rPr/>
      </w:pPr>
      <w:r>
        <w:rPr>
          <w:i/>
        </w:rPr>
        <w:t>De início, a produção de filmes é obra de técnicos com interesses preponderantemente comerciais. Um ou outro entre os ancestrais do cinema é cientista, interessado em criar um novo instrumento de pesquisa científica, e há mesmo, entre os inspiradores mais remotos, de quando em vez, um artista.</w:t>
      </w:r>
      <w:r>
        <w:rPr>
          <w:rStyle w:val="Caracteresdenotaderodap"/>
          <w:rStyle w:val="Ncoradanotaderodap"/>
          <w:i/>
        </w:rPr>
        <w:footnoteReference w:id="144"/>
      </w:r>
    </w:p>
    <w:p>
      <w:pPr>
        <w:pStyle w:val="Normal"/>
        <w:spacing w:lineRule="auto" w:line="360"/>
        <w:jc w:val="both"/>
        <w:rPr/>
      </w:pPr>
      <w:r>
        <w:rPr/>
      </w:r>
    </w:p>
    <w:p>
      <w:pPr>
        <w:pStyle w:val="Normal"/>
        <w:spacing w:lineRule="auto" w:line="360"/>
        <w:jc w:val="both"/>
        <w:rPr/>
      </w:pPr>
      <w:r>
        <w:rPr/>
        <w:tab/>
        <w:t>Um dos precursores do cinematógrafo dos irmãos Lumière, o cinetoscópio (kinetoscópio) criado por Thomas Edson por volta de 1889, na verdade criado por seu assistente William Dickson. A largura do filme do aparelho de Edson de 35mm seria referência mundial (figuras 6 e 7)</w:t>
      </w:r>
      <w:r>
        <w:rPr>
          <w:rStyle w:val="Caracteresdenotaderodap"/>
          <w:rStyle w:val="Ncoradanotaderodap"/>
        </w:rPr>
        <w:footnoteReference w:id="145"/>
      </w:r>
      <w:r>
        <w:rPr/>
        <w:t xml:space="preserve">. </w:t>
      </w:r>
    </w:p>
    <w:p>
      <w:pPr>
        <w:pStyle w:val="Normal"/>
        <w:spacing w:lineRule="auto" w:line="360"/>
        <w:jc w:val="both"/>
        <w:rPr/>
      </w:pPr>
      <w:r>
        <w:rPr/>
      </w:r>
    </w:p>
    <w:p>
      <w:pPr>
        <w:pStyle w:val="Normal"/>
        <w:spacing w:lineRule="auto" w:line="360"/>
        <w:jc w:val="center"/>
        <w:rPr/>
      </w:pPr>
      <w:r>
        <w:rPr/>
        <w:drawing>
          <wp:inline distT="0" distB="0" distL="0" distR="0">
            <wp:extent cx="1379220" cy="1958975"/>
            <wp:effectExtent l="0" t="0" r="0" b="0"/>
            <wp:docPr id="33"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11" descr=""/>
                    <pic:cNvPicPr>
                      <a:picLocks noChangeAspect="1" noChangeArrowheads="1"/>
                    </pic:cNvPicPr>
                  </pic:nvPicPr>
                  <pic:blipFill>
                    <a:blip r:embed="rId15"/>
                    <a:stretch>
                      <a:fillRect/>
                    </a:stretch>
                  </pic:blipFill>
                  <pic:spPr bwMode="auto">
                    <a:xfrm>
                      <a:off x="0" y="0"/>
                      <a:ext cx="1379220" cy="1958975"/>
                    </a:xfrm>
                    <a:prstGeom prst="rect">
                      <a:avLst/>
                    </a:prstGeom>
                    <a:ln w="38100">
                      <a:solidFill>
                        <a:srgbClr val="000000"/>
                      </a:solidFill>
                    </a:ln>
                  </pic:spPr>
                </pic:pic>
              </a:graphicData>
            </a:graphic>
          </wp:inline>
        </w:drawing>
      </w:r>
      <w:r>
        <w:rPr/>
        <w:t xml:space="preserve">                                         </w:t>
      </w:r>
      <w:r>
        <w:rPr/>
        <w:drawing>
          <wp:inline distT="0" distB="0" distL="0" distR="0">
            <wp:extent cx="1402080" cy="1976120"/>
            <wp:effectExtent l="0" t="0" r="0" b="0"/>
            <wp:docPr id="34"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12" descr=""/>
                    <pic:cNvPicPr>
                      <a:picLocks noChangeAspect="1" noChangeArrowheads="1"/>
                    </pic:cNvPicPr>
                  </pic:nvPicPr>
                  <pic:blipFill>
                    <a:blip r:embed="rId16"/>
                    <a:stretch>
                      <a:fillRect/>
                    </a:stretch>
                  </pic:blipFill>
                  <pic:spPr bwMode="auto">
                    <a:xfrm>
                      <a:off x="0" y="0"/>
                      <a:ext cx="1402080" cy="1976120"/>
                    </a:xfrm>
                    <a:prstGeom prst="rect">
                      <a:avLst/>
                    </a:prstGeom>
                    <a:ln w="38100">
                      <a:solidFill>
                        <a:srgbClr val="000000"/>
                      </a:solidFill>
                    </a:ln>
                  </pic:spPr>
                </pic:pic>
              </a:graphicData>
            </a:graphic>
          </wp:inline>
        </w:drawing>
      </w:r>
    </w:p>
    <w:p>
      <w:pPr>
        <w:pStyle w:val="Normal"/>
        <w:spacing w:lineRule="auto" w:line="360"/>
        <w:jc w:val="both"/>
        <w:rPr/>
      </w:pPr>
      <w:r>
        <w:rPr/>
        <w:t xml:space="preserve">                     </w:t>
      </w:r>
      <w:r>
        <w:rPr/>
        <w:t>Figura 6                                                               Figura 7</w:t>
      </w:r>
    </w:p>
    <w:p>
      <w:pPr>
        <w:pStyle w:val="Normal"/>
        <w:spacing w:lineRule="auto" w:line="360"/>
        <w:jc w:val="both"/>
        <w:rPr/>
      </w:pPr>
      <w:r>
        <w:rPr/>
      </w:r>
    </w:p>
    <w:p>
      <w:pPr>
        <w:pStyle w:val="Normal"/>
        <w:spacing w:lineRule="auto" w:line="360"/>
        <w:jc w:val="both"/>
        <w:rPr/>
      </w:pPr>
      <w:r>
        <w:rPr/>
        <w:tab/>
        <w:t>Na primeira imagem vemos um desenho do cinetoscópio aberto, enquanto, no segundo vemos um homem utilizando o aparelho. O fato do aparelho de Edson ser de uso individual era um empecilho para a popularização do cinema, além do que, Edson insistia em não popularizar sua invenção sem resolver o problema da sincronização do som, o que permitiria que os irmãos Lumière se antecipassem ao inventor norte-americano em exibições publicas. O cinematógrafo, aparelho aperfeiçoado pelos irmãos Lumière não eram de uso individual possibilitando exibições publicas, uma vez que o cinema se caracteriza pela exibição coletiva do material fílmico; esse pode ser apontado como um dos motivos de os irmãos lumière terem ficado com os créditos da invenção (figuras 8 e 9)</w:t>
      </w:r>
      <w:r>
        <w:rPr>
          <w:rStyle w:val="Caracteresdenotaderodap"/>
          <w:rStyle w:val="Ncoradanotaderodap"/>
        </w:rPr>
        <w:footnoteReference w:id="146"/>
      </w:r>
      <w:r>
        <w:rPr/>
        <w:t xml:space="preserve">.    </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drawing>
          <wp:inline distT="0" distB="0" distL="0" distR="0">
            <wp:extent cx="2051685" cy="1806575"/>
            <wp:effectExtent l="0" t="0" r="0" b="0"/>
            <wp:docPr id="35"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13" descr=""/>
                    <pic:cNvPicPr>
                      <a:picLocks noChangeAspect="1" noChangeArrowheads="1"/>
                    </pic:cNvPicPr>
                  </pic:nvPicPr>
                  <pic:blipFill>
                    <a:blip r:embed="rId17"/>
                    <a:stretch>
                      <a:fillRect/>
                    </a:stretch>
                  </pic:blipFill>
                  <pic:spPr bwMode="auto">
                    <a:xfrm>
                      <a:off x="0" y="0"/>
                      <a:ext cx="2051685" cy="1806575"/>
                    </a:xfrm>
                    <a:prstGeom prst="rect">
                      <a:avLst/>
                    </a:prstGeom>
                    <a:ln w="38100">
                      <a:solidFill>
                        <a:srgbClr val="000000"/>
                      </a:solidFill>
                    </a:ln>
                  </pic:spPr>
                </pic:pic>
              </a:graphicData>
            </a:graphic>
          </wp:inline>
        </w:drawing>
      </w:r>
      <w:r>
        <w:rPr/>
        <w:t xml:space="preserve">             </w:t>
      </w:r>
      <w:r>
        <w:rPr/>
        <w:drawing>
          <wp:inline distT="0" distB="0" distL="0" distR="0">
            <wp:extent cx="2505075" cy="1736090"/>
            <wp:effectExtent l="0" t="0" r="0" b="0"/>
            <wp:docPr id="36"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14" descr=""/>
                    <pic:cNvPicPr>
                      <a:picLocks noChangeAspect="1" noChangeArrowheads="1"/>
                    </pic:cNvPicPr>
                  </pic:nvPicPr>
                  <pic:blipFill>
                    <a:blip r:embed="rId18"/>
                    <a:stretch>
                      <a:fillRect/>
                    </a:stretch>
                  </pic:blipFill>
                  <pic:spPr bwMode="auto">
                    <a:xfrm>
                      <a:off x="0" y="0"/>
                      <a:ext cx="2505075" cy="1736090"/>
                    </a:xfrm>
                    <a:prstGeom prst="rect">
                      <a:avLst/>
                    </a:prstGeom>
                    <a:ln w="38100">
                      <a:solidFill>
                        <a:srgbClr val="000000"/>
                      </a:solidFill>
                    </a:ln>
                  </pic:spPr>
                </pic:pic>
              </a:graphicData>
            </a:graphic>
          </wp:inline>
        </w:drawing>
      </w:r>
      <w:r>
        <w:rPr/>
        <w:t xml:space="preserve">                                                       </w:t>
      </w:r>
    </w:p>
    <w:p>
      <w:pPr>
        <w:pStyle w:val="Normal"/>
        <w:spacing w:lineRule="auto" w:line="360"/>
        <w:jc w:val="both"/>
        <w:rPr/>
      </w:pPr>
      <w:r>
        <w:rPr/>
        <w:t xml:space="preserve">                 </w:t>
      </w:r>
      <w:r>
        <w:rPr/>
        <w:t>Figura 8                                                            Figura 9</w:t>
      </w:r>
    </w:p>
    <w:p>
      <w:pPr>
        <w:pStyle w:val="Normal"/>
        <w:spacing w:lineRule="auto" w:line="360"/>
        <w:jc w:val="both"/>
        <w:rPr>
          <w:lang w:val="pt-BR" w:eastAsia="pt-BR"/>
        </w:rPr>
      </w:pPr>
      <w:r>
        <w:rPr>
          <w:lang w:val="pt-BR" w:eastAsia="pt-BR"/>
        </w:rPr>
      </w:r>
      <w:r>
        <mc:AlternateContent>
          <mc:Choice Requires="wps">
            <w:drawing>
              <wp:anchor behindDoc="0" distT="0" distB="0" distL="114935" distR="114935" simplePos="0" locked="0" layoutInCell="0" allowOverlap="1" relativeHeight="44">
                <wp:simplePos x="0" y="0"/>
                <wp:positionH relativeFrom="column">
                  <wp:posOffset>457200</wp:posOffset>
                </wp:positionH>
                <wp:positionV relativeFrom="paragraph">
                  <wp:posOffset>76200</wp:posOffset>
                </wp:positionV>
                <wp:extent cx="4343400" cy="342900"/>
                <wp:effectExtent l="0" t="0" r="0" b="0"/>
                <wp:wrapNone/>
                <wp:docPr id="37" name="Quadro11"/>
                <a:graphic xmlns:a="http://schemas.openxmlformats.org/drawingml/2006/main">
                  <a:graphicData uri="http://schemas.microsoft.com/office/word/2010/wordprocessingShape">
                    <wps:wsp>
                      <wps:cNvSpPr txBox="1"/>
                      <wps:spPr>
                        <a:xfrm>
                          <a:off x="0" y="0"/>
                          <a:ext cx="4343400" cy="342900"/>
                        </a:xfrm>
                        <a:prstGeom prst="rect"/>
                        <a:solidFill>
                          <a:srgbClr val="FFFFFF"/>
                        </a:solidFill>
                      </wps:spPr>
                      <wps:txbx>
                        <w:txbxContent>
                          <w:p>
                            <w:pPr>
                              <w:pStyle w:val="Normal"/>
                              <w:jc w:val="both"/>
                              <w:rPr>
                                <w:sz w:val="20"/>
                                <w:szCs w:val="20"/>
                              </w:rPr>
                            </w:pPr>
                            <w:r>
                              <w:rPr>
                                <w:sz w:val="20"/>
                                <w:szCs w:val="20"/>
                              </w:rPr>
                              <w:t>Cinematógrafo visto de perfil (imagem 8) e uma exibição publica (imagem 9).</w:t>
                            </w:r>
                          </w:p>
                        </w:txbxContent>
                      </wps:txbx>
                      <wps:bodyPr anchor="t" lIns="92075" tIns="46355" rIns="92075" bIns="46355">
                        <a:noAutofit/>
                      </wps:bodyPr>
                    </wps:wsp>
                  </a:graphicData>
                </a:graphic>
              </wp:anchor>
            </w:drawing>
          </mc:Choice>
          <mc:Fallback>
            <w:pict>
              <v:rect fillcolor="#FFFFFF" style="position:absolute;rotation:0;width:342pt;height:27pt;mso-wrap-distance-left:9.05pt;mso-wrap-distance-right:9.05pt;mso-wrap-distance-top:0pt;mso-wrap-distance-bottom:0pt;margin-top:6pt;mso-position-vertical-relative:text;margin-left:36pt;mso-position-horizontal-relative:text">
                <v:textbox inset="0.100694444444444in,0.0506944444444444in,0.100694444444444in,0.0506944444444444in">
                  <w:txbxContent>
                    <w:p>
                      <w:pPr>
                        <w:pStyle w:val="Normal"/>
                        <w:jc w:val="both"/>
                        <w:rPr>
                          <w:sz w:val="20"/>
                          <w:szCs w:val="20"/>
                        </w:rPr>
                      </w:pPr>
                      <w:r>
                        <w:rPr>
                          <w:sz w:val="20"/>
                          <w:szCs w:val="20"/>
                        </w:rPr>
                        <w:t>Cinematógrafo visto de perfil (imagem 8) e uma exibição publica (imagem 9).</w:t>
                      </w:r>
                    </w:p>
                  </w:txbxContent>
                </v:textbox>
                <w10:wrap type="none"/>
              </v:rect>
            </w:pict>
          </mc:Fallback>
        </mc:AlternateContent>
      </w:r>
    </w:p>
    <w:p>
      <w:pPr>
        <w:pStyle w:val="Normal"/>
        <w:spacing w:lineRule="auto" w:line="360"/>
        <w:jc w:val="both"/>
        <w:rPr/>
      </w:pPr>
      <w:r>
        <w:rPr/>
      </w:r>
    </w:p>
    <w:p>
      <w:pPr>
        <w:pStyle w:val="Normal"/>
        <w:spacing w:lineRule="auto" w:line="360"/>
        <w:jc w:val="both"/>
        <w:rPr/>
      </w:pPr>
      <w:r>
        <w:rPr/>
        <w:tab/>
        <w:t>Algumas imagens (fotogramas de filmagens da companhia Edson) de filmes utilizados no estudo do movimento</w:t>
      </w:r>
    </w:p>
    <w:p>
      <w:pPr>
        <w:pStyle w:val="Normal"/>
        <w:spacing w:lineRule="auto" w:line="360"/>
        <w:jc w:val="both"/>
        <w:rPr/>
      </w:pPr>
      <w:r>
        <w:rPr/>
      </w:r>
    </w:p>
    <w:p>
      <w:pPr>
        <w:pStyle w:val="Normal"/>
        <w:spacing w:lineRule="auto" w:line="360"/>
        <w:jc w:val="center"/>
        <w:rPr/>
      </w:pPr>
      <w:r>
        <w:rPr/>
        <w:drawing>
          <wp:inline distT="0" distB="0" distL="0" distR="0">
            <wp:extent cx="1706880" cy="1059180"/>
            <wp:effectExtent l="0" t="0" r="0" b="0"/>
            <wp:docPr id="3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15" descr=""/>
                    <pic:cNvPicPr>
                      <a:picLocks noChangeAspect="1" noChangeArrowheads="1"/>
                    </pic:cNvPicPr>
                  </pic:nvPicPr>
                  <pic:blipFill>
                    <a:blip r:embed="rId19"/>
                    <a:stretch>
                      <a:fillRect/>
                    </a:stretch>
                  </pic:blipFill>
                  <pic:spPr bwMode="auto">
                    <a:xfrm>
                      <a:off x="0" y="0"/>
                      <a:ext cx="1706880" cy="1059180"/>
                    </a:xfrm>
                    <a:prstGeom prst="rect">
                      <a:avLst/>
                    </a:prstGeom>
                    <a:ln w="38100">
                      <a:solidFill>
                        <a:srgbClr val="000000"/>
                      </a:solidFill>
                    </a:ln>
                  </pic:spPr>
                </pic:pic>
              </a:graphicData>
            </a:graphic>
          </wp:inline>
        </w:drawing>
      </w:r>
      <w:r>
        <w:rPr/>
        <w:t xml:space="preserve">                                       </w:t>
      </w:r>
      <w:r>
        <w:rPr/>
        <w:drawing>
          <wp:inline distT="0" distB="0" distL="0" distR="0">
            <wp:extent cx="1768475" cy="982345"/>
            <wp:effectExtent l="0" t="0" r="0" b="0"/>
            <wp:docPr id="3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16" descr=""/>
                    <pic:cNvPicPr>
                      <a:picLocks noChangeAspect="1" noChangeArrowheads="1"/>
                    </pic:cNvPicPr>
                  </pic:nvPicPr>
                  <pic:blipFill>
                    <a:blip r:embed="rId20"/>
                    <a:stretch>
                      <a:fillRect/>
                    </a:stretch>
                  </pic:blipFill>
                  <pic:spPr bwMode="auto">
                    <a:xfrm>
                      <a:off x="0" y="0"/>
                      <a:ext cx="1768475" cy="982345"/>
                    </a:xfrm>
                    <a:prstGeom prst="rect">
                      <a:avLst/>
                    </a:prstGeom>
                    <a:ln w="38100">
                      <a:solidFill>
                        <a:srgbClr val="000000"/>
                      </a:solidFill>
                    </a:ln>
                  </pic:spPr>
                </pic:pic>
              </a:graphicData>
            </a:graphic>
          </wp:inline>
        </w:drawing>
      </w:r>
    </w:p>
    <w:p>
      <w:pPr>
        <w:pStyle w:val="Normal"/>
        <w:spacing w:lineRule="auto" w:line="360"/>
        <w:jc w:val="both"/>
        <w:rPr/>
      </w:pPr>
      <w:r>
        <w:rPr/>
        <w:t xml:space="preserve">               </w:t>
      </w:r>
      <w:r>
        <w:rPr/>
        <w:t>Figura 10                                                                       Figura 11</w:t>
      </w:r>
      <w:r>
        <mc:AlternateContent>
          <mc:Choice Requires="wps">
            <w:drawing>
              <wp:anchor behindDoc="0" distT="0" distB="0" distL="114935" distR="114935" simplePos="0" locked="0" layoutInCell="0" allowOverlap="1" relativeHeight="45">
                <wp:simplePos x="0" y="0"/>
                <wp:positionH relativeFrom="column">
                  <wp:posOffset>685800</wp:posOffset>
                </wp:positionH>
                <wp:positionV relativeFrom="paragraph">
                  <wp:posOffset>363855</wp:posOffset>
                </wp:positionV>
                <wp:extent cx="4343400" cy="342900"/>
                <wp:effectExtent l="0" t="0" r="0" b="0"/>
                <wp:wrapNone/>
                <wp:docPr id="40" name="Quadro12"/>
                <a:graphic xmlns:a="http://schemas.openxmlformats.org/drawingml/2006/main">
                  <a:graphicData uri="http://schemas.microsoft.com/office/word/2010/wordprocessingShape">
                    <wps:wsp>
                      <wps:cNvSpPr txBox="1"/>
                      <wps:spPr>
                        <a:xfrm>
                          <a:off x="0" y="0"/>
                          <a:ext cx="4343400" cy="342900"/>
                        </a:xfrm>
                        <a:prstGeom prst="rect"/>
                        <a:solidFill>
                          <a:srgbClr val="FFFFFF"/>
                        </a:solidFill>
                      </wps:spPr>
                      <wps:txbx>
                        <w:txbxContent>
                          <w:p>
                            <w:pPr>
                              <w:pStyle w:val="Normal"/>
                              <w:jc w:val="both"/>
                              <w:rPr>
                                <w:sz w:val="20"/>
                                <w:szCs w:val="20"/>
                              </w:rPr>
                            </w:pPr>
                            <w:r>
                              <w:rPr>
                                <w:sz w:val="20"/>
                                <w:szCs w:val="20"/>
                              </w:rPr>
                              <w:t xml:space="preserve">O galope de um cavalo (imagem 10) e um homem alongando (imagem 11). </w:t>
                            </w:r>
                          </w:p>
                        </w:txbxContent>
                      </wps:txbx>
                      <wps:bodyPr anchor="t" lIns="92075" tIns="46355" rIns="92075" bIns="46355">
                        <a:noAutofit/>
                      </wps:bodyPr>
                    </wps:wsp>
                  </a:graphicData>
                </a:graphic>
              </wp:anchor>
            </w:drawing>
          </mc:Choice>
          <mc:Fallback>
            <w:pict>
              <v:rect fillcolor="#FFFFFF" style="position:absolute;rotation:0;width:342pt;height:27pt;mso-wrap-distance-left:9.05pt;mso-wrap-distance-right:9.05pt;mso-wrap-distance-top:0pt;mso-wrap-distance-bottom:0pt;margin-top:28.65pt;mso-position-vertical-relative:text;margin-left:54pt;mso-position-horizontal-relative:text">
                <v:textbox inset="0.100694444444444in,0.0506944444444444in,0.100694444444444in,0.0506944444444444in">
                  <w:txbxContent>
                    <w:p>
                      <w:pPr>
                        <w:pStyle w:val="Normal"/>
                        <w:jc w:val="both"/>
                        <w:rPr>
                          <w:sz w:val="20"/>
                          <w:szCs w:val="20"/>
                        </w:rPr>
                      </w:pPr>
                      <w:r>
                        <w:rPr>
                          <w:sz w:val="20"/>
                          <w:szCs w:val="20"/>
                        </w:rPr>
                        <w:t xml:space="preserve">O galope de um cavalo (imagem 10) e um homem alongando (imagem 11). </w:t>
                      </w:r>
                    </w:p>
                  </w:txbxContent>
                </v:textbox>
                <w10:wrap type="none"/>
              </v:rect>
            </w:pict>
          </mc:Fallback>
        </mc:AlternateConten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b/>
          <w:b/>
        </w:rPr>
      </w:pPr>
      <w:r>
        <w:rPr>
          <w:b/>
        </w:rPr>
        <w:t>Adaptação perceptiva, cinema e a vida moderna</w:t>
      </w:r>
    </w:p>
    <w:p>
      <w:pPr>
        <w:pStyle w:val="Normal"/>
        <w:spacing w:lineRule="auto" w:line="360"/>
        <w:jc w:val="both"/>
        <w:rPr>
          <w:b/>
          <w:b/>
        </w:rPr>
      </w:pPr>
      <w:r>
        <w:rPr>
          <w:b/>
        </w:rPr>
      </w:r>
    </w:p>
    <w:p>
      <w:pPr>
        <w:pStyle w:val="Normal"/>
        <w:spacing w:lineRule="auto" w:line="360"/>
        <w:jc w:val="both"/>
        <w:rPr/>
      </w:pPr>
      <w:r>
        <w:rPr/>
        <w:tab/>
        <w:t xml:space="preserve">Passamos, mesmo que superficialmente, por alguns dos problemas no surgimento do cinema, problemas principalmente de ordem técnica. O que precisa ser examinado ainda são as explicações científicas para o fascínio do cinema e como situá-las no contexto de adaptação perceptiva que o homem moderno esteve sujeito no processo de urbanização ocorrido no século XIX e início do século XX. Afirmo previamente que o exame e a linha adotada neste ensaio apontam para a conclusão de que o cinema não somente se adequava ao ritmo da vida moderna como surgia como uma espécie de experiência prévia para homens e mulheres que se inseriam na modernidade, principalmente aqueles vindos de áreas rurais para as grandes metrópoles.  </w:t>
      </w:r>
    </w:p>
    <w:p>
      <w:pPr>
        <w:pStyle w:val="Normal"/>
        <w:spacing w:lineRule="auto" w:line="360"/>
        <w:jc w:val="both"/>
        <w:rPr/>
      </w:pPr>
      <w:r>
        <w:rPr/>
        <w:tab/>
        <w:t>O cinema precisava de uma explicação científica para a ilusão do movimento, uma vez que, conforme dito, o fascínio de representar o movimento já existia muito antes do advento do cinema. Uma explicação que se dava sobre o efeito fisiológico que explicasse o fascínio das imagens em movimento se referia ao fenômeno da persistência retiniana</w:t>
      </w:r>
      <w:r>
        <w:rPr>
          <w:rStyle w:val="Caracteresdenotaderodap"/>
          <w:rStyle w:val="Ncoradanotaderodap"/>
        </w:rPr>
        <w:footnoteReference w:id="147"/>
      </w:r>
      <w:r>
        <w:rPr/>
        <w:t xml:space="preserve">. De acordo com Rosenfeld: </w:t>
      </w:r>
    </w:p>
    <w:p>
      <w:pPr>
        <w:pStyle w:val="Normal"/>
        <w:spacing w:lineRule="auto" w:line="360"/>
        <w:jc w:val="both"/>
        <w:rPr/>
      </w:pPr>
      <w:r>
        <w:rPr/>
        <w:t xml:space="preserve">  </w:t>
      </w:r>
    </w:p>
    <w:p>
      <w:pPr>
        <w:pStyle w:val="Normal"/>
        <w:spacing w:lineRule="auto" w:line="360"/>
        <w:ind w:left="360" w:right="404" w:hanging="0"/>
        <w:jc w:val="both"/>
        <w:rPr/>
      </w:pPr>
      <w:r>
        <w:rPr>
          <w:i/>
        </w:rPr>
        <w:t>Outra descoberta, desta vez de ordem fisiológica, veio concorrer para invenção do cinema atual: a chamada ‘persistência retínica’ da imagem – ‘defeito’ do nosso órgão visual que torna possível a ilusão do movimento pela apresentação, em sequência rapidíssima, de um número suficiente de fragmentos em que o movimento pode ser decomposto.</w:t>
      </w:r>
      <w:r>
        <w:rPr>
          <w:rStyle w:val="Caracteresdenotaderodap"/>
          <w:rStyle w:val="Ncoradanotaderodap"/>
          <w:i/>
        </w:rPr>
        <w:footnoteReference w:id="148"/>
      </w:r>
      <w:r>
        <w:rPr>
          <w:i/>
        </w:rPr>
        <w:t xml:space="preserve">  </w:t>
      </w:r>
    </w:p>
    <w:p>
      <w:pPr>
        <w:pStyle w:val="Normal"/>
        <w:spacing w:lineRule="auto" w:line="360"/>
        <w:jc w:val="both"/>
        <w:rPr>
          <w:i/>
          <w:i/>
        </w:rPr>
      </w:pPr>
      <w:r>
        <w:rPr>
          <w:i/>
        </w:rPr>
      </w:r>
    </w:p>
    <w:p>
      <w:pPr>
        <w:pStyle w:val="Normal"/>
        <w:spacing w:lineRule="auto" w:line="360"/>
        <w:jc w:val="both"/>
        <w:rPr/>
      </w:pPr>
      <w:r>
        <w:rPr/>
        <w:tab/>
        <w:t xml:space="preserve">Embora esse tipo de explicação fosse, de certa maneira corriqueiro, as pesquisas do final do século XIX no que dizia respeito a explicar os mecanismos psicofísicos do espectador de cinema se direcionavam para explicar aspectos cognitivos, tal como a atenção; mais a frente veremos uma das primeiras tentativas de uma teoria do cinema proposta por Hugo Munsterberg (1863-1916) calcado nos conceitos de atenção e memória, mas antes vamos ver como se configurou o interesse pelo problema da atenção na sociedade contemporânea em acordo com o desenvolvimento industrial e urbano, principalmente na Europa e EUA central.  </w:t>
      </w:r>
    </w:p>
    <w:p>
      <w:pPr>
        <w:pStyle w:val="Normal"/>
        <w:spacing w:lineRule="auto" w:line="360"/>
        <w:jc w:val="both"/>
        <w:rPr/>
      </w:pPr>
      <w:r>
        <w:rPr/>
        <w:tab/>
        <w:t>Jonathan Crary</w:t>
      </w:r>
      <w:r>
        <w:rPr>
          <w:rStyle w:val="Caracteresdenotaderodap"/>
          <w:rStyle w:val="Ncoradanotaderodap"/>
        </w:rPr>
        <w:footnoteReference w:id="149"/>
      </w:r>
      <w:r>
        <w:rPr/>
        <w:t xml:space="preserve"> em seu ensaio sobre a questão da atenção na obra de Manet, em particular, a tela </w:t>
      </w:r>
      <w:r>
        <w:rPr>
          <w:i/>
        </w:rPr>
        <w:t>Na estufa</w:t>
      </w:r>
      <w:r>
        <w:rPr/>
        <w:t xml:space="preserve"> de 1879, analisa a tensão entre a atenção e o desvio do olhar tanto do espectador que observa a tela como da mulher retratada, essa dicotomia entre estabelecer a atenção em um objeto e desviar o olhar, desprender a visão em um mundo em que somos submetidos a inúmeros estímulos visuais constitui uma característica fundamental da vida moderna. Não a toa, Crary enxerga um entrelaçamento entre a questão da atenção e o problema da visibilidade no século XIX como elo de ligação para a tensão acima referida própria da modernidade. </w:t>
      </w:r>
    </w:p>
    <w:p>
      <w:pPr>
        <w:pStyle w:val="Normal"/>
        <w:spacing w:lineRule="auto" w:line="360"/>
        <w:jc w:val="both"/>
        <w:rPr/>
      </w:pPr>
      <w:r>
        <w:rPr/>
      </w:r>
    </w:p>
    <w:p>
      <w:pPr>
        <w:pStyle w:val="Normal"/>
        <w:spacing w:lineRule="auto" w:line="360"/>
        <w:ind w:left="360" w:right="404" w:hanging="0"/>
        <w:jc w:val="both"/>
        <w:rPr/>
      </w:pPr>
      <w:r>
        <w:rPr>
          <w:i/>
        </w:rPr>
        <w:t>Esses e outros pensadores (Bergson e Nietzsche) estavam em contato com um sistema econômico emergente que demandava a atenção de um sujeito em relação a uma ampla gama de novas tarefas produtivas e espetaculares, mas que também era um sistema cujo movimento interno estava erodindo continuamente a base de qualquer atenção disciplinar. Parte da lógica cultural do capitalismo exige que aceitemos como natural a mudança rápida da nossa atenção de uma coisa para outra. O capital, como troca e circulação aceleradas, necessariamente produz esse tipo de adaptabilidade perceptiva humana e torna-se um regime de atenção e distração recíprocas. (...) O problema da atenção está entrelaçado, embora não seja coincidente, com a história da visibilidade no fim do século XIX. Em uma grande variedade de discursos e práticas institucionais, nas artes e nas ciências humanas, a atenção tornou-se parte de uma densa rede de textos e técnicas ao redor da qual a verdade da visão foi organizada e estruturada. É por meio da estrutura da atenção, um tipo de inversão do modelo panóptico</w:t>
      </w:r>
      <w:r>
        <w:rPr>
          <w:rStyle w:val="Caracteresdenotaderodap"/>
          <w:rStyle w:val="Ncoradanotaderodap"/>
          <w:i/>
        </w:rPr>
        <w:footnoteReference w:id="150"/>
      </w:r>
      <w:r>
        <w:rPr>
          <w:i/>
        </w:rPr>
        <w:t xml:space="preserve"> de Foucault, que o corpo que vê é organizado e tornado produtivo, seja como estudante, trabalhador, consumidor ou paciente. No início da década de 1870, e em toda a década de 1880, houve uma explosão da pesquisa e reflexão sobre essa questão; ela dominou o trabalho influente de Fechner, Wilhelm Wundt, Edward Bradford Titchner, Theodor Lipps, Carl Stumpf, Oswald Kulpe, Ernst Mach, William James e muitos outros, com questões sobre o status empírico e epistemológico da atenção.</w:t>
      </w:r>
      <w:r>
        <w:rPr>
          <w:rStyle w:val="Caracteresdenotaderodap"/>
          <w:rStyle w:val="Ncoradanotaderodap"/>
          <w:i/>
        </w:rPr>
        <w:footnoteReference w:id="151"/>
      </w:r>
      <w:r>
        <w:rPr>
          <w:i/>
        </w:rPr>
        <w:t xml:space="preserve">        </w:t>
      </w:r>
    </w:p>
    <w:p>
      <w:pPr>
        <w:pStyle w:val="Normal"/>
        <w:spacing w:lineRule="auto" w:line="360"/>
        <w:jc w:val="both"/>
        <w:rPr>
          <w:i/>
          <w:i/>
        </w:rPr>
      </w:pPr>
      <w:r>
        <w:rPr>
          <w:i/>
        </w:rPr>
      </w:r>
    </w:p>
    <w:p>
      <w:pPr>
        <w:pStyle w:val="Normal"/>
        <w:spacing w:lineRule="auto" w:line="360"/>
        <w:jc w:val="center"/>
        <w:rPr/>
      </w:pPr>
      <w:r>
        <w:rPr/>
        <w:drawing>
          <wp:inline distT="0" distB="0" distL="0" distR="0">
            <wp:extent cx="2266950" cy="1711325"/>
            <wp:effectExtent l="0" t="0" r="0" b="0"/>
            <wp:docPr id="41"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17" descr=""/>
                    <pic:cNvPicPr>
                      <a:picLocks noChangeAspect="1" noChangeArrowheads="1"/>
                    </pic:cNvPicPr>
                  </pic:nvPicPr>
                  <pic:blipFill>
                    <a:blip r:embed="rId21"/>
                    <a:stretch>
                      <a:fillRect/>
                    </a:stretch>
                  </pic:blipFill>
                  <pic:spPr bwMode="auto">
                    <a:xfrm>
                      <a:off x="0" y="0"/>
                      <a:ext cx="2266950" cy="1711325"/>
                    </a:xfrm>
                    <a:prstGeom prst="rect">
                      <a:avLst/>
                    </a:prstGeom>
                    <a:ln w="38100">
                      <a:solidFill>
                        <a:srgbClr val="000000"/>
                      </a:solidFill>
                    </a:ln>
                  </pic:spPr>
                </pic:pic>
              </a:graphicData>
            </a:graphic>
          </wp:inline>
        </w:drawing>
      </w:r>
      <w:r>
        <w:rPr/>
        <w:t xml:space="preserve">                             </w:t>
      </w:r>
      <w:r>
        <w:rPr/>
        <w:drawing>
          <wp:inline distT="0" distB="0" distL="0" distR="0">
            <wp:extent cx="1704340" cy="1720850"/>
            <wp:effectExtent l="0" t="0" r="0" b="0"/>
            <wp:docPr id="42"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18" descr=""/>
                    <pic:cNvPicPr>
                      <a:picLocks noChangeAspect="1" noChangeArrowheads="1"/>
                    </pic:cNvPicPr>
                  </pic:nvPicPr>
                  <pic:blipFill>
                    <a:blip r:embed="rId22"/>
                    <a:stretch>
                      <a:fillRect/>
                    </a:stretch>
                  </pic:blipFill>
                  <pic:spPr bwMode="auto">
                    <a:xfrm>
                      <a:off x="0" y="0"/>
                      <a:ext cx="1704340" cy="1720850"/>
                    </a:xfrm>
                    <a:prstGeom prst="rect">
                      <a:avLst/>
                    </a:prstGeom>
                    <a:ln w="38100">
                      <a:solidFill>
                        <a:srgbClr val="000000"/>
                      </a:solidFill>
                    </a:ln>
                  </pic:spPr>
                </pic:pic>
              </a:graphicData>
            </a:graphic>
          </wp:inline>
        </w:drawing>
      </w:r>
    </w:p>
    <w:p>
      <w:pPr>
        <w:pStyle w:val="Normal"/>
        <w:spacing w:lineRule="auto" w:line="360"/>
        <w:jc w:val="both"/>
        <w:rPr/>
      </w:pPr>
      <w:r>
        <w:rPr/>
        <w:t xml:space="preserve">                      </w:t>
      </w:r>
      <w:r>
        <w:rPr/>
        <w:t>Figura 12                                                                   Figura 13</w:t>
      </w:r>
    </w:p>
    <w:p>
      <w:pPr>
        <w:pStyle w:val="Normal"/>
        <w:spacing w:lineRule="auto" w:line="360"/>
        <w:jc w:val="both"/>
        <w:rPr>
          <w:lang w:val="pt-BR" w:eastAsia="pt-BR"/>
        </w:rPr>
      </w:pPr>
      <w:r>
        <w:rPr>
          <w:lang w:val="pt-BR" w:eastAsia="pt-BR"/>
        </w:rPr>
      </w:r>
      <w:r>
        <mc:AlternateContent>
          <mc:Choice Requires="wps">
            <w:drawing>
              <wp:anchor behindDoc="0" distT="0" distB="0" distL="114935" distR="114935" simplePos="0" locked="0" layoutInCell="0" allowOverlap="1" relativeHeight="46">
                <wp:simplePos x="0" y="0"/>
                <wp:positionH relativeFrom="column">
                  <wp:posOffset>571500</wp:posOffset>
                </wp:positionH>
                <wp:positionV relativeFrom="paragraph">
                  <wp:posOffset>161290</wp:posOffset>
                </wp:positionV>
                <wp:extent cx="4343400" cy="342900"/>
                <wp:effectExtent l="0" t="0" r="0" b="0"/>
                <wp:wrapNone/>
                <wp:docPr id="43" name="Quadro13"/>
                <a:graphic xmlns:a="http://schemas.openxmlformats.org/drawingml/2006/main">
                  <a:graphicData uri="http://schemas.microsoft.com/office/word/2010/wordprocessingShape">
                    <wps:wsp>
                      <wps:cNvSpPr txBox="1"/>
                      <wps:spPr>
                        <a:xfrm>
                          <a:off x="0" y="0"/>
                          <a:ext cx="4343400" cy="342900"/>
                        </a:xfrm>
                        <a:prstGeom prst="rect"/>
                        <a:solidFill>
                          <a:srgbClr val="FFFFFF"/>
                        </a:solidFill>
                      </wps:spPr>
                      <wps:txbx>
                        <w:txbxContent>
                          <w:p>
                            <w:pPr>
                              <w:pStyle w:val="Normal"/>
                              <w:jc w:val="center"/>
                              <w:rPr/>
                            </w:pPr>
                            <w:r>
                              <w:rPr>
                                <w:sz w:val="20"/>
                                <w:szCs w:val="20"/>
                              </w:rPr>
                              <w:t xml:space="preserve">À esquerda o quadro </w:t>
                            </w:r>
                            <w:r>
                              <w:rPr>
                                <w:i/>
                                <w:sz w:val="20"/>
                                <w:szCs w:val="20"/>
                              </w:rPr>
                              <w:t>Na estufa</w:t>
                            </w:r>
                            <w:r>
                              <w:rPr>
                                <w:sz w:val="20"/>
                                <w:szCs w:val="20"/>
                              </w:rPr>
                              <w:t xml:space="preserve"> de 1879 e a direita detalhe do quadro.</w:t>
                            </w:r>
                          </w:p>
                        </w:txbxContent>
                      </wps:txbx>
                      <wps:bodyPr anchor="t" lIns="92075" tIns="46355" rIns="92075" bIns="46355">
                        <a:noAutofit/>
                      </wps:bodyPr>
                    </wps:wsp>
                  </a:graphicData>
                </a:graphic>
              </wp:anchor>
            </w:drawing>
          </mc:Choice>
          <mc:Fallback>
            <w:pict>
              <v:rect fillcolor="#FFFFFF" style="position:absolute;rotation:0;width:342pt;height:27pt;mso-wrap-distance-left:9.05pt;mso-wrap-distance-right:9.05pt;mso-wrap-distance-top:0pt;mso-wrap-distance-bottom:0pt;margin-top:12.7pt;mso-position-vertical-relative:text;margin-left:45pt;mso-position-horizontal-relative:text">
                <v:textbox inset="0.100694444444444in,0.0506944444444444in,0.100694444444444in,0.0506944444444444in">
                  <w:txbxContent>
                    <w:p>
                      <w:pPr>
                        <w:pStyle w:val="Normal"/>
                        <w:jc w:val="center"/>
                        <w:rPr/>
                      </w:pPr>
                      <w:r>
                        <w:rPr>
                          <w:sz w:val="20"/>
                          <w:szCs w:val="20"/>
                        </w:rPr>
                        <w:t xml:space="preserve">À esquerda o quadro </w:t>
                      </w:r>
                      <w:r>
                        <w:rPr>
                          <w:i/>
                          <w:sz w:val="20"/>
                          <w:szCs w:val="20"/>
                        </w:rPr>
                        <w:t>Na estufa</w:t>
                      </w:r>
                      <w:r>
                        <w:rPr>
                          <w:sz w:val="20"/>
                          <w:szCs w:val="20"/>
                        </w:rPr>
                        <w:t xml:space="preserve"> de 1879 e a direita detalhe do quadro.</w:t>
                      </w:r>
                    </w:p>
                  </w:txbxContent>
                </v:textbox>
                <w10:wrap type="none"/>
              </v:rect>
            </w:pict>
          </mc:Fallback>
        </mc:AlternateContent>
      </w:r>
    </w:p>
    <w:p>
      <w:pPr>
        <w:pStyle w:val="Normal"/>
        <w:spacing w:lineRule="auto" w:line="360"/>
        <w:jc w:val="both"/>
        <w:rPr/>
      </w:pPr>
      <w:r>
        <w:rPr/>
        <w:t xml:space="preserve">       </w:t>
      </w:r>
    </w:p>
    <w:p>
      <w:pPr>
        <w:pStyle w:val="Normal"/>
        <w:spacing w:lineRule="auto" w:line="360"/>
        <w:jc w:val="both"/>
        <w:rPr/>
      </w:pPr>
      <w:r>
        <w:rPr/>
        <w:tab/>
      </w:r>
    </w:p>
    <w:p>
      <w:pPr>
        <w:pStyle w:val="Normal"/>
        <w:spacing w:lineRule="auto" w:line="360"/>
        <w:jc w:val="both"/>
        <w:rPr/>
      </w:pPr>
      <w:r>
        <w:rPr/>
        <w:tab/>
        <w:t xml:space="preserve">Para Crary a quantidade de trabalhos de pesquisa sobre o tema da atenção indicava uma crise no status do sujeito perceptivo. Os estudos da atenção no final do século XIX propunham uma explicação racional e objetiva para o que para alguns se mostraria irracionalizável. Perguntas como porque a atenção filtra algumas sensações e não outras? A atenção é um ato voluntário ou automático? Em que medida utiliza esforço motor? Enfim, essas e outras questões permeavam a amplitude daqueles que se debruçavam sobre o problema. </w:t>
      </w:r>
    </w:p>
    <w:p>
      <w:pPr>
        <w:pStyle w:val="Normal"/>
        <w:spacing w:lineRule="auto" w:line="360"/>
        <w:jc w:val="both"/>
        <w:rPr/>
      </w:pPr>
      <w:r>
        <w:rPr/>
      </w:r>
    </w:p>
    <w:p>
      <w:pPr>
        <w:pStyle w:val="Normal"/>
        <w:spacing w:lineRule="auto" w:line="360"/>
        <w:ind w:left="360" w:right="404" w:hanging="0"/>
        <w:jc w:val="both"/>
        <w:rPr/>
      </w:pPr>
      <w:r>
        <w:rPr>
          <w:i/>
        </w:rPr>
        <w:t>Na maioria dos casos, no entanto, a atenção implicava algum processo de organização perceptiva ou mental no qual um número limitado de objetos ou estímulos eram isolados de um contexto maior de possíveis atrações.</w:t>
      </w:r>
      <w:r>
        <w:rPr>
          <w:rStyle w:val="Caracteresdenotaderodap"/>
          <w:rStyle w:val="Ncoradanotaderodap"/>
          <w:i/>
        </w:rPr>
        <w:footnoteReference w:id="152"/>
      </w:r>
      <w:r>
        <w:rPr>
          <w:i/>
        </w:rPr>
        <w:t xml:space="preserve">     </w:t>
      </w:r>
    </w:p>
    <w:p>
      <w:pPr>
        <w:pStyle w:val="Normal"/>
        <w:spacing w:lineRule="auto" w:line="360"/>
        <w:jc w:val="both"/>
        <w:rPr>
          <w:i/>
          <w:i/>
        </w:rPr>
      </w:pPr>
      <w:r>
        <w:rPr>
          <w:i/>
        </w:rPr>
      </w:r>
    </w:p>
    <w:p>
      <w:pPr>
        <w:pStyle w:val="Normal"/>
        <w:spacing w:lineRule="auto" w:line="360"/>
        <w:jc w:val="both"/>
        <w:rPr/>
      </w:pPr>
      <w:r>
        <w:rPr/>
        <w:tab/>
        <w:t>Os trabalhos de Wilhem Wundt</w:t>
      </w:r>
      <w:r>
        <w:rPr>
          <w:rStyle w:val="Caracteresdenotaderodap"/>
          <w:rStyle w:val="Ncoradanotaderodap"/>
        </w:rPr>
        <w:footnoteReference w:id="153"/>
      </w:r>
      <w:r>
        <w:rPr/>
        <w:t xml:space="preserve"> sobre a atenção exerceram grande influência, uma vez que ele não discordava de que a ontogenia repete a filogênese (tese muito popular na segunda metade do século XIX), condição necessária diante do poder adquirido nas décadas de 1870 e 1880 de argumentos evolutivos no cenário científico. Segundo Wundt há um substrato anatômico para a atenção e o mesmo se localiza nos lobos cerebrais frontais. A atenção assumiu, após os trabalhos de Wundt, a condição de uma das funções mais integrativas, uma vez que a constituição de nosso organismo assume uma hierarquia. Crary sobre a teoria da atenção de Wundt:</w:t>
      </w:r>
    </w:p>
    <w:p>
      <w:pPr>
        <w:pStyle w:val="Normal"/>
        <w:spacing w:lineRule="auto" w:line="360"/>
        <w:jc w:val="both"/>
        <w:rPr/>
      </w:pPr>
      <w:r>
        <w:rPr/>
      </w:r>
    </w:p>
    <w:p>
      <w:pPr>
        <w:pStyle w:val="Normal"/>
        <w:spacing w:lineRule="auto" w:line="360"/>
        <w:ind w:left="360" w:right="404" w:hanging="0"/>
        <w:jc w:val="both"/>
        <w:rPr/>
      </w:pPr>
      <w:r>
        <w:rPr>
          <w:i/>
        </w:rPr>
        <w:t>Talvez mais significativo tenha sido o fato de o modelo de atenção de Wundt, que ele eficazmente equiparou com a vontade, ter se baseado na ideia de que vários processos sensoriais, motores e mentais eram necessariamente inibidos para se alcançar a claridade e o foco restritos que caracterizavam a atenção. O fato de a inibição (ou repressão) ser parte constitutiva da percepção indica uma reordenação decisiva da visualidade, o que sugere a nova importância de modelos baseados em uma economia de forças e não numa ótica de representação. Isto é, um observador normal é conceituado não apenas em relação aos objetos de atenção, mas também em relação ao que não é percebido, às distrações, margens e periferias excluídas ou reprimidas do campo perceptivo.</w:t>
      </w:r>
      <w:r>
        <w:rPr>
          <w:rStyle w:val="Caracteresdenotaderodap"/>
          <w:rStyle w:val="Ncoradanotaderodap"/>
          <w:i/>
        </w:rPr>
        <w:footnoteReference w:id="154"/>
      </w:r>
      <w:r>
        <w:rPr>
          <w:i/>
        </w:rPr>
        <w:t xml:space="preserve">        </w:t>
      </w:r>
    </w:p>
    <w:p>
      <w:pPr>
        <w:pStyle w:val="Normal"/>
        <w:spacing w:lineRule="auto" w:line="360"/>
        <w:ind w:right="44" w:hanging="0"/>
        <w:jc w:val="both"/>
        <w:rPr>
          <w:i/>
          <w:i/>
        </w:rPr>
      </w:pPr>
      <w:r>
        <w:rPr>
          <w:i/>
        </w:rPr>
      </w:r>
    </w:p>
    <w:p>
      <w:pPr>
        <w:pStyle w:val="Normal"/>
        <w:spacing w:lineRule="auto" w:line="360"/>
        <w:ind w:right="44" w:hanging="0"/>
        <w:jc w:val="both"/>
        <w:rPr/>
      </w:pPr>
      <w:r>
        <w:rPr>
          <w:b/>
        </w:rPr>
        <w:t>Os hiperestímulos de Simmell</w:t>
      </w:r>
      <w:r>
        <w:rPr>
          <w:rStyle w:val="Caracteresdenotaderodap"/>
          <w:rStyle w:val="Ncoradanotaderodap"/>
          <w:b/>
        </w:rPr>
        <w:footnoteReference w:id="155"/>
      </w:r>
      <w:r>
        <w:rPr>
          <w:b/>
        </w:rPr>
        <w:t xml:space="preserve"> e a atitude Blasé</w:t>
      </w:r>
      <w:r>
        <w:rPr>
          <w:rStyle w:val="Caracteresdenotaderodap"/>
          <w:rStyle w:val="Ncoradanotaderodap"/>
          <w:b/>
        </w:rPr>
        <w:footnoteReference w:id="156"/>
      </w:r>
      <w:r>
        <w:rPr>
          <w:b/>
        </w:rPr>
        <w:t xml:space="preserve"> </w:t>
      </w:r>
    </w:p>
    <w:p>
      <w:pPr>
        <w:pStyle w:val="Normal"/>
        <w:spacing w:lineRule="auto" w:line="360"/>
        <w:ind w:right="44" w:hanging="0"/>
        <w:jc w:val="both"/>
        <w:rPr>
          <w:b/>
          <w:b/>
        </w:rPr>
      </w:pPr>
      <w:r>
        <w:rPr>
          <w:b/>
        </w:rPr>
      </w:r>
    </w:p>
    <w:p>
      <w:pPr>
        <w:pStyle w:val="Normal"/>
        <w:spacing w:lineRule="auto" w:line="360"/>
        <w:ind w:right="44" w:hanging="0"/>
        <w:jc w:val="both"/>
        <w:rPr/>
      </w:pPr>
      <w:r>
        <w:rPr/>
        <w:tab/>
        <w:t>Ben Singer entende serem três as dimensões abarcadas pelo termo modernidade que assumiram o cenário no final do século XIX, a saber, a dimensão política e moral, que sugere uma espécie de ‘desamparo ideológico’ de um mundo em que as normas e valores são constantemente questionados, fruto de uma dessacralização dos valores do antigo regime. Numa dimensão cognitiva, a ideia de modernidade se insere em uma racionalidade pelo qual o homem moderno pode perceber e construir seu mundo, sem, no entanto, sair de uma postura instrumental dessa racionalidade</w:t>
      </w:r>
      <w:r>
        <w:rPr>
          <w:rStyle w:val="Caracteresdenotaderodap"/>
          <w:rStyle w:val="Ncoradanotaderodap"/>
        </w:rPr>
        <w:footnoteReference w:id="157"/>
      </w:r>
      <w:r>
        <w:rPr/>
        <w:t>. A terceira dimensão apontada por Singer se refere a um conceito socioeconômico em que a modernidade indica uma quantidade exacerbada de mudanças tecnológicas e sociais e que chegaria a um ponto critico no final do século XIX, com o desenvolvimento industrial, a urbanização acelerada das cidades e consequentemente o crescimento populacional</w:t>
      </w:r>
      <w:r>
        <w:rPr>
          <w:rStyle w:val="Caracteresdenotaderodap"/>
          <w:rStyle w:val="Ncoradanotaderodap"/>
        </w:rPr>
        <w:footnoteReference w:id="158"/>
      </w:r>
      <w:r>
        <w:rPr/>
        <w:t xml:space="preserve">. A terceira dimensão, a socioeconômica propiciaria o surgimento, segundo as palavras de Singer, de uma cultura de consumo de massa. Na confluência entre essas três possibilidades de entendimento do que é a vida moderna, Singer sintetiza o conceito moderno como um </w:t>
      </w:r>
      <w:r>
        <w:rPr>
          <w:i/>
        </w:rPr>
        <w:t>bombardeio de estímulos</w:t>
      </w:r>
      <w:r>
        <w:rPr/>
        <w:t xml:space="preserve">.    </w:t>
      </w:r>
    </w:p>
    <w:p>
      <w:pPr>
        <w:pStyle w:val="Normal"/>
        <w:spacing w:lineRule="auto" w:line="360"/>
        <w:ind w:right="44" w:hanging="0"/>
        <w:jc w:val="both"/>
        <w:rPr/>
      </w:pPr>
      <w:r>
        <w:rPr/>
        <w:tab/>
        <w:t xml:space="preserve">À sua definição da modernidade como um bombardeio de estímulos, Singer toma emprestado um termo cunhado por um americano em 1910 e que define a vida moderna pela palavra </w:t>
      </w:r>
      <w:r>
        <w:rPr>
          <w:i/>
        </w:rPr>
        <w:t>hiperestímulo</w:t>
      </w:r>
      <w:r>
        <w:rPr/>
        <w:t xml:space="preserve">, segundo Singer termo mais bem apropriado que o seu. </w:t>
      </w:r>
    </w:p>
    <w:p>
      <w:pPr>
        <w:pStyle w:val="Normal"/>
        <w:spacing w:lineRule="auto" w:line="360"/>
        <w:ind w:right="44" w:hanging="0"/>
        <w:jc w:val="both"/>
        <w:rPr/>
      </w:pPr>
      <w:r>
        <w:rPr/>
      </w:r>
    </w:p>
    <w:p>
      <w:pPr>
        <w:pStyle w:val="Normal"/>
        <w:spacing w:lineRule="auto" w:line="360"/>
        <w:ind w:left="360" w:right="404" w:hanging="0"/>
        <w:jc w:val="both"/>
        <w:rPr>
          <w:i/>
          <w:i/>
        </w:rPr>
      </w:pPr>
      <w:r>
        <w:rPr>
          <w:i/>
        </w:rPr>
        <w:t>A imprensa ilustrada oferece um registro particularmente rico da fixação da cultura nos ataques sensoriais da modernidade. Revistas cômicas e jornais sensacionalistas observaram de perto o caos do ambiente moderno com um alarmismo distópico que, em graus variáveis, caracterizou muito do discurso do período sobre a vida moderna.</w:t>
      </w:r>
      <w:r>
        <w:rPr>
          <w:rStyle w:val="Caracteresdenotaderodap"/>
          <w:rStyle w:val="Ncoradanotaderodap"/>
          <w:i/>
        </w:rPr>
        <w:footnoteReference w:id="159"/>
      </w:r>
      <w:r>
        <w:rPr>
          <w:i/>
        </w:rPr>
        <w:t xml:space="preserve">      </w:t>
      </w:r>
    </w:p>
    <w:p>
      <w:pPr>
        <w:pStyle w:val="Normal"/>
        <w:spacing w:lineRule="auto" w:line="360"/>
        <w:ind w:left="360" w:right="404" w:hanging="0"/>
        <w:jc w:val="both"/>
        <w:rPr>
          <w:i/>
          <w:i/>
        </w:rPr>
      </w:pPr>
      <w:r>
        <w:rPr>
          <w:i/>
        </w:rPr>
      </w:r>
    </w:p>
    <w:p>
      <w:pPr>
        <w:pStyle w:val="Normal"/>
        <w:spacing w:lineRule="auto" w:line="360"/>
        <w:ind w:right="44" w:hanging="0"/>
        <w:jc w:val="both"/>
        <w:rPr>
          <w:i/>
          <w:i/>
        </w:rPr>
      </w:pPr>
      <w:r>
        <w:rPr>
          <w:i/>
        </w:rPr>
      </w:r>
    </w:p>
    <w:p>
      <w:pPr>
        <w:pStyle w:val="Normal"/>
        <w:spacing w:lineRule="auto" w:line="360"/>
        <w:ind w:right="44" w:hanging="0"/>
        <w:jc w:val="center"/>
        <w:rPr/>
      </w:pPr>
      <w:r>
        <w:rPr/>
        <w:drawing>
          <wp:inline distT="0" distB="0" distL="0" distR="0">
            <wp:extent cx="1483995" cy="1370965"/>
            <wp:effectExtent l="0" t="0" r="0" b="0"/>
            <wp:docPr id="44"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19" descr=""/>
                    <pic:cNvPicPr>
                      <a:picLocks noChangeAspect="1" noChangeArrowheads="1"/>
                    </pic:cNvPicPr>
                  </pic:nvPicPr>
                  <pic:blipFill>
                    <a:blip r:embed="rId23"/>
                    <a:stretch>
                      <a:fillRect/>
                    </a:stretch>
                  </pic:blipFill>
                  <pic:spPr bwMode="auto">
                    <a:xfrm>
                      <a:off x="0" y="0"/>
                      <a:ext cx="1483995" cy="1370965"/>
                    </a:xfrm>
                    <a:prstGeom prst="rect">
                      <a:avLst/>
                    </a:prstGeom>
                    <a:ln w="38100">
                      <a:solidFill>
                        <a:srgbClr val="000000"/>
                      </a:solidFill>
                    </a:ln>
                  </pic:spPr>
                </pic:pic>
              </a:graphicData>
            </a:graphic>
          </wp:inline>
        </w:drawing>
      </w:r>
      <w:r>
        <w:rPr/>
        <w:t xml:space="preserve">                                                      </w:t>
      </w:r>
      <w:r>
        <w:rPr/>
        <w:drawing>
          <wp:inline distT="0" distB="0" distL="0" distR="0">
            <wp:extent cx="1656715" cy="1350645"/>
            <wp:effectExtent l="0" t="0" r="0" b="0"/>
            <wp:docPr id="45"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20" descr=""/>
                    <pic:cNvPicPr>
                      <a:picLocks noChangeAspect="1" noChangeArrowheads="1"/>
                    </pic:cNvPicPr>
                  </pic:nvPicPr>
                  <pic:blipFill>
                    <a:blip r:embed="rId24"/>
                    <a:stretch>
                      <a:fillRect/>
                    </a:stretch>
                  </pic:blipFill>
                  <pic:spPr bwMode="auto">
                    <a:xfrm>
                      <a:off x="0" y="0"/>
                      <a:ext cx="1656715" cy="1350645"/>
                    </a:xfrm>
                    <a:prstGeom prst="rect">
                      <a:avLst/>
                    </a:prstGeom>
                    <a:ln w="38100">
                      <a:solidFill>
                        <a:srgbClr val="000000"/>
                      </a:solidFill>
                    </a:ln>
                  </pic:spPr>
                </pic:pic>
              </a:graphicData>
            </a:graphic>
          </wp:inline>
        </w:drawing>
      </w:r>
      <w:r>
        <mc:AlternateContent>
          <mc:Choice Requires="wps">
            <w:drawing>
              <wp:anchor behindDoc="0" distT="0" distB="0" distL="114935" distR="114935" simplePos="0" locked="0" layoutInCell="0" allowOverlap="1" relativeHeight="47">
                <wp:simplePos x="0" y="0"/>
                <wp:positionH relativeFrom="column">
                  <wp:posOffset>1943100</wp:posOffset>
                </wp:positionH>
                <wp:positionV relativeFrom="paragraph">
                  <wp:posOffset>114300</wp:posOffset>
                </wp:positionV>
                <wp:extent cx="1257300" cy="1252220"/>
                <wp:effectExtent l="0" t="0" r="0" b="0"/>
                <wp:wrapNone/>
                <wp:docPr id="46" name="Quadro14"/>
                <a:graphic xmlns:a="http://schemas.openxmlformats.org/drawingml/2006/main">
                  <a:graphicData uri="http://schemas.microsoft.com/office/word/2010/wordprocessingShape">
                    <wps:wsp>
                      <wps:cNvSpPr txBox="1"/>
                      <wps:spPr>
                        <a:xfrm>
                          <a:off x="0" y="0"/>
                          <a:ext cx="1257300" cy="1252220"/>
                        </a:xfrm>
                        <a:prstGeom prst="rect"/>
                        <a:solidFill>
                          <a:srgbClr val="FFFFFF"/>
                        </a:solidFill>
                      </wps:spPr>
                      <wps:txbx>
                        <w:txbxContent>
                          <w:p>
                            <w:pPr>
                              <w:pStyle w:val="Normal"/>
                              <w:jc w:val="center"/>
                              <w:rPr>
                                <w:sz w:val="20"/>
                                <w:szCs w:val="20"/>
                              </w:rPr>
                            </w:pPr>
                            <w:r>
                              <w:rPr>
                                <w:sz w:val="20"/>
                                <w:szCs w:val="20"/>
                              </w:rPr>
                              <w:t>Imagens da Times Square, Nova York, 1909. Podemos perceber na foto da esquerda a quantidade exagerada de cartazes.</w:t>
                            </w:r>
                          </w:p>
                        </w:txbxContent>
                      </wps:txbx>
                      <wps:bodyPr anchor="t" lIns="92075" tIns="46355" rIns="92075" bIns="46355">
                        <a:noAutofit/>
                      </wps:bodyPr>
                    </wps:wsp>
                  </a:graphicData>
                </a:graphic>
              </wp:anchor>
            </w:drawing>
          </mc:Choice>
          <mc:Fallback>
            <w:pict>
              <v:rect fillcolor="#FFFFFF" style="position:absolute;rotation:0;width:99pt;height:98.6pt;mso-wrap-distance-left:9.05pt;mso-wrap-distance-right:9.05pt;mso-wrap-distance-top:0pt;mso-wrap-distance-bottom:0pt;margin-top:9pt;mso-position-vertical-relative:text;margin-left:153pt;mso-position-horizontal-relative:text">
                <v:textbox inset="0.100694444444444in,0.0506944444444444in,0.100694444444444in,0.0506944444444444in">
                  <w:txbxContent>
                    <w:p>
                      <w:pPr>
                        <w:pStyle w:val="Normal"/>
                        <w:jc w:val="center"/>
                        <w:rPr>
                          <w:sz w:val="20"/>
                          <w:szCs w:val="20"/>
                        </w:rPr>
                      </w:pPr>
                      <w:r>
                        <w:rPr>
                          <w:sz w:val="20"/>
                          <w:szCs w:val="20"/>
                        </w:rPr>
                        <w:t>Imagens da Times Square, Nova York, 1909. Podemos perceber na foto da esquerda a quantidade exagerada de cartazes.</w:t>
                      </w:r>
                    </w:p>
                  </w:txbxContent>
                </v:textbox>
                <w10:wrap type="none"/>
              </v:rect>
            </w:pict>
          </mc:Fallback>
        </mc:AlternateContent>
      </w:r>
    </w:p>
    <w:p>
      <w:pPr>
        <w:pStyle w:val="Normal"/>
        <w:spacing w:lineRule="auto" w:line="360"/>
        <w:ind w:right="44" w:hanging="0"/>
        <w:jc w:val="both"/>
        <w:rPr/>
      </w:pPr>
      <w:r>
        <w:rPr/>
        <w:t xml:space="preserve">         </w:t>
      </w:r>
      <w:r>
        <w:rPr/>
        <w:t>Figura 14</w:t>
      </w:r>
      <w:r>
        <w:rPr>
          <w:rStyle w:val="Caracteresdenotaderodap"/>
          <w:rStyle w:val="Ncoradanotaderodap"/>
        </w:rPr>
        <w:footnoteReference w:id="160"/>
      </w:r>
      <w:r>
        <w:rPr/>
        <w:t xml:space="preserve">                                                                             Figura 15</w:t>
      </w:r>
    </w:p>
    <w:p>
      <w:pPr>
        <w:pStyle w:val="Normal"/>
        <w:spacing w:lineRule="auto" w:line="360"/>
        <w:ind w:right="44" w:hanging="0"/>
        <w:jc w:val="both"/>
        <w:rPr/>
      </w:pPr>
      <w:r>
        <w:rPr/>
      </w:r>
    </w:p>
    <w:p>
      <w:pPr>
        <w:pStyle w:val="Normal"/>
        <w:spacing w:lineRule="auto" w:line="360"/>
        <w:ind w:right="44" w:hanging="0"/>
        <w:jc w:val="both"/>
        <w:rPr/>
      </w:pPr>
      <w:r>
        <w:rPr/>
        <w:tab/>
        <w:t xml:space="preserve">Quando Simmel escreveu seu ensaio </w:t>
      </w:r>
      <w:r>
        <w:rPr>
          <w:i/>
        </w:rPr>
        <w:t>The metropolis and mental life</w:t>
      </w:r>
      <w:r>
        <w:rPr/>
        <w:t xml:space="preserve"> em 1902 encontrava-se no olho do furacão da modernidade, é um momento, para alguns, próximo do canto do cisne desse desenvolvimento do capitalismo e que culminaria com a primeira guerra mundial em 1914. Para Simmel, a matriz psicológica do homem moderno consiste numa intensificação dos estímulos nervosos, os hiperestímulos, alternado de maneira brusca por estímulos externos e internos. Uma reação ao excesso de estímulos, ou melhor, dizendo, uma adaptação foi o que Simmel chamou de atitude Blasé:</w:t>
      </w:r>
    </w:p>
    <w:p>
      <w:pPr>
        <w:pStyle w:val="Normal"/>
        <w:spacing w:lineRule="auto" w:line="360"/>
        <w:ind w:right="44" w:hanging="0"/>
        <w:jc w:val="both"/>
        <w:rPr/>
      </w:pPr>
      <w:r>
        <w:rPr/>
      </w:r>
    </w:p>
    <w:p>
      <w:pPr>
        <w:pStyle w:val="Normal"/>
        <w:spacing w:lineRule="auto" w:line="360"/>
        <w:ind w:left="360" w:right="404" w:hanging="0"/>
        <w:jc w:val="both"/>
        <w:rPr/>
      </w:pPr>
      <w:r>
        <w:rPr>
          <w:i/>
        </w:rPr>
        <w:t>Os mesmos fatores que assim redundaram na exatidão e precisão minuciosa da forma de vida redundaram também em uma estrutura da mais alta impessoalidade; por outro lado, promoveram uma subjetividade altamente pessoal. Não há talvez fenômeno psíquico que tenha sido tão incondicionalmente reservado à metrópole quanto a atitude blasé. A atitude blasé resulta em primeiro lugar dos estímulos contrastantes que, em rápidas mudanças e compressão concentrada, são impostos aos nervos.</w:t>
      </w:r>
      <w:r>
        <w:rPr>
          <w:rStyle w:val="Caracteresdenotaderodap"/>
          <w:rStyle w:val="Ncoradanotaderodap"/>
          <w:i/>
        </w:rPr>
        <w:footnoteReference w:id="161"/>
      </w:r>
      <w:r>
        <w:rPr>
          <w:i/>
        </w:rPr>
        <w:t xml:space="preserve">               </w:t>
      </w:r>
    </w:p>
    <w:p>
      <w:pPr>
        <w:pStyle w:val="Normal"/>
        <w:spacing w:lineRule="auto" w:line="360"/>
        <w:ind w:right="44" w:hanging="0"/>
        <w:jc w:val="both"/>
        <w:rPr>
          <w:i/>
          <w:i/>
        </w:rPr>
      </w:pPr>
      <w:r>
        <w:rPr>
          <w:i/>
        </w:rPr>
      </w:r>
    </w:p>
    <w:p>
      <w:pPr>
        <w:pStyle w:val="Normal"/>
        <w:spacing w:lineRule="auto" w:line="360"/>
        <w:ind w:right="44" w:hanging="0"/>
        <w:jc w:val="both"/>
        <w:rPr/>
      </w:pPr>
      <w:r>
        <w:rPr/>
        <w:tab/>
        <w:t>Com o processo acelerado de urbanização, o homem que vem do campo para a metrópole adquire novas coordenadas espaciais, com os edifícios das cidades e uma nova relação que se estabelece com o tempo. Nesse novo ritmo, as cidades surgem como opressivas, estranhas e traumáticas, semelhante à Londres retratada nos romances de Dickens. O tema das multidões é o preferível de poetas e romancistas</w:t>
      </w:r>
      <w:r>
        <w:rPr>
          <w:rStyle w:val="Caracteresdenotaderodap"/>
          <w:rStyle w:val="Ncoradanotaderodap"/>
        </w:rPr>
        <w:footnoteReference w:id="162"/>
      </w:r>
      <w:r>
        <w:rPr/>
        <w:t xml:space="preserve"> no final do século XIX. O cinema somente na década de 1920 irá tomar o tema das metrópoles com as chamadas sinfonias urbanas</w:t>
      </w:r>
      <w:r>
        <w:rPr>
          <w:rStyle w:val="Caracteresdenotaderodap"/>
          <w:rStyle w:val="Ncoradanotaderodap"/>
        </w:rPr>
        <w:footnoteReference w:id="163"/>
      </w:r>
      <w:r>
        <w:rPr/>
        <w:t>. O tema das multidões impulsionaria estudos de psicologia das multidões</w:t>
      </w:r>
      <w:r>
        <w:rPr>
          <w:rStyle w:val="Caracteresdenotaderodap"/>
          <w:rStyle w:val="Ncoradanotaderodap"/>
        </w:rPr>
        <w:footnoteReference w:id="164"/>
      </w:r>
      <w:r>
        <w:rPr/>
        <w:t xml:space="preserve">. É o momento em que a cidade é vista como a unidade social, possibilitando a </w:t>
      </w:r>
      <w:r>
        <w:rPr>
          <w:i/>
        </w:rPr>
        <w:t>atrofia da cultura individual através da hipertrofia da cultura objetiva</w:t>
      </w:r>
      <w:r>
        <w:rPr/>
        <w:t xml:space="preserve">, segundo Simmel. Essa atrofia da cultura individual servirá de ponto de ataque de criticas como a de Nietzsche à cultura moderna.  </w:t>
      </w:r>
    </w:p>
    <w:p>
      <w:pPr>
        <w:pStyle w:val="Normal"/>
        <w:spacing w:lineRule="auto" w:line="360"/>
        <w:ind w:right="44" w:hanging="0"/>
        <w:jc w:val="both"/>
        <w:rPr/>
      </w:pPr>
      <w:r>
        <w:rPr/>
        <w:tab/>
        <w:t xml:space="preserve">Após o percurso nesse ensaio, que foi desde o início do século XIX e a formação da burguesia contemporânea na negação do antigo regime, à maneira como, baseado em três dimensões que definem a modernidade, uma moral e política, outra cognitiva e uma socioeconômica, tentei mostrar como se constitui essa sociedade do final do século XIX, berço do nascimento do cinema. Se pudéssemos escolher algum termo que melhor descrevesse esse final de século XIX no momento do advento do cinema, escolheria o termo usado por Singer, o hiperestímulo, como definidor da sociedade moderna que dá luz ao cinema. Vejamos como o cinema se adequou quase que perfeitamente a vida moderna. </w:t>
      </w:r>
    </w:p>
    <w:p>
      <w:pPr>
        <w:pStyle w:val="Normal"/>
        <w:spacing w:lineRule="auto" w:line="360"/>
        <w:ind w:right="44" w:hanging="0"/>
        <w:jc w:val="both"/>
        <w:rPr/>
      </w:pPr>
      <w:r>
        <w:rPr/>
      </w:r>
    </w:p>
    <w:p>
      <w:pPr>
        <w:pStyle w:val="Normal"/>
        <w:spacing w:lineRule="auto" w:line="360"/>
        <w:ind w:right="44" w:hanging="0"/>
        <w:jc w:val="both"/>
        <w:rPr/>
      </w:pPr>
      <w:r>
        <w:rPr>
          <w:b/>
        </w:rPr>
        <w:t>Hugo Munsterberg</w:t>
      </w:r>
      <w:r>
        <w:rPr>
          <w:rStyle w:val="Caracteresdenotaderodap"/>
          <w:rStyle w:val="Ncoradanotaderodap"/>
          <w:b/>
        </w:rPr>
        <w:footnoteReference w:id="165"/>
      </w:r>
      <w:r>
        <w:rPr>
          <w:b/>
        </w:rPr>
        <w:t>: Por uma teoria do cinema</w:t>
      </w:r>
    </w:p>
    <w:p>
      <w:pPr>
        <w:pStyle w:val="Normal"/>
        <w:spacing w:lineRule="auto" w:line="360"/>
        <w:ind w:right="44" w:hanging="0"/>
        <w:jc w:val="both"/>
        <w:rPr>
          <w:b/>
          <w:b/>
        </w:rPr>
      </w:pPr>
      <w:r>
        <w:rPr>
          <w:b/>
        </w:rPr>
      </w:r>
    </w:p>
    <w:p>
      <w:pPr>
        <w:pStyle w:val="Normal"/>
        <w:spacing w:lineRule="auto" w:line="360"/>
        <w:ind w:right="44" w:hanging="0"/>
        <w:jc w:val="both"/>
        <w:rPr>
          <w:i/>
          <w:i/>
        </w:rPr>
      </w:pPr>
      <w:r>
        <w:rPr/>
        <w:tab/>
        <w:t>Conforme dito anteriormente, a busca por técnicas que reproduzissem o movimento era uma obsessão que vai além do século XIX, obviamente que com o advento da fotografia se intensificaram as buscas por algum aparelho que pudesse registrar a realidade</w:t>
      </w:r>
      <w:r>
        <w:rPr>
          <w:rStyle w:val="Caracteresdenotaderodap"/>
          <w:rStyle w:val="Ncoradanotaderodap"/>
        </w:rPr>
        <w:footnoteReference w:id="166"/>
      </w:r>
      <w:r>
        <w:rPr/>
        <w:t>. Com a primeira exibição publica de um filme feito pelos irmãos Lumiére em dezembro de 1895, o cinema se inseriu, cada vez mais, na vida das pessoas das grandes cidades. Mas o que teria o cinema para que em pouco tempo se tornasse um sucesso tão grande a ponto de no século seguinte se tornar uma das principais formas de entretenimento no mundo, ao menos no mundo Ocidental em si tratando da primeira metade do século XX;</w:t>
      </w:r>
    </w:p>
    <w:p>
      <w:pPr>
        <w:pStyle w:val="Normal"/>
        <w:spacing w:lineRule="auto" w:line="360"/>
        <w:ind w:right="44" w:firstLine="708"/>
        <w:jc w:val="both"/>
        <w:rPr>
          <w:bCs/>
        </w:rPr>
      </w:pPr>
      <w:r>
        <w:rPr>
          <w:bCs/>
        </w:rPr>
        <w:t xml:space="preserve">Para Munsterberg, a percepção de profundidade e do movimento deve orientar a pesquisa psicológica sobre o cinema. </w:t>
      </w:r>
    </w:p>
    <w:p>
      <w:pPr>
        <w:pStyle w:val="Normal"/>
        <w:spacing w:lineRule="auto" w:line="360"/>
        <w:ind w:right="44" w:hanging="0"/>
        <w:jc w:val="both"/>
        <w:rPr>
          <w:bCs/>
        </w:rPr>
      </w:pPr>
      <w:r>
        <w:rPr>
          <w:bCs/>
        </w:rPr>
      </w:r>
    </w:p>
    <w:p>
      <w:pPr>
        <w:pStyle w:val="Normal"/>
        <w:spacing w:lineRule="auto" w:line="360"/>
        <w:ind w:left="360" w:right="404" w:hanging="0"/>
        <w:jc w:val="both"/>
        <w:rPr/>
      </w:pPr>
      <w:r>
        <w:rPr>
          <w:bCs/>
          <w:i/>
          <w:iCs/>
        </w:rPr>
        <w:t>(...) Munsterberg analisa a percepção do movimento e da profundidade no cinema, com especial atenção ao processo pelo qual o espectador aceita a sugestão de movimento e profundidade que vem da organização das imagens e, ao mesmo tempo, tem consciência de que se trata apenas de uma ‘aparência de verdade’ criada com a colaboração de sua atividade mental.</w:t>
      </w:r>
      <w:r>
        <w:rPr>
          <w:rStyle w:val="Caracteresdenotaderodap"/>
          <w:rStyle w:val="Ncoradanotaderodap"/>
          <w:bCs/>
          <w:i/>
          <w:iCs/>
        </w:rPr>
        <w:footnoteReference w:id="167"/>
      </w:r>
      <w:r>
        <w:rPr>
          <w:bCs/>
          <w:i/>
          <w:iCs/>
        </w:rPr>
        <w:t xml:space="preserve">   </w:t>
      </w:r>
    </w:p>
    <w:p>
      <w:pPr>
        <w:pStyle w:val="Normal"/>
        <w:spacing w:lineRule="auto" w:line="360"/>
        <w:ind w:right="44" w:hanging="0"/>
        <w:jc w:val="both"/>
        <w:rPr>
          <w:bCs/>
          <w:i/>
          <w:i/>
          <w:iCs/>
        </w:rPr>
      </w:pPr>
      <w:r>
        <w:rPr>
          <w:bCs/>
          <w:i/>
          <w:iCs/>
        </w:rPr>
      </w:r>
    </w:p>
    <w:p>
      <w:pPr>
        <w:pStyle w:val="Normal"/>
        <w:spacing w:lineRule="auto" w:line="360"/>
        <w:ind w:right="44" w:firstLine="360"/>
        <w:jc w:val="both"/>
        <w:rPr/>
      </w:pPr>
      <w:r>
        <w:rPr>
          <w:bCs/>
        </w:rPr>
        <w:t xml:space="preserve">A psicologia do cinema proposta por Munsterberg gira em torno da noção de atenção, para tal, o autor distingue atenção voluntária (processos internos) de atenção involuntária (processos externos) como característica fundamental para sua teoria. Diante dessa distinção, as percepções seriam uma conciliação entre as aspirações da atenção voluntária com os objetivos impostos à atenção involuntária. Lugar comum no início do século XX para quem falasse de maneira analítica do cinema era compará-lo com o teatro, uma vez que nos primeiros anos do cinema os realizadores permaneceram presos à estética do teatro. Somente a partir de 1915 com o lançamento do filme </w:t>
      </w:r>
      <w:r>
        <w:rPr>
          <w:i/>
          <w:iCs/>
        </w:rPr>
        <w:t>The Birth of a Nation</w:t>
      </w:r>
      <w:r>
        <w:rPr>
          <w:bCs/>
        </w:rPr>
        <w:t xml:space="preserve"> de D. W. Griffith (1875-1948) o cinema assume uma linguagem que o diferencie do teatro. Anterior ao ano de 1915 o teatro permanecia como referencial para entender o cinema, a pergunta sobre qual a diferença entre o teatro e a vida “real” motivaria as principais tentativas de explicação do fenômeno cinema. No teatro, para Munsterberg, a atenção involuntária se sobrepõe a atenção voluntária, por meio de recursos da produção do espetáculo. Em relação ao teatro, o cinema seria muito mais eficaz na condução da atenção involuntária, pois, a imagem não precisaria se manter fixa. Munsterberg apresenta outra vantagem do cinema em relação ao teatro, que é a de “anular” outros estímulos. </w:t>
      </w:r>
    </w:p>
    <w:p>
      <w:pPr>
        <w:pStyle w:val="Normal"/>
        <w:spacing w:lineRule="auto" w:line="360"/>
        <w:ind w:right="44" w:hanging="0"/>
        <w:jc w:val="both"/>
        <w:rPr>
          <w:bCs/>
        </w:rPr>
      </w:pPr>
      <w:r>
        <w:rPr>
          <w:bCs/>
        </w:rPr>
      </w:r>
    </w:p>
    <w:p>
      <w:pPr>
        <w:pStyle w:val="Normal"/>
        <w:spacing w:lineRule="auto" w:line="360"/>
        <w:ind w:left="360" w:right="404" w:hanging="0"/>
        <w:jc w:val="both"/>
        <w:rPr/>
      </w:pPr>
      <w:r>
        <w:rPr>
          <w:bCs/>
          <w:i/>
          <w:iCs/>
        </w:rPr>
        <w:t>(...) É na consciência que a mão vai sobressair em detrimento de todo o resto. O palco em nada pode ajudar. A arte do teatro tem ai limitações. Começa aqui a arte do cinema.</w:t>
      </w:r>
      <w:r>
        <w:rPr>
          <w:rStyle w:val="Caracteresdenotaderodap"/>
          <w:rStyle w:val="Ncoradanotaderodap"/>
          <w:bCs/>
          <w:i/>
          <w:iCs/>
        </w:rPr>
        <w:footnoteReference w:id="168"/>
      </w:r>
      <w:r>
        <w:rPr>
          <w:bCs/>
          <w:i/>
          <w:iCs/>
        </w:rPr>
        <w:t xml:space="preserve">  </w:t>
      </w:r>
    </w:p>
    <w:p>
      <w:pPr>
        <w:pStyle w:val="Normal"/>
        <w:spacing w:lineRule="auto" w:line="360"/>
        <w:ind w:right="44" w:firstLine="360"/>
        <w:jc w:val="both"/>
        <w:rPr>
          <w:bCs/>
        </w:rPr>
      </w:pPr>
      <w:r>
        <w:rPr>
          <w:bCs/>
        </w:rPr>
        <w:t xml:space="preserve">             </w:t>
      </w:r>
    </w:p>
    <w:p>
      <w:pPr>
        <w:pStyle w:val="Normal"/>
        <w:spacing w:lineRule="auto" w:line="360"/>
        <w:ind w:right="44" w:hanging="0"/>
        <w:jc w:val="both"/>
        <w:rPr>
          <w:bCs/>
        </w:rPr>
      </w:pPr>
      <w:r>
        <w:rPr>
          <w:bCs/>
        </w:rPr>
        <w:t xml:space="preserve">  </w:t>
      </w:r>
      <w:r>
        <w:rPr>
          <w:bCs/>
        </w:rPr>
        <w:t>Ao que Munsterberg segue,</w:t>
      </w:r>
    </w:p>
    <w:p>
      <w:pPr>
        <w:pStyle w:val="Normal"/>
        <w:spacing w:lineRule="auto" w:line="360"/>
        <w:ind w:right="44" w:hanging="0"/>
        <w:jc w:val="both"/>
        <w:rPr/>
      </w:pPr>
      <w:r>
        <w:rPr>
          <w:b/>
        </w:rPr>
        <w:t xml:space="preserve"> </w:t>
      </w:r>
      <w:r>
        <w:rPr>
          <w:bCs/>
        </w:rPr>
        <w:t xml:space="preserve"> </w:t>
      </w:r>
      <w:r>
        <w:rPr>
          <w:bCs/>
          <w:i/>
        </w:rPr>
        <w:t xml:space="preserve">   </w:t>
      </w:r>
    </w:p>
    <w:p>
      <w:pPr>
        <w:pStyle w:val="Corpodetexto2"/>
        <w:spacing w:lineRule="auto" w:line="360"/>
        <w:ind w:left="360" w:right="404" w:hanging="0"/>
        <w:jc w:val="both"/>
        <w:rPr/>
      </w:pPr>
      <w:r>
        <w:rPr>
          <w:i/>
        </w:rPr>
        <w:t>(...) O close-up transpôs para o mundo da percepção o ato mental de atenção e com isso deu à arte um meio infinitamente mais poderoso do que qualquer palco dramático</w:t>
      </w:r>
      <w:r>
        <w:rPr/>
        <w:t>.</w:t>
      </w:r>
      <w:r>
        <w:rPr>
          <w:rStyle w:val="Caracteresdenotaderodap"/>
          <w:rStyle w:val="Ncoradanotaderodap"/>
        </w:rPr>
        <w:footnoteReference w:id="169"/>
      </w:r>
    </w:p>
    <w:p>
      <w:pPr>
        <w:pStyle w:val="Corpodetexto2"/>
        <w:spacing w:lineRule="auto" w:line="360"/>
        <w:jc w:val="both"/>
        <w:rPr>
          <w:iCs/>
        </w:rPr>
      </w:pPr>
      <w:r>
        <w:rPr>
          <w:iCs/>
        </w:rPr>
      </w:r>
    </w:p>
    <w:p>
      <w:pPr>
        <w:pStyle w:val="Corpodetexto2"/>
        <w:spacing w:lineRule="auto" w:line="360"/>
        <w:ind w:firstLine="360"/>
        <w:jc w:val="both"/>
        <w:rPr/>
      </w:pPr>
      <w:r>
        <w:rPr>
          <w:iCs/>
        </w:rPr>
        <w:t>Outra vantagem que o cinema apresenta em relação ao teatro se refere ao ato de memória posto pelo cinema. Enquanto no teatro não há outro recurso além do de sugerir tal retrospecto, ou seja, Munsterberg argumenta que na cena teatral é nossa própria memória, com seu acervo de ideias, que compõem o quadro. No teatro não é possível ir além desse recurso do espectador em lembrar a cena ou elementos da mesma, já no caso do cinema o recurso do cutback (flashback) resolve tal problema.</w:t>
      </w:r>
    </w:p>
    <w:p>
      <w:pPr>
        <w:pStyle w:val="Corpodetexto2"/>
        <w:spacing w:lineRule="auto" w:line="360"/>
        <w:rPr>
          <w:iCs/>
        </w:rPr>
      </w:pPr>
      <w:r>
        <w:rPr>
          <w:iCs/>
        </w:rPr>
      </w:r>
    </w:p>
    <w:p>
      <w:pPr>
        <w:pStyle w:val="Corpodetexto2"/>
        <w:spacing w:lineRule="auto" w:line="360"/>
        <w:ind w:left="360" w:right="404" w:hanging="0"/>
        <w:jc w:val="both"/>
        <w:rPr/>
      </w:pPr>
      <w:r>
        <w:rPr>
          <w:i/>
          <w:iCs/>
        </w:rPr>
        <w:t>(...) O cutback apresenta certo paralelismo com o close-up: neste identificamos o ato mental de prestar atenção, naquele, o ato mental de lembrar. Em ambos, aquilo que, no teatro, não passaria de um ato mental, projeta-se, na fotografia, nos próprios quadros.</w:t>
      </w:r>
      <w:r>
        <w:rPr>
          <w:rStyle w:val="Caracteresdenotaderodap"/>
          <w:rStyle w:val="Ncoradanotaderodap"/>
          <w:iCs/>
        </w:rPr>
        <w:footnoteReference w:id="170"/>
      </w:r>
      <w:r>
        <w:rPr>
          <w:iCs/>
        </w:rPr>
        <w:t xml:space="preserve">   </w:t>
      </w:r>
    </w:p>
    <w:p>
      <w:pPr>
        <w:pStyle w:val="Corpodetexto2"/>
        <w:spacing w:lineRule="auto" w:line="360"/>
        <w:ind w:left="357" w:right="403" w:hanging="0"/>
        <w:rPr>
          <w:iCs/>
        </w:rPr>
      </w:pPr>
      <w:r>
        <w:rPr>
          <w:iCs/>
        </w:rPr>
      </w:r>
    </w:p>
    <w:p>
      <w:pPr>
        <w:pStyle w:val="Corpodetexto2"/>
        <w:spacing w:lineRule="auto" w:line="360"/>
        <w:ind w:firstLine="360"/>
        <w:jc w:val="both"/>
        <w:rPr/>
      </w:pPr>
      <w:r>
        <w:rPr>
          <w:iCs/>
        </w:rPr>
        <w:t xml:space="preserve">Há no cinema uma similaridade com os processos mentais, tão logo, não se subordinam a sucessão de eventos espaço-temporais, barreira não transponível no teatro. Nesse registro, o cinema agiria de forma semelhante à imaginação, possuindo o cinema a mobilidade das ideias que não estão subordinadas às exigências concretas dos eventos externos, mas às leis psicológicas da associação de ideias. Dentro daquilo que Munsterberg concebia como mente ocorre um entrelaçamento de passado e futuro com o presente.  </w:t>
      </w:r>
    </w:p>
    <w:p>
      <w:pPr>
        <w:pStyle w:val="Corpodetexto2"/>
        <w:spacing w:lineRule="auto" w:line="360"/>
        <w:ind w:firstLine="360"/>
        <w:jc w:val="both"/>
        <w:rPr>
          <w:iCs/>
        </w:rPr>
      </w:pPr>
      <w:r>
        <w:rPr>
          <w:iCs/>
        </w:rPr>
        <w:t xml:space="preserve">Munsterberg nos apresenta alguns exemplos de como o cinema representa o passado e futuro em sucessão ao presente. Se o teatro pode narrar tais eventos, o cinema, por sua vez, pode materializá-los. Uma personagem descansa em sua cadeira enquanto seu empregado entra com a correspondência, enquanto lê a carta, a câmera se move em close-up e pronto, já saltamos para o passado ou futuro e sem comprometer o processo narrativo, volta-se à personagem no presente e com toda a carga dramática contida na carta. </w:t>
      </w:r>
    </w:p>
    <w:p>
      <w:pPr>
        <w:pStyle w:val="Corpodetexto2"/>
        <w:spacing w:lineRule="auto" w:line="360"/>
        <w:ind w:firstLine="360"/>
        <w:jc w:val="both"/>
        <w:rPr/>
      </w:pPr>
      <w:r>
        <w:rPr>
          <w:iCs/>
        </w:rPr>
        <w:t xml:space="preserve">Em síntese, essa é a maneira como Munsterberg concebeu o cinema em relação ao teatro, uma vez que era importante nos primórdios do cinema delimitar essas diferenças que possibilitassem requerer uma autonomia do cinema frente ao teatro, eliminando assim a ideia, muito em voga nos primeiros anos do século XX, de que o cinema nada mais era do que teatro filmado, mas a teoria de Munsterberg também pretende apresentar quais deveriam ser os objetivos do cinema, para onde o cinema aponta ou deve apontar? Para Munsterberg o objetivo do cinema é retratar as emoções. No modelo proposto por Munsterberg, a representação das emoções no cinema não depende de diálogo (Munsterberg faleceu em 1916, ou seja, não conheceu o cinema sonoro que teria seu primeiro filme apenas em 1927). Os planos (close-up, plano de detalhe, plano geral etc) seriam recursos responsáveis, e suficientes, pela representação das emoções na configuração da cena dramática. </w:t>
      </w:r>
    </w:p>
    <w:p>
      <w:pPr>
        <w:pStyle w:val="Corpodetexto2"/>
        <w:spacing w:lineRule="auto" w:line="360"/>
        <w:ind w:firstLine="360"/>
        <w:jc w:val="both"/>
        <w:rPr/>
      </w:pPr>
      <w:r>
        <w:rPr>
          <w:iCs/>
        </w:rPr>
        <w:t xml:space="preserve">É importante ressaltar que a negligência quanto ao uso de som no filme por parte de Munsterberg não se deve a uma importância secundária do som em detrimento à imagem, mas ao fato de que Munsterberg admite ser a mente o elemento criador no cinema. A retina retém impressões visuais momentos após a remoção do estímulo (persistência retiniana), como quando se fecha o olho após olhar para o sol. O fenômeno phi (movimento ilusório de linhas, figuras ou outros objetos mostrados numa rápida sucessão de posições diferentes, sem que na verdade qualquer movimento autêntico seja apresentado à visão), segundo Munsterberg, é algo dado e a complexa maquinaria do cinema é desenvolvida para trabalhar diretamente sobre a matéria-prima da mente. O modo de trabalho da mente (a atenção) organiza o mundo de que faz parte. Se o material (matéria-prima) do cinema é formado pelos recursos da mente, a forma do cinema deve espelhar os acontecimentos mentais, ou seja, as emoções. A Psicologia de Munsterberg tenta explicar aspectos do que Kant chamou de </w:t>
      </w:r>
      <w:r>
        <w:rPr/>
        <w:t>domínio fenomênico</w:t>
      </w:r>
      <w:r>
        <w:rPr>
          <w:iCs/>
        </w:rPr>
        <w:t xml:space="preserve">. Kant distinguiu o que é de domínio numênico (forma e função), campo da filosofia e estética, e domínio fenomênico (tempo, espaço e causalidade), campo da ciência, desta maneira a forma e função do cinema pertenceriam ao domínio numênico. </w:t>
      </w:r>
    </w:p>
    <w:p>
      <w:pPr>
        <w:pStyle w:val="Corpodetexto2"/>
        <w:spacing w:lineRule="auto" w:line="360"/>
        <w:jc w:val="both"/>
        <w:rPr>
          <w:iCs/>
        </w:rPr>
      </w:pPr>
      <w:r>
        <w:rPr>
          <w:iCs/>
        </w:rPr>
      </w:r>
    </w:p>
    <w:p>
      <w:pPr>
        <w:pStyle w:val="Corpodetexto2"/>
        <w:spacing w:lineRule="auto" w:line="360"/>
        <w:ind w:left="360" w:right="404" w:hanging="0"/>
        <w:jc w:val="both"/>
        <w:rPr/>
      </w:pPr>
      <w:r>
        <w:rPr>
          <w:i/>
        </w:rPr>
        <w:t>Cultivamos a experiência estética dos objetos de arte, que são objetos construídos no mundo sem razão prática. Objetos cuja razão de ser é serem sentidos perfeitamente e fora de qualquer contexto</w:t>
      </w:r>
      <w:r>
        <w:rPr/>
        <w:t>.</w:t>
      </w:r>
      <w:r>
        <w:rPr>
          <w:rStyle w:val="Caracteresdenotaderodap"/>
          <w:rStyle w:val="Ncoradanotaderodap"/>
        </w:rPr>
        <w:footnoteReference w:id="171"/>
      </w:r>
      <w:r>
        <w:rPr/>
        <w:t xml:space="preserve">     </w:t>
      </w:r>
    </w:p>
    <w:p>
      <w:pPr>
        <w:pStyle w:val="Corpodetexto2"/>
        <w:spacing w:lineRule="auto" w:line="360"/>
        <w:jc w:val="both"/>
        <w:rPr>
          <w:iCs/>
        </w:rPr>
      </w:pPr>
      <w:r>
        <w:rPr>
          <w:iCs/>
        </w:rPr>
      </w:r>
    </w:p>
    <w:p>
      <w:pPr>
        <w:pStyle w:val="Corpodetexto2"/>
        <w:spacing w:lineRule="auto" w:line="360"/>
        <w:ind w:firstLine="360"/>
        <w:jc w:val="both"/>
        <w:rPr/>
      </w:pPr>
      <w:r>
        <w:rPr>
          <w:iCs/>
        </w:rPr>
        <w:t xml:space="preserve">Podemos concluir, em síntese, que para Munsterberg a base do veículo (Cinema) são os processos psicológicos do espectador. Se o objeto do cinema é a realidade, o valor não pode ser estético, pois se dirige ao objeto e não ao modo. Uma posição contrária à defendida por Munsterberg foi a apresentada por Rudolf Arnheim, para quem, o cinema só possui valor estético se o veiculo difere de um retrato da realidade, assim, os aspectos do veículo irreais seriam: </w:t>
      </w:r>
    </w:p>
    <w:p>
      <w:pPr>
        <w:pStyle w:val="Corpodetexto2"/>
        <w:spacing w:lineRule="auto" w:line="360"/>
        <w:jc w:val="both"/>
        <w:rPr>
          <w:iCs/>
        </w:rPr>
      </w:pPr>
      <w:r>
        <w:rPr>
          <w:iCs/>
        </w:rPr>
      </w:r>
    </w:p>
    <w:p>
      <w:pPr>
        <w:pStyle w:val="Corpodetexto2"/>
        <w:numPr>
          <w:ilvl w:val="0"/>
          <w:numId w:val="4"/>
        </w:numPr>
        <w:spacing w:lineRule="auto" w:line="360" w:before="0" w:after="0"/>
        <w:ind w:left="1033" w:right="44" w:hanging="360"/>
        <w:jc w:val="both"/>
        <w:rPr>
          <w:iCs/>
        </w:rPr>
      </w:pPr>
      <w:r>
        <w:rPr>
          <w:iCs/>
        </w:rPr>
        <w:t>A projeção de sólidos numa superfície bidimensional;</w:t>
      </w:r>
    </w:p>
    <w:p>
      <w:pPr>
        <w:pStyle w:val="Corpodetexto2"/>
        <w:numPr>
          <w:ilvl w:val="0"/>
          <w:numId w:val="4"/>
        </w:numPr>
        <w:spacing w:lineRule="auto" w:line="360" w:before="0" w:after="0"/>
        <w:ind w:left="1033" w:right="44" w:hanging="360"/>
        <w:jc w:val="both"/>
        <w:rPr>
          <w:iCs/>
        </w:rPr>
      </w:pPr>
      <w:r>
        <w:rPr>
          <w:iCs/>
        </w:rPr>
        <w:t>A redução de um sentido de profundidade e o problema do tamanho absoluto da imagem;</w:t>
      </w:r>
    </w:p>
    <w:p>
      <w:pPr>
        <w:pStyle w:val="Corpodetexto2"/>
        <w:numPr>
          <w:ilvl w:val="0"/>
          <w:numId w:val="4"/>
        </w:numPr>
        <w:spacing w:lineRule="auto" w:line="360" w:before="0" w:after="0"/>
        <w:ind w:left="1033" w:right="44" w:hanging="360"/>
        <w:jc w:val="both"/>
        <w:rPr>
          <w:iCs/>
        </w:rPr>
      </w:pPr>
      <w:r>
        <w:rPr>
          <w:iCs/>
        </w:rPr>
        <w:t>A iluminação e ausência de cor;</w:t>
      </w:r>
    </w:p>
    <w:p>
      <w:pPr>
        <w:pStyle w:val="Corpodetexto2"/>
        <w:numPr>
          <w:ilvl w:val="0"/>
          <w:numId w:val="4"/>
        </w:numPr>
        <w:spacing w:lineRule="auto" w:line="360" w:before="0" w:after="0"/>
        <w:ind w:left="1033" w:right="44" w:hanging="360"/>
        <w:jc w:val="both"/>
        <w:rPr>
          <w:iCs/>
        </w:rPr>
      </w:pPr>
      <w:r>
        <w:rPr>
          <w:iCs/>
        </w:rPr>
        <w:t>O enquadramento da imagem;</w:t>
      </w:r>
    </w:p>
    <w:p>
      <w:pPr>
        <w:pStyle w:val="Corpodetexto2"/>
        <w:numPr>
          <w:ilvl w:val="0"/>
          <w:numId w:val="4"/>
        </w:numPr>
        <w:spacing w:lineRule="auto" w:line="360" w:before="0" w:after="0"/>
        <w:ind w:left="1033" w:right="44" w:hanging="360"/>
        <w:jc w:val="both"/>
        <w:rPr>
          <w:iCs/>
        </w:rPr>
      </w:pPr>
      <w:r>
        <w:rPr>
          <w:iCs/>
        </w:rPr>
        <w:t>A ausência da continuidade espaço-temporal graças à montagem;</w:t>
      </w:r>
    </w:p>
    <w:p>
      <w:pPr>
        <w:pStyle w:val="Corpodetexto2"/>
        <w:numPr>
          <w:ilvl w:val="0"/>
          <w:numId w:val="4"/>
        </w:numPr>
        <w:spacing w:lineRule="auto" w:line="360" w:before="0" w:after="0"/>
        <w:ind w:left="1033" w:right="44" w:hanging="360"/>
        <w:jc w:val="both"/>
        <w:rPr>
          <w:iCs/>
        </w:rPr>
      </w:pPr>
      <w:r>
        <w:rPr>
          <w:iCs/>
        </w:rPr>
        <w:t>A ausência de entradas (inputs) de outros sentidos.</w:t>
      </w:r>
    </w:p>
    <w:p>
      <w:pPr>
        <w:pStyle w:val="Corpodetexto2"/>
        <w:spacing w:lineRule="auto" w:line="360"/>
        <w:jc w:val="both"/>
        <w:rPr>
          <w:iCs/>
        </w:rPr>
      </w:pPr>
      <w:r>
        <w:rPr>
          <w:iCs/>
        </w:rPr>
      </w:r>
    </w:p>
    <w:p>
      <w:pPr>
        <w:pStyle w:val="Corpodetexto2"/>
        <w:spacing w:lineRule="auto" w:line="360"/>
        <w:ind w:firstLine="673"/>
        <w:jc w:val="both"/>
        <w:rPr/>
      </w:pPr>
      <w:r>
        <w:rPr>
          <w:iCs/>
        </w:rPr>
        <w:t xml:space="preserve">Para Arnheim, em cada imagem de um filme encontram-se seus aspectos irreais, logo, são esses aspectos que constituem a matéria-prima da arte cinematográfica. </w:t>
      </w:r>
    </w:p>
    <w:p>
      <w:pPr>
        <w:pStyle w:val="Corpodetexto2"/>
        <w:spacing w:lineRule="auto" w:line="360"/>
        <w:ind w:firstLine="708"/>
        <w:jc w:val="both"/>
        <w:rPr/>
      </w:pPr>
      <w:r>
        <w:rPr>
          <w:iCs/>
        </w:rPr>
        <w:t xml:space="preserve">Olhar para o cinema a partir das primeiras experiências na última década do século XIX pela companhia Edson e os irmãos Lumière exige que se faça um retrocesso, ao menos, ao advento da fotografia na primeira metade do século e se trace o percurso da fotografia até o cinema, passando pelas tentativas de se dar movimento à fotografia. Após o período que Hobsbawm chamou de era das revoluções (1789-1848), período de gestação da sociedade que serviria de berço ao cinema, tendo em nosso exame como principal ideia definidora o excesso de estímulos sensoriais como característica de um processo de urbanização acelerado nas principais cidades, tanto na Europa como na América. Uma vez que a modernidade se configurava nessa adaptação perceptiva, principalmente para o homem que saia do campo indo para as metrópoles, o cinema se conformou a esse novo modo de vida, servindo até como experiência prévia que permitiria, ou melhor, facilitaria, a inserção do homem na vida moderna. O cinema era uma espécie de escola para essa vida bombardeada de estímulos, conforme a tese de Singer. </w:t>
      </w:r>
    </w:p>
    <w:p>
      <w:pPr>
        <w:pStyle w:val="Corpodetexto2"/>
        <w:spacing w:lineRule="auto" w:line="360"/>
        <w:ind w:firstLine="708"/>
        <w:jc w:val="both"/>
        <w:rPr/>
      </w:pPr>
      <w:r>
        <w:rPr>
          <w:iCs/>
        </w:rPr>
        <w:t xml:space="preserve">A teoria proposta por Hugo Munsterberg me parece adequada para entender esse processo e como o conceito de atenção foi amplamente mobilizado nesse período. Trata-se de uma primeira proposta de teoria do cinema, além do que, dialoga diretamente com o problema da atenção, tema caro ao homem moderno. Munsterberg atribui aos processos psicológicos de quem vê o filme o sentido do filme e a exigência de autonomia em relação ao teatro seriam em ordem de grau, ou seja, o cinema é mais eficiente naquilo que o teatro também o faz, que é a representação das emoções. Obviamente que há discordâncias em vários pontos da teoria do Munsterberg, mas o que nos interessa neste ensaio é localizar historicamente o surgimento do cinema no contexto do debate sobre elementos definidores da vida moderna, em particular o conceito de atenção.    </w:t>
      </w:r>
    </w:p>
    <w:p>
      <w:pPr>
        <w:pStyle w:val="Corpodetexto2"/>
        <w:spacing w:lineRule="auto" w:line="360"/>
        <w:rPr>
          <w:i/>
          <w:i/>
          <w:iCs/>
        </w:rPr>
      </w:pPr>
      <w:r>
        <w:rPr>
          <w:i/>
          <w:iCs/>
        </w:rPr>
        <w:t xml:space="preserve">      </w:t>
      </w:r>
    </w:p>
    <w:p>
      <w:pPr>
        <w:pStyle w:val="Normal"/>
        <w:spacing w:lineRule="auto" w:line="360"/>
        <w:ind w:firstLine="709"/>
        <w:jc w:val="both"/>
        <w:rPr>
          <w:i/>
          <w:i/>
          <w:iCs/>
        </w:rPr>
      </w:pPr>
      <w:r>
        <w:rPr>
          <w:i/>
          <w:iCs/>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both"/>
        <w:rPr/>
      </w:pPr>
      <w:r>
        <w:rPr/>
      </w:r>
    </w:p>
    <w:p>
      <w:pPr>
        <w:pStyle w:val="Normal"/>
        <w:spacing w:lineRule="auto" w:line="360"/>
        <w:ind w:firstLine="709"/>
        <w:jc w:val="center"/>
        <w:rPr>
          <w:b/>
          <w:b/>
        </w:rPr>
      </w:pPr>
      <w:r>
        <w:rPr>
          <w:b/>
        </w:rPr>
        <w:t xml:space="preserve">O conceito de reflexo no século XIX </w:t>
      </w:r>
    </w:p>
    <w:p>
      <w:pPr>
        <w:pStyle w:val="Corpodotexto"/>
        <w:tabs>
          <w:tab w:val="clear" w:pos="708"/>
          <w:tab w:val="left" w:pos="540" w:leader="none"/>
          <w:tab w:val="left" w:pos="720" w:leader="none"/>
        </w:tabs>
        <w:spacing w:lineRule="auto" w:line="360" w:before="0" w:after="0"/>
        <w:ind w:hanging="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540" w:leader="none"/>
          <w:tab w:val="left" w:pos="720" w:leader="none"/>
        </w:tabs>
        <w:spacing w:lineRule="auto" w:line="360" w:before="0" w:after="0"/>
        <w:ind w:hanging="0"/>
        <w:rPr>
          <w:rFonts w:ascii="Times New Roman" w:hAnsi="Times New Roman" w:cs="Times New Roman"/>
          <w:bCs/>
          <w:sz w:val="24"/>
          <w:szCs w:val="24"/>
        </w:rPr>
      </w:pPr>
      <w:r>
        <w:rPr>
          <w:rFonts w:cs="Times New Roman" w:ascii="Times New Roman" w:hAnsi="Times New Roman"/>
          <w:bCs/>
          <w:sz w:val="24"/>
          <w:szCs w:val="24"/>
        </w:rPr>
        <w:tab/>
        <w:t xml:space="preserve">No século XIX o conceito de reflexo compreende um conceito de ampla envergadura. A amplitude desse conceito variou de um conceito relacional (funcional) a um conceito organizador (mobilizado em circunstâncias das mais diversas), adentrando as primeiras décadas do século XX em áreas como a Psicologia e a Sociologia e influenciando, por exemplo, certas teorias do cinema. Pretendo percorrer parte desse percurso nesse ensaio, que vai de teorias sobre o movimento muscular até o cinema passando pelo conceito no nível celular.  Devido a amplitude e tamanho do ensaio, dividirei em dois, sendo o próximo ensaio dedicado aos desdobramentos do conceito de reflexo à ideia de condicionamento e ao seu impacto em determinada teoria sobre o cinema. Esse caso do reflexo é um exemplo de um conceito de longo alcance heurístico e de amplitude secular, com desdobramentos para diversos campos do saber. </w:t>
      </w:r>
    </w:p>
    <w:p>
      <w:pPr>
        <w:pStyle w:val="Corpodotexto"/>
        <w:tabs>
          <w:tab w:val="clear" w:pos="708"/>
          <w:tab w:val="left" w:pos="540" w:leader="none"/>
          <w:tab w:val="left" w:pos="720" w:leader="none"/>
        </w:tabs>
        <w:spacing w:lineRule="auto" w:line="360" w:before="0" w:after="0"/>
        <w:ind w:hanging="0"/>
        <w:rPr>
          <w:rFonts w:ascii="Times New Roman" w:hAnsi="Times New Roman" w:cs="Times New Roman"/>
          <w:bCs/>
          <w:sz w:val="24"/>
          <w:szCs w:val="24"/>
        </w:rPr>
      </w:pPr>
      <w:r>
        <w:rPr>
          <w:rFonts w:cs="Times New Roman" w:ascii="Times New Roman" w:hAnsi="Times New Roman"/>
          <w:bCs/>
          <w:sz w:val="24"/>
          <w:szCs w:val="24"/>
        </w:rPr>
        <w:tab/>
        <w:t>Os estudos sobre o fenômeno do reflexo marcam um ponto importante no que se refere ao caminho percorrido até o estudo do que os fisiologistas chamam de unidade motora. Shepherd</w:t>
      </w:r>
      <w:r>
        <w:rPr>
          <w:rStyle w:val="Caracteresdenotaderodap"/>
          <w:rStyle w:val="Ncoradanotaderodap"/>
          <w:rFonts w:cs="Times New Roman" w:ascii="Times New Roman" w:hAnsi="Times New Roman"/>
          <w:bCs/>
          <w:sz w:val="24"/>
          <w:szCs w:val="24"/>
        </w:rPr>
        <w:footnoteReference w:id="172"/>
      </w:r>
      <w:r>
        <w:rPr>
          <w:rFonts w:cs="Times New Roman" w:ascii="Times New Roman" w:hAnsi="Times New Roman"/>
          <w:bCs/>
          <w:sz w:val="24"/>
          <w:szCs w:val="24"/>
        </w:rPr>
        <w:t xml:space="preserve"> considera que a resolução do problema referente à constituição da fibra muscular foi fundamental para se encaminhar o olhar para a unidade do tecido nervoso na década de 1870 (momento em que o conceito de reflexo é explicado em termos das unidades celulares). A história dos estudos sobre a ação reflexa não é recente, no entanto, vou me restringir a alguns trabalhos a partir da segunda metade do século XVIII até o final do século XIX</w:t>
      </w:r>
      <w:r>
        <w:rPr>
          <w:rStyle w:val="Caracteresdenotaderodap"/>
          <w:rStyle w:val="Ncoradanotaderodap"/>
          <w:rFonts w:cs="Times New Roman" w:ascii="Times New Roman" w:hAnsi="Times New Roman"/>
          <w:bCs/>
          <w:sz w:val="24"/>
          <w:szCs w:val="24"/>
        </w:rPr>
        <w:footnoteReference w:id="173"/>
      </w:r>
      <w:r>
        <w:rPr>
          <w:rFonts w:cs="Times New Roman" w:ascii="Times New Roman" w:hAnsi="Times New Roman"/>
          <w:bCs/>
          <w:sz w:val="24"/>
          <w:szCs w:val="24"/>
        </w:rPr>
        <w:t>, com o intuito de mostrar a longa duração desse conceito e sua expansão gradativa em termos de explicação de fenômenos localizados à tentativas de associação do conceito de reflexo a teorias sobre a vida.</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No século XVIII, a relação entre os nervos e músculos assumiu papel central nas explicações orgânicas para explicar alguns fenômenos orgânicos fundamentais. Na tentativa de distinguir anatômica e fisiologicamente fibras nervosas de fibras musculares, Albrecht von Haller (1708-1777) utilizou os conceitos de irritabilidade e sensibilidade em suas pesquisas de maneira ordenada em inúmeros experimentos. A determinação de quais partes do corpo são sensíveis e quais são irritáveis deve ser derivada da experimentação, postulou Haller. Na tese halleriana, as características de movimento e sensação definem aquilo que possa se conhecer da essência do ser vivo. São, portanto, conceitos centrais na teoria de Haller. </w:t>
      </w:r>
    </w:p>
    <w:p>
      <w:pPr>
        <w:pStyle w:val="Corpodotexto"/>
        <w:spacing w:lineRule="auto" w:line="360" w:before="0" w:after="0"/>
        <w:rPr/>
      </w:pPr>
      <w:r>
        <w:rPr>
          <w:rFonts w:cs="Times New Roman" w:ascii="Times New Roman" w:hAnsi="Times New Roman"/>
          <w:bCs/>
          <w:sz w:val="24"/>
          <w:szCs w:val="24"/>
        </w:rPr>
        <w:tab/>
        <w:t xml:space="preserve">William Harvey (1578-1657) foi um dos primeiros a falar na separação possível entre uma forma de sensibilidade independente do </w:t>
      </w:r>
      <w:r>
        <w:rPr>
          <w:rFonts w:cs="Times New Roman" w:ascii="Times New Roman" w:hAnsi="Times New Roman"/>
          <w:bCs/>
          <w:i/>
          <w:sz w:val="24"/>
          <w:szCs w:val="24"/>
        </w:rPr>
        <w:t>sensorium commune</w:t>
      </w:r>
      <w:r>
        <w:rPr>
          <w:rFonts w:cs="Times New Roman" w:ascii="Times New Roman" w:hAnsi="Times New Roman"/>
          <w:bCs/>
          <w:sz w:val="24"/>
          <w:szCs w:val="24"/>
        </w:rPr>
        <w:t xml:space="preserve"> (cérebro). No exercício 57 de seu </w:t>
      </w:r>
      <w:r>
        <w:rPr>
          <w:rFonts w:cs="Times New Roman" w:ascii="Times New Roman" w:hAnsi="Times New Roman"/>
          <w:bCs/>
          <w:i/>
          <w:sz w:val="24"/>
          <w:szCs w:val="24"/>
        </w:rPr>
        <w:t>On generation</w:t>
      </w:r>
      <w:r>
        <w:rPr>
          <w:rFonts w:cs="Times New Roman" w:ascii="Times New Roman" w:hAnsi="Times New Roman"/>
          <w:bCs/>
          <w:sz w:val="24"/>
          <w:szCs w:val="24"/>
        </w:rPr>
        <w:t xml:space="preserve"> Harvey afirma:</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 muitos animais são dotados tanto de sentido como de movimento sem ter um sensorium commune ou um encéfalo, tais como, minhocas, lagartas de vários tipos, crisálidas etc, assim também certas ações naturais ocorrem no embrião e até mesmo em nós sem o controle do cérebro e certa sensação ocorre sem consciência</w:t>
      </w:r>
      <w:r>
        <w:rPr>
          <w:rStyle w:val="Caracteresdenotaderodap"/>
          <w:rStyle w:val="Ncoradanotaderodap"/>
          <w:rFonts w:cs="Times New Roman" w:ascii="Times New Roman" w:hAnsi="Times New Roman"/>
          <w:bCs/>
          <w:i/>
          <w:sz w:val="24"/>
          <w:szCs w:val="24"/>
        </w:rPr>
        <w:footnoteReference w:id="174"/>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 ideia de inventariar um conjunto de movimentos que não dependam da influência dos centros corticais foi mais bem explorada no século XIX nos estudos sobre os movimentos reflexos. Uma das vias de ataque à teoria de Haller se deu em função de sua insistência em diferenciar as partes sensíveis e insensíveis a partir da ausência ou presença de inervação. A dificuldade no século XVIII em se determinar com precisão onde terminam exatamente as ramificações nervosas afastava os pesquisadores dessa hipótese. Nesse cenário se debatiam a possibilidade de inervação de determinadas estruturas, tal como, o debate sobre se a dura-máter seria ou não inervada. A tese recorrente aceitava o movimento da dura-máter, enquanto que Haller se opôs a essa tese. Admitir o movimento da dura-máter significaria apoiar a permanência de um sistema de movimento em que o cérebro funcionaria como uma glândula produtora dos espíritos animais e a fibra muscular se fundiria com a fibra nervosa atendendo a essa função glandular do cérebro. Esse configurou um, dentre vários, modelo mecânico de funcionamento do sistema nervoso que já estavam em declínio no final do século XVIII.  </w:t>
      </w:r>
    </w:p>
    <w:p>
      <w:pPr>
        <w:pStyle w:val="Corpodotexto"/>
        <w:spacing w:lineRule="auto" w:line="360" w:before="0" w:after="0"/>
        <w:rPr/>
      </w:pPr>
      <w:r>
        <w:rPr>
          <w:rFonts w:cs="Times New Roman" w:ascii="Times New Roman" w:hAnsi="Times New Roman"/>
          <w:bCs/>
          <w:sz w:val="24"/>
          <w:szCs w:val="24"/>
        </w:rPr>
        <w:tab/>
        <w:t xml:space="preserve">A controvérsia entre Haller e Robert Whytt (1714-1766) sobre o movimento involuntário serve-nos de exemplo da importância que a questão referente à ação reflexa teve no debate científico na segunda metade do século XVIII. Whytt se opõe à tese de que o movimento do corpo poderia ser algo puramente mecânico. Em seu </w:t>
      </w:r>
      <w:r>
        <w:rPr>
          <w:rFonts w:cs="Times New Roman" w:ascii="Times New Roman" w:hAnsi="Times New Roman"/>
          <w:bCs/>
          <w:i/>
          <w:sz w:val="24"/>
          <w:szCs w:val="24"/>
        </w:rPr>
        <w:t>An essay on the vital and other involuntary motions of animals</w:t>
      </w:r>
      <w:r>
        <w:rPr>
          <w:rFonts w:cs="Times New Roman" w:ascii="Times New Roman" w:hAnsi="Times New Roman"/>
          <w:bCs/>
          <w:sz w:val="24"/>
          <w:szCs w:val="24"/>
        </w:rPr>
        <w:t xml:space="preserve"> de 1751 Whytt apresentou a ideia de reflexo como um conceito fisiológico. Na seção primeira de sua obra afirma:</w:t>
      </w:r>
    </w:p>
    <w:p>
      <w:pPr>
        <w:pStyle w:val="Corpodotexto"/>
        <w:tabs>
          <w:tab w:val="clear" w:pos="708"/>
          <w:tab w:val="left" w:pos="720" w:leader="none"/>
        </w:tabs>
        <w:spacing w:lineRule="auto" w:line="360" w:before="0" w:after="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Uma certa influência ou poder, que procede originalmente do cérebro e da medula espinhal, e que depois se localiza nos nervos, e por intermédio destes é transmitido para os músculos, é a causa imediata de sua contração, ou, pelo menos, necessária para esta. A verdade disso está acima de qualquer dúvida razoável, pelas convulsões e paralisias que atingem os músculos, quando a medula cerebral, o bulbo raquidiano e a medula espinhal são perfurados, ou de qualquer outra forma irritados ou comprimidos; bem como pela observação de que os animais perdem o poder de mover seus músculos logo que o nervo ou os nervos a ele ligados são fortemente comprimidos, cortados, ou de qualquer forma destruídos. Disso é possível dar muitos exemplos: mas nos limitaremos a mencionar um, que é muito forte e indiscutível, de forma que não pode admitir qualquer dúvida. Quando se corta o nervo recorrente de um lado da laringe, a voz se torna notavelmente mais fraca; quando se cortam os dois nervos, se perde inteira e irremediavelmente, isto é, o animal perde todo o poder para movimentar os músculos que servem para aumentar ou diminuir a abertura da glote</w:t>
      </w:r>
      <w:r>
        <w:rPr>
          <w:rStyle w:val="Caracteresdenotaderodap"/>
          <w:rStyle w:val="Ncoradanotaderodap"/>
          <w:rFonts w:cs="Times New Roman" w:ascii="Times New Roman" w:hAnsi="Times New Roman"/>
          <w:bCs/>
          <w:i/>
          <w:sz w:val="24"/>
          <w:szCs w:val="24"/>
        </w:rPr>
        <w:footnoteReference w:id="175"/>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A analogia usada por Whytt para explicar que a premência do cérebro como fonte de sensação e movimento se baseia em observações de casos clínicos, tais como, a ideia de que pequenas inflamações nas membranas do cérebro causariam a loucura ou mesmo uma compressão causando paralisia ou apoplexia. Para Whytt, a ocorrência de inflamação ou compressão semelhante em outros órgãos não causa esses mesmos sintomas, o que indica ser o cérebro a cede da vida mental</w:t>
      </w:r>
      <w:r>
        <w:rPr>
          <w:rStyle w:val="Caracteresdenotaderodap"/>
          <w:rStyle w:val="Ncoradanotaderodap"/>
          <w:rFonts w:cs="Times New Roman" w:ascii="Times New Roman" w:hAnsi="Times New Roman"/>
          <w:bCs/>
          <w:sz w:val="24"/>
          <w:szCs w:val="24"/>
        </w:rPr>
        <w:footnoteReference w:id="176"/>
      </w:r>
      <w:r>
        <w:rPr>
          <w:rFonts w:cs="Times New Roman" w:ascii="Times New Roman" w:hAnsi="Times New Roman"/>
          <w:bCs/>
          <w:sz w:val="24"/>
          <w:szCs w:val="24"/>
        </w:rPr>
        <w:t xml:space="preserve">. A causa imediata da contração dos músculos se deve, segundo Whytt, ao </w:t>
      </w:r>
      <w:r>
        <w:rPr>
          <w:rFonts w:cs="Times New Roman" w:ascii="Times New Roman" w:hAnsi="Times New Roman"/>
          <w:bCs/>
          <w:i/>
          <w:sz w:val="24"/>
          <w:szCs w:val="24"/>
        </w:rPr>
        <w:t>poder nervoso</w:t>
      </w:r>
      <w:r>
        <w:rPr>
          <w:rStyle w:val="Caracteresdenotaderodap"/>
          <w:rStyle w:val="Ncoradanotaderodap"/>
          <w:rFonts w:cs="Times New Roman" w:ascii="Times New Roman" w:hAnsi="Times New Roman"/>
          <w:bCs/>
          <w:i/>
          <w:sz w:val="24"/>
          <w:szCs w:val="24"/>
        </w:rPr>
        <w:footnoteReference w:id="177"/>
      </w:r>
      <w:r>
        <w:rPr>
          <w:rFonts w:cs="Times New Roman" w:ascii="Times New Roman" w:hAnsi="Times New Roman"/>
          <w:bCs/>
          <w:i/>
          <w:sz w:val="24"/>
          <w:szCs w:val="24"/>
        </w:rPr>
        <w:t>.</w:t>
      </w:r>
      <w:r>
        <w:rPr>
          <w:rFonts w:cs="Times New Roman" w:ascii="Times New Roman" w:hAnsi="Times New Roman"/>
          <w:bCs/>
          <w:sz w:val="24"/>
          <w:szCs w:val="24"/>
        </w:rPr>
        <w:t xml:space="preserve"> Whytt descartou também a possível influência do sangue arterial como causa do movimento muscular. A principal função do fluxo sanguíneo para o movimento é de nutrição e regulação da temperatura. Um experimento relativamente simples e que demonstrou tal resultado é dado quando se obstruiu o fluxo das artérias ao músculo e se observou sua ação motora enfraquecer gradualmente, mas não cessar, enquanto que, se os nervos ligados ao músculo são interrompidos a ação muscular se interrompe por completo.        </w:t>
      </w:r>
    </w:p>
    <w:p>
      <w:pPr>
        <w:pStyle w:val="Corpodotexto"/>
        <w:tabs>
          <w:tab w:val="clear" w:pos="708"/>
          <w:tab w:val="left" w:pos="54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O princípio de que a intensidade de um estímulo gerará uma resposta com a mesma intensidade pode ser deduzido sem o uso da experimentação. Whytt somente chama a atenção ao fato de tal princípio não ser confundido quando se trata de constituições distintas de nervos. Essa é uma questão que será objeto de inúmeros trabalhos ao longo do século XIX. Uma vez que há estímulos sensoriais distintos (visual, auditivo, táctil entre outros), a constituição anatômica e fisiológica dos nervos deve dar conta dessas variações.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Dois anos antes da publicação de Whytt, em 1749, David Hartley (1705-1757) publicou suas observações acerca da ação voluntária e involuntária. Hartley explica o processo de recepção dos estímulos e a resposta motora por vibrações motoras. Cito Hartley:</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A fim de permitir o aparecimento disso [contração muscular], será correto distinguir as vibrações motoras, ou as que descem pelos nervos dos músculos em suas fibras. (...) Em primeiro lugar, devemos pensar que as vibrações sensoriais que são excitadas nos órgãos externos, e sobem para o cérebro, quando chegam, em sua ascensão, às origens dos nervos motores, à medida que sobem do mesmo tronco, plexo ou gânglio, atingindo os nervos sensoriais, separam uma parte de si mesmas em cada uma dessas origens, até os nervos motores; essa parte, ao agitar as pequenas partículas das fibras musculares, segundo a maneira explicada, as excita à contração</w:t>
      </w:r>
      <w:r>
        <w:rPr>
          <w:rStyle w:val="Caracteresdenotaderodap"/>
          <w:rStyle w:val="Ncoradanotaderodap"/>
          <w:rFonts w:cs="Times New Roman" w:ascii="Times New Roman" w:hAnsi="Times New Roman"/>
          <w:bCs/>
          <w:i/>
          <w:sz w:val="24"/>
          <w:szCs w:val="24"/>
        </w:rPr>
        <w:footnoteReference w:id="178"/>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Na proposta das vibrações motoras de Hartley podemos supor uma concepção anatômica do sistema de fibras nervosas e motoras em analogia com um sistema físico de cordas. Uma vez que a fibra, tanto nervosa como muscular, é a instância última da análise anatômica na segunda metade do século XVIII e é natural que os modelos explicativos do movimento voluntário e involuntário façam referencia a relação entre a fibra nervosa e a muscular. Tanto o caso de Whytt como de Hartley se encaixam nos modelos mecânicos do sistema nervoso disponíveis no período</w:t>
      </w:r>
      <w:r>
        <w:rPr>
          <w:rStyle w:val="Caracteresdenotaderodap"/>
          <w:rStyle w:val="Ncoradanotaderodap"/>
          <w:rFonts w:cs="Times New Roman" w:ascii="Times New Roman" w:hAnsi="Times New Roman"/>
          <w:bCs/>
          <w:sz w:val="24"/>
          <w:szCs w:val="24"/>
        </w:rPr>
        <w:footnoteReference w:id="179"/>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hanging="0"/>
        <w:rPr>
          <w:rFonts w:ascii="Times New Roman" w:hAnsi="Times New Roman" w:cs="Times New Roman"/>
          <w:b/>
          <w:b/>
          <w:bCs/>
          <w:sz w:val="24"/>
          <w:szCs w:val="24"/>
        </w:rPr>
      </w:pPr>
      <w:r>
        <w:rPr>
          <w:rFonts w:cs="Times New Roman" w:ascii="Times New Roman" w:hAnsi="Times New Roman"/>
          <w:b/>
          <w:bCs/>
          <w:sz w:val="24"/>
          <w:szCs w:val="24"/>
        </w:rPr>
        <w:t>O Princípio de associação e a explicação dos movimentos do corpo</w:t>
      </w:r>
    </w:p>
    <w:p>
      <w:pPr>
        <w:pStyle w:val="Corpodotexto"/>
        <w:spacing w:lineRule="auto" w:line="36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A proposta de Hartley</w:t>
      </w:r>
      <w:r>
        <w:rPr>
          <w:rStyle w:val="Caracteresdenotaderodap"/>
          <w:rStyle w:val="Ncoradanotaderodap"/>
          <w:rFonts w:cs="Times New Roman" w:ascii="Times New Roman" w:hAnsi="Times New Roman"/>
          <w:bCs/>
          <w:sz w:val="24"/>
          <w:szCs w:val="24"/>
        </w:rPr>
        <w:footnoteReference w:id="180"/>
      </w:r>
      <w:r>
        <w:rPr>
          <w:rFonts w:cs="Times New Roman" w:ascii="Times New Roman" w:hAnsi="Times New Roman"/>
          <w:bCs/>
          <w:sz w:val="24"/>
          <w:szCs w:val="24"/>
        </w:rPr>
        <w:t xml:space="preserve"> concebe a transferência dos movimentos involuntários aos voluntários e o caminho inverso. Adotando o princípio de associação (Hartley é mais conhecido na história da Psicologia como um dos primeiros a propor um modelo semifisiológico para os movimentos por associação</w:t>
      </w:r>
      <w:r>
        <w:rPr>
          <w:rStyle w:val="Caracteresdenotaderodap"/>
          <w:rStyle w:val="Ncoradanotaderodap"/>
          <w:rFonts w:cs="Times New Roman" w:ascii="Times New Roman" w:hAnsi="Times New Roman"/>
          <w:bCs/>
          <w:sz w:val="24"/>
          <w:szCs w:val="24"/>
        </w:rPr>
        <w:footnoteReference w:id="181"/>
      </w:r>
      <w:r>
        <w:rPr>
          <w:rFonts w:cs="Times New Roman" w:ascii="Times New Roman" w:hAnsi="Times New Roman"/>
          <w:bCs/>
          <w:sz w:val="24"/>
          <w:szCs w:val="24"/>
        </w:rPr>
        <w:t xml:space="preserve">). Hartley entende que as sensações se baseiam em vibrações no interior de um sistema de fibras nervosas.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O princípio associativo proposto por Hartley prevê a possibilidade de associação entre sensações e ideias, ideias e ideias e sensações, ideias e movimentos. As sensações podem ser consideradas em associação quando suas impressões se dão no mesmo instante ou em instantes contíguos sucessivamente. Dessa maneira, Hartley distinguiu duas formas de associação, uma sincrônica e outra sucessiva. </w:t>
      </w:r>
    </w:p>
    <w:p>
      <w:pPr>
        <w:pStyle w:val="Corpodotexto"/>
        <w:tabs>
          <w:tab w:val="clear" w:pos="708"/>
          <w:tab w:val="left" w:pos="540" w:leader="none"/>
          <w:tab w:val="left" w:pos="720" w:leader="none"/>
        </w:tabs>
        <w:spacing w:lineRule="auto" w:line="360" w:before="0" w:after="0"/>
        <w:rPr/>
      </w:pPr>
      <w:r>
        <w:rPr>
          <w:rFonts w:cs="Times New Roman" w:ascii="Times New Roman" w:hAnsi="Times New Roman"/>
          <w:bCs/>
          <w:sz w:val="24"/>
          <w:szCs w:val="24"/>
        </w:rPr>
        <w:tab/>
        <w:t xml:space="preserve">Na seção 2 do capítulo primeiro da primeira parte, Hartley afirma na proposição nove que, as vibrações sensoriais, ao se repetirem, criam na substância medular do cérebro uma disposição para subunidades vibracionais (Hartley denominou de </w:t>
      </w:r>
      <w:r>
        <w:rPr>
          <w:rFonts w:cs="Times New Roman" w:ascii="Times New Roman" w:hAnsi="Times New Roman"/>
          <w:bCs/>
          <w:i/>
          <w:sz w:val="24"/>
          <w:szCs w:val="24"/>
        </w:rPr>
        <w:t>vibratiúnculos</w:t>
      </w:r>
      <w:r>
        <w:rPr>
          <w:rFonts w:cs="Times New Roman" w:ascii="Times New Roman" w:hAnsi="Times New Roman"/>
          <w:bCs/>
          <w:sz w:val="24"/>
          <w:szCs w:val="24"/>
        </w:rPr>
        <w:t xml:space="preserve"> tais subunidades). As vibrações propagadas pelos nervos criam ideias e acompanham sensações. Sobre o substrato anatômico desse processo Hartley afirmou:</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Aparentemente, algum movimento deve ser excitado na substância medular durante cada sensação e esse movimento precisa ser vibratório. Portanto, como algum movimento precisa também ser excitado na substância medular durante a presença de cada ideia, esse movimento não pode deixar de ser vibratório. Se não fosse assim, como poderia decorrer da vibração original que acompanha a sensação, da mesma forma que a ideia procede da sensação?</w:t>
      </w:r>
      <w:r>
        <w:rPr>
          <w:rStyle w:val="Caracteresdenotaderodap"/>
          <w:rStyle w:val="Ncoradanotaderodap"/>
          <w:rFonts w:cs="Times New Roman" w:ascii="Times New Roman" w:hAnsi="Times New Roman"/>
          <w:bCs/>
          <w:i/>
          <w:sz w:val="24"/>
          <w:szCs w:val="24"/>
        </w:rPr>
        <w:footnoteReference w:id="182"/>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 passagem é muito elucidativa em mostrar como Hartley centraliza na medula espinhal o registro de cada impressão. Seu modelo vibratório de funcionamento do sistema nervoso, apesar de possuir pouco conteúdo empírico, antecede as ideias e sensações, tendo como princípio funcional a excitação da substância medular. Ainda na primeira parte de seu livro, na proposição doze, Hartley garante a possibilidade da passagem de ideias simples às ideias complexas por meio de associações. Um dos exemplos apresentados por Hartley é o seguinte: consideremos uma sensação A que esteja frequentemente associada com B, C, D etc. Em alguns momentos A estará associada com B, em outros com C e assim por diante. Quando A é apresentada isolada das demais e é causa de B, C, D etc, todas ao mesmo tempo, ou seja, as associará umas com as outras, desde que atendam a condição de pertencer a diferentes regiões da substância medular. Hartley diz que, caso duas ou mais pertençam à mesma região (na condição de não existir conjuntamente em suas formas distintas), A provocará algo intermediário entre elas.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A ideia de associação por contiguidade explicaria, segundo Hartley, como os movimentos automáticos passam ao controle voluntário e esses ao automático. Na proposição 21 Hartley apresenta a maneira como os movimentos voluntários e semivoluntários podem ser deduzidos da associação. A distinção entre movimentos não se dá apenas em voluntários e involuntários, para Hartley há uma gradação entre esses dois níveis, admitindo, por exemplo, o que ele designou por movimentos semivoluntários</w:t>
      </w:r>
      <w:r>
        <w:rPr>
          <w:rStyle w:val="Caracteresdenotaderodap"/>
          <w:rStyle w:val="Ncoradanotaderodap"/>
          <w:rFonts w:cs="Times New Roman" w:ascii="Times New Roman" w:hAnsi="Times New Roman"/>
          <w:bCs/>
          <w:sz w:val="24"/>
          <w:szCs w:val="24"/>
        </w:rPr>
        <w:footnoteReference w:id="183"/>
      </w:r>
      <w:r>
        <w:rPr>
          <w:rFonts w:cs="Times New Roman" w:ascii="Times New Roman" w:hAnsi="Times New Roman"/>
          <w:bCs/>
          <w:sz w:val="24"/>
          <w:szCs w:val="24"/>
        </w:rPr>
        <w:t xml:space="preserve">.  </w:t>
      </w:r>
    </w:p>
    <w:p>
      <w:pPr>
        <w:pStyle w:val="Corpodotexto"/>
        <w:tabs>
          <w:tab w:val="clear" w:pos="708"/>
          <w:tab w:val="left" w:pos="540" w:leader="none"/>
          <w:tab w:val="left" w:pos="720" w:leader="none"/>
        </w:tabs>
        <w:spacing w:lineRule="auto" w:line="360" w:before="0" w:after="0"/>
        <w:rPr/>
      </w:pPr>
      <w:r>
        <w:rPr>
          <w:rFonts w:cs="Times New Roman" w:ascii="Times New Roman" w:hAnsi="Times New Roman"/>
          <w:bCs/>
          <w:sz w:val="24"/>
          <w:szCs w:val="24"/>
        </w:rPr>
        <w:tab/>
        <w:t xml:space="preserve">A validação da proposição 21 se dá na interrogação que se deve fazer sobre as ligações obtidas em cada movimento automático em associação com outros movimentos, ideias ou sensações, de forma que dependam deles. </w:t>
        <w:tab/>
        <w:t xml:space="preserve">Hartley considera que a extrapolação da amplitude de sua teoria é valida, apesar do que considera ser um caráter puramente fictício no que concerne à validade do princípio de associação. Em outro momento, Hartley se refere à associação como doutrina e não princípio, o que a coloca no mesmo nível da teoria das vibrações, advinda da mecânica. A teoria das vibrações, dessa forma, explicaria todos os movimentos automáticos originais, enquanto que, a associação explicaria os voluntários e, de maneira secundária, os automáticos.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Há duas maneiras de explicar o conjunto total de movimentos, dirá Hartley, por vibração nos nervos e por associação. Hartley propõe que se deduza a associação da doutrina vibracional, assim, podem-se explicar todas as sensações, ideias e movimentos dos animais a partir das vibrações das pequenas partículas da medula. Como primeiro corolário, Hartley atribui ao cérebro e não a medula espinhal ou aos nervos, o centro onde se localiza a alma na medida em que dirige os movimentos voluntários.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Já no segundo corolário, Hartley se opõe à tese de Stahl e seus seguidores, para quem o movimento voluntário é o movimento primário nos animais. Para Hartley, os movimentos são inicialmente automáticos e vão gradualmente se tornando voluntários</w:t>
      </w:r>
      <w:r>
        <w:rPr>
          <w:rStyle w:val="Caracteresdenotaderodap"/>
          <w:rStyle w:val="Ncoradanotaderodap"/>
          <w:rFonts w:cs="Times New Roman" w:ascii="Times New Roman" w:hAnsi="Times New Roman"/>
          <w:bCs/>
          <w:sz w:val="24"/>
          <w:szCs w:val="24"/>
        </w:rPr>
        <w:footnoteReference w:id="184"/>
      </w:r>
      <w:r>
        <w:rPr>
          <w:rFonts w:cs="Times New Roman" w:ascii="Times New Roman" w:hAnsi="Times New Roman"/>
          <w:bCs/>
          <w:sz w:val="24"/>
          <w:szCs w:val="24"/>
        </w:rPr>
        <w:t xml:space="preserve">. O conceito de </w:t>
      </w:r>
      <w:r>
        <w:rPr>
          <w:rFonts w:cs="Times New Roman" w:ascii="Times New Roman" w:hAnsi="Times New Roman"/>
          <w:bCs/>
          <w:i/>
          <w:sz w:val="24"/>
          <w:szCs w:val="24"/>
        </w:rPr>
        <w:t>arco reflexo</w:t>
      </w:r>
      <w:r>
        <w:rPr>
          <w:rFonts w:cs="Times New Roman" w:ascii="Times New Roman" w:hAnsi="Times New Roman"/>
          <w:bCs/>
          <w:sz w:val="24"/>
          <w:szCs w:val="24"/>
        </w:rPr>
        <w:t xml:space="preserve"> somente será proposto no século XIX</w:t>
      </w:r>
      <w:r>
        <w:rPr>
          <w:rStyle w:val="Caracteresdenotaderodap"/>
          <w:rStyle w:val="Ncoradanotaderodap"/>
          <w:rFonts w:cs="Times New Roman" w:ascii="Times New Roman" w:hAnsi="Times New Roman"/>
          <w:bCs/>
          <w:sz w:val="24"/>
          <w:szCs w:val="24"/>
        </w:rPr>
        <w:footnoteReference w:id="185"/>
      </w:r>
      <w:r>
        <w:rPr>
          <w:rFonts w:cs="Times New Roman" w:ascii="Times New Roman" w:hAnsi="Times New Roman"/>
          <w:bCs/>
          <w:sz w:val="24"/>
          <w:szCs w:val="24"/>
        </w:rPr>
        <w:t xml:space="preserve">, mas, uma vez que Hartley admite ser o movimento involuntário o movimento primário no organismo, é necessário determinar a posteriori, dentre os movimentos automáticos, qual deles é anterior na escala animal.         </w:t>
      </w:r>
    </w:p>
    <w:p>
      <w:pPr>
        <w:pStyle w:val="Corpodotexto"/>
        <w:tabs>
          <w:tab w:val="clear" w:pos="708"/>
          <w:tab w:val="left" w:pos="720" w:leader="none"/>
        </w:tabs>
        <w:spacing w:lineRule="auto" w:line="360" w:before="0" w:after="0"/>
        <w:rPr>
          <w:rFonts w:ascii="Times New Roman" w:hAnsi="Times New Roman" w:cs="Times New Roman"/>
          <w:bCs/>
          <w:i/>
          <w:i/>
          <w:sz w:val="24"/>
          <w:szCs w:val="24"/>
        </w:rPr>
      </w:pPr>
      <w:r>
        <w:rPr>
          <w:rFonts w:cs="Times New Roman" w:ascii="Times New Roman" w:hAnsi="Times New Roman"/>
          <w:bCs/>
          <w:sz w:val="24"/>
          <w:szCs w:val="24"/>
        </w:rPr>
        <w:tab/>
        <w:t>Uma personagem importante nos estudos de reflexologia na virada do século XVIII para o século XIX foi George Prochaska</w:t>
      </w:r>
      <w:r>
        <w:rPr>
          <w:rStyle w:val="Caracteresdenotaderodap"/>
          <w:rStyle w:val="Ncoradanotaderodap"/>
          <w:rFonts w:cs="Times New Roman" w:ascii="Times New Roman" w:hAnsi="Times New Roman"/>
          <w:bCs/>
          <w:sz w:val="24"/>
          <w:szCs w:val="24"/>
        </w:rPr>
        <w:footnoteReference w:id="186"/>
      </w:r>
      <w:r>
        <w:rPr>
          <w:rFonts w:cs="Times New Roman" w:ascii="Times New Roman" w:hAnsi="Times New Roman"/>
          <w:bCs/>
          <w:sz w:val="24"/>
          <w:szCs w:val="24"/>
        </w:rPr>
        <w:t xml:space="preserve"> (1749-1820). Especificamente sobre o processo reflexivo, Prochaska entende ser ele decorrente da </w:t>
      </w:r>
      <w:r>
        <w:rPr>
          <w:rFonts w:cs="Times New Roman" w:ascii="Times New Roman" w:hAnsi="Times New Roman"/>
          <w:bCs/>
          <w:i/>
          <w:sz w:val="24"/>
          <w:szCs w:val="24"/>
        </w:rPr>
        <w:t xml:space="preserve">força nervosa </w:t>
      </w:r>
      <w:r>
        <w:rPr>
          <w:rFonts w:cs="Times New Roman" w:ascii="Times New Roman" w:hAnsi="Times New Roman"/>
          <w:bCs/>
          <w:sz w:val="24"/>
          <w:szCs w:val="24"/>
        </w:rPr>
        <w:t xml:space="preserve">(vis nervosa). Na seção oito do capítulo primeiro de sua dissertação, Prochaska expõe sua teoria de como as funções nervosas são explicadas pelo conceito de </w:t>
      </w:r>
      <w:r>
        <w:rPr>
          <w:rFonts w:cs="Times New Roman" w:ascii="Times New Roman" w:hAnsi="Times New Roman"/>
          <w:bCs/>
          <w:i/>
          <w:sz w:val="24"/>
          <w:szCs w:val="24"/>
        </w:rPr>
        <w:t>força nervosa</w:t>
      </w:r>
      <w:r>
        <w:rPr>
          <w:rFonts w:cs="Times New Roman" w:ascii="Times New Roman" w:hAnsi="Times New Roman"/>
          <w:bCs/>
          <w:sz w:val="24"/>
          <w:szCs w:val="24"/>
        </w:rPr>
        <w:t xml:space="preserve">. Defende o abandono do método cartesiano na investigação da natureza e se refere ao método indutivo como único capaz de oferecer um conhecimento seguro da natureza. </w:t>
      </w:r>
    </w:p>
    <w:p>
      <w:pPr>
        <w:pStyle w:val="Corpodotexto"/>
        <w:tabs>
          <w:tab w:val="clear" w:pos="708"/>
          <w:tab w:val="left" w:pos="720" w:leader="none"/>
        </w:tabs>
        <w:spacing w:lineRule="auto" w:line="360" w:before="0" w:after="0"/>
        <w:ind w:hanging="0"/>
        <w:rPr/>
      </w:pPr>
      <w:r>
        <w:rPr>
          <w:rFonts w:cs="Times New Roman" w:ascii="Times New Roman" w:hAnsi="Times New Roman"/>
          <w:bCs/>
          <w:sz w:val="24"/>
          <w:szCs w:val="24"/>
        </w:rPr>
        <w:tab/>
        <w:t xml:space="preserve">Prochaska defendeu que a recepção sensorial e a expressão motora tinham um ponto de convergência e que se davam em uma região específica do sistema nervoso, o </w:t>
      </w:r>
      <w:r>
        <w:rPr>
          <w:rFonts w:cs="Times New Roman" w:ascii="Times New Roman" w:hAnsi="Times New Roman"/>
          <w:bCs/>
          <w:i/>
          <w:sz w:val="24"/>
          <w:szCs w:val="24"/>
        </w:rPr>
        <w:t>sensorium commune</w:t>
      </w:r>
      <w:r>
        <w:rPr>
          <w:rFonts w:cs="Times New Roman" w:ascii="Times New Roman" w:hAnsi="Times New Roman"/>
          <w:bCs/>
          <w:sz w:val="24"/>
          <w:szCs w:val="24"/>
        </w:rPr>
        <w:t xml:space="preserve">. Na teoria de Haller, o </w:t>
      </w:r>
      <w:r>
        <w:rPr>
          <w:rFonts w:cs="Times New Roman" w:ascii="Times New Roman" w:hAnsi="Times New Roman"/>
          <w:bCs/>
          <w:i/>
          <w:sz w:val="24"/>
          <w:szCs w:val="24"/>
        </w:rPr>
        <w:t>sensorium commune</w:t>
      </w:r>
      <w:r>
        <w:rPr>
          <w:rFonts w:cs="Times New Roman" w:ascii="Times New Roman" w:hAnsi="Times New Roman"/>
          <w:bCs/>
          <w:sz w:val="24"/>
          <w:szCs w:val="24"/>
        </w:rPr>
        <w:t xml:space="preserve"> é considerado como sinônimo de cérebro. Para Prochaska, o </w:t>
      </w:r>
      <w:r>
        <w:rPr>
          <w:rFonts w:cs="Times New Roman" w:ascii="Times New Roman" w:hAnsi="Times New Roman"/>
          <w:bCs/>
          <w:i/>
          <w:sz w:val="24"/>
          <w:szCs w:val="24"/>
        </w:rPr>
        <w:t>sensorium commune</w:t>
      </w:r>
      <w:r>
        <w:rPr>
          <w:rFonts w:cs="Times New Roman" w:ascii="Times New Roman" w:hAnsi="Times New Roman"/>
          <w:bCs/>
          <w:sz w:val="24"/>
          <w:szCs w:val="24"/>
        </w:rPr>
        <w:t xml:space="preserve"> permanece como uma espécie de área integradora, mas não se restringe apenas ao cérebro. Outra novidade que surge com seu trabalho é que a relação entre a recepção do estímulo e a resposta motora é controlada por leis naturais e não pela vontade (ideia um tanto quanto confusa para os fisiologistas desse período). Isso garante a independência dos movimentos automáticos em relação aos movimentos voluntários.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 força nervosa seria uma propriedade inerente à região da medula, no entanto, afirma Prochaska, é necessário o estímulo para que se dê a ação dessa força no nervo. O estímulo possui duas naturezas, que Prochaska chamou </w:t>
      </w:r>
      <w:r>
        <w:rPr>
          <w:rFonts w:cs="Times New Roman" w:ascii="Times New Roman" w:hAnsi="Times New Roman"/>
          <w:bCs/>
          <w:i/>
          <w:sz w:val="24"/>
          <w:szCs w:val="24"/>
        </w:rPr>
        <w:t>estímulos do corpo</w:t>
      </w:r>
      <w:r>
        <w:rPr>
          <w:rFonts w:cs="Times New Roman" w:ascii="Times New Roman" w:hAnsi="Times New Roman"/>
          <w:bCs/>
          <w:sz w:val="24"/>
          <w:szCs w:val="24"/>
        </w:rPr>
        <w:t xml:space="preserve"> e </w:t>
      </w:r>
      <w:r>
        <w:rPr>
          <w:rFonts w:cs="Times New Roman" w:ascii="Times New Roman" w:hAnsi="Times New Roman"/>
          <w:bCs/>
          <w:i/>
          <w:sz w:val="24"/>
          <w:szCs w:val="24"/>
        </w:rPr>
        <w:t>estímulos da mente</w:t>
      </w:r>
      <w:r>
        <w:rPr>
          <w:rFonts w:cs="Times New Roman" w:ascii="Times New Roman" w:hAnsi="Times New Roman"/>
          <w:bCs/>
          <w:sz w:val="24"/>
          <w:szCs w:val="24"/>
        </w:rPr>
        <w:t>. Por um princípio isomórfico</w:t>
      </w:r>
      <w:r>
        <w:rPr>
          <w:rStyle w:val="Caracteresdenotaderodap"/>
          <w:rStyle w:val="Ncoradanotaderodap"/>
          <w:rFonts w:cs="Times New Roman" w:ascii="Times New Roman" w:hAnsi="Times New Roman"/>
          <w:bCs/>
          <w:sz w:val="24"/>
          <w:szCs w:val="24"/>
        </w:rPr>
        <w:footnoteReference w:id="187"/>
      </w:r>
      <w:r>
        <w:rPr>
          <w:rFonts w:cs="Times New Roman" w:ascii="Times New Roman" w:hAnsi="Times New Roman"/>
          <w:bCs/>
          <w:sz w:val="24"/>
          <w:szCs w:val="24"/>
        </w:rPr>
        <w:t xml:space="preserve">, as operações do sistema nervoso são proporcionais à </w:t>
      </w:r>
      <w:r>
        <w:rPr>
          <w:rFonts w:cs="Times New Roman" w:ascii="Times New Roman" w:hAnsi="Times New Roman"/>
          <w:bCs/>
          <w:i/>
          <w:sz w:val="24"/>
          <w:szCs w:val="24"/>
        </w:rPr>
        <w:t>força nervosa</w:t>
      </w:r>
      <w:r>
        <w:rPr>
          <w:rFonts w:cs="Times New Roman" w:ascii="Times New Roman" w:hAnsi="Times New Roman"/>
          <w:bCs/>
          <w:sz w:val="24"/>
          <w:szCs w:val="24"/>
        </w:rPr>
        <w:t xml:space="preserve"> (</w:t>
      </w:r>
      <w:r>
        <w:rPr>
          <w:rFonts w:cs="Times New Roman" w:ascii="Times New Roman" w:hAnsi="Times New Roman"/>
          <w:bCs/>
          <w:i/>
          <w:sz w:val="24"/>
          <w:szCs w:val="24"/>
        </w:rPr>
        <w:t>vis nervosa</w:t>
      </w:r>
      <w:r>
        <w:rPr>
          <w:rFonts w:cs="Times New Roman" w:ascii="Times New Roman" w:hAnsi="Times New Roman"/>
          <w:bCs/>
          <w:sz w:val="24"/>
          <w:szCs w:val="24"/>
        </w:rPr>
        <w:t>) e ao estímulo (</w:t>
      </w:r>
      <w:r>
        <w:rPr>
          <w:rFonts w:cs="Times New Roman" w:ascii="Times New Roman" w:hAnsi="Times New Roman"/>
          <w:bCs/>
          <w:i/>
          <w:sz w:val="24"/>
          <w:szCs w:val="24"/>
        </w:rPr>
        <w:t>vis stimuli</w:t>
      </w:r>
      <w:r>
        <w:rPr>
          <w:rFonts w:cs="Times New Roman" w:ascii="Times New Roman" w:hAnsi="Times New Roman"/>
          <w:bCs/>
          <w:sz w:val="24"/>
          <w:szCs w:val="24"/>
        </w:rPr>
        <w:t xml:space="preserve">). A força nervosa encontra-se nos nervos independentemente do cérebro. Dessa maneira, não mais se concebe uma ação à distância dos espíritos animais em casos de animais com a cabeça decepada e que continuam a ter movimentos nos membros inferiores.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Na relação percepção-resposta, Prochaska afirma que as impressões externas atingem os nervos sensoriais e são transmitidas até sua origem e, por leis desconhecidas, são refletidas aos nervos musculares da mesma maneira que é transmitida ao músculo. Essa região central, onde ocorre a reflexão/transmissão entre o nervo sensorial e o nervo motor é o </w:t>
      </w:r>
      <w:r>
        <w:rPr>
          <w:rFonts w:cs="Times New Roman" w:ascii="Times New Roman" w:hAnsi="Times New Roman"/>
          <w:bCs/>
          <w:i/>
          <w:sz w:val="24"/>
          <w:szCs w:val="24"/>
        </w:rPr>
        <w:t>sensorium commune</w:t>
      </w:r>
      <w:r>
        <w:rPr>
          <w:rFonts w:cs="Times New Roman" w:ascii="Times New Roman" w:hAnsi="Times New Roman"/>
          <w:bCs/>
          <w:sz w:val="24"/>
          <w:szCs w:val="24"/>
        </w:rPr>
        <w:t>. Para Prochaska, o sensorium commune encontra-se em várias regiões do sistema nervoso, estendendo-se do bulbo raquidiano (medula oblonga) aos pedúnculos do cérebro e do cerebelo e também em partes do tálamo e da medula espinhal. É coextensivo com a origem dos nervos. Essa ideia de áreas centrais e não mais um centro, também é um ponto específico na teoria de Prochaska, pois, permite explicar a existência de movimentos em partes do corpo separadas do centro cerebral</w:t>
      </w:r>
      <w:r>
        <w:rPr>
          <w:rStyle w:val="Caracteresdenotaderodap"/>
          <w:rStyle w:val="Ncoradanotaderodap"/>
          <w:rFonts w:cs="Times New Roman" w:ascii="Times New Roman" w:hAnsi="Times New Roman"/>
          <w:bCs/>
          <w:sz w:val="24"/>
          <w:szCs w:val="24"/>
        </w:rPr>
        <w:footnoteReference w:id="188"/>
      </w:r>
      <w:r>
        <w:rPr>
          <w:rFonts w:cs="Times New Roman" w:ascii="Times New Roman" w:hAnsi="Times New Roman"/>
          <w:bCs/>
          <w:sz w:val="24"/>
          <w:szCs w:val="24"/>
        </w:rPr>
        <w:t xml:space="preserve">. Apesar do modelo explicativo de Prochaska permitir autonomia diante de um centro gerenciador dos movimentos unicamente no cérebro, sua teoria não se separou das antecessoras no que se refere à origem do movimento voluntário. Prochaska concebia dois tipos primários de movimento: (1) movimento voluntário ou animal e (2) movimento involuntário. As ações voluntárias dependeriam do controle livre da alma. Somente a partir da década de 1830 que o conceito de reflexo será modificado e assumirá um papel centralizador nos estudos de fisiologia do movimento.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hanging="0"/>
        <w:rPr/>
      </w:pPr>
      <w:r>
        <w:rPr>
          <w:rFonts w:cs="Times New Roman" w:ascii="Times New Roman" w:hAnsi="Times New Roman"/>
          <w:b/>
          <w:bCs/>
          <w:sz w:val="24"/>
          <w:szCs w:val="24"/>
        </w:rPr>
        <w:t>Marshall Hall e o conceito de arco reflexo</w:t>
      </w:r>
      <w:r>
        <w:rPr>
          <w:rStyle w:val="Caracteresdenotaderodap"/>
          <w:rStyle w:val="Ncoradanotaderodap"/>
          <w:rFonts w:cs="Times New Roman" w:ascii="Times New Roman" w:hAnsi="Times New Roman"/>
          <w:b/>
          <w:bCs/>
          <w:sz w:val="24"/>
          <w:szCs w:val="24"/>
        </w:rPr>
        <w:footnoteReference w:id="189"/>
      </w:r>
      <w:r>
        <w:rPr>
          <w:rFonts w:cs="Times New Roman" w:ascii="Times New Roman" w:hAnsi="Times New Roman"/>
          <w:b/>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Marshall Hall (1790-1857) foi educado em Edimburgo e mudou-se em 1825 para Londres com o objetivo de estudar medicina. Interessou-se pelo estudo da etiologia e também pela ideia de classificação. Hall trabalhou primeiramente com o sistema circulatório onde questionou a existência de finos capilares dentro dos tecidos. Quando Hall estudava temas gerais de fisiologia, nas primeiras décadas do século XIX, os estudos da fisiologia do sistema nervoso se constituíam como temas duros da pesquisa.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Na introdução da segunda parte de suas memórias sobre o sistema nervoso, Hall apresenta seu objetivo de demonstrar o desenvolvimento de um grande princípio fisiológico, que possuísse a especial função fisiológica, patológica e terapêutica da parte verdadeiramente espinhal e do sistema excito-motor dos nervos. Esse princípio atuaria, segundo Hall, em todas as operações e ações que eram designadas por simpático (</w:t>
      </w:r>
      <w:r>
        <w:rPr>
          <w:rFonts w:cs="Times New Roman" w:ascii="Times New Roman" w:hAnsi="Times New Roman"/>
          <w:bCs/>
          <w:i/>
          <w:sz w:val="24"/>
          <w:szCs w:val="24"/>
        </w:rPr>
        <w:t>sympathetic</w:t>
      </w:r>
      <w:r>
        <w:rPr>
          <w:rFonts w:cs="Times New Roman" w:ascii="Times New Roman" w:hAnsi="Times New Roman"/>
          <w:bCs/>
          <w:sz w:val="24"/>
          <w:szCs w:val="24"/>
        </w:rPr>
        <w:t xml:space="preserve">) e que regulam todas as funções de ingestão e excreção na economia animal. Hall se refere à confusão que tal princípio gerava na literatura em relação ao conceito de sensação e ação voluntária. Algumas vezes ambos são tratados como sinônimos. Outra designação se refere à ideia de movimento instintivo.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Na seção três, referente à influência da sensação na indução do movimento, Hall afirma já na primeira proposição (proposição 63) que não há qualquer relação imediata entre sensação e movimento. Há duas maneiras que as sensações influem no movimento, são elas: por volição e emoção. A influência da sensação em induzir uma emoção e consequentemente um movimento era pouco compreendida, embora a visão, por exemplo, de um objeto desagradável induzindo estados de desgosto, possa ser provado, segundo ele, ter como causa os estados emocionais.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Hall apresentou a divisão na distribuição do sistema nervoso em cérebro-espinhal e ganglionar. Essa divisão não permite a distinção do sistema cérebro-espinhal que, segundo Hall, é o que torna necessário que se faça sua devida caracterização. Dessa forma, ele apresentou uma distribuição do sistema nervoso que julgou mais adequada: (1) o cerebral, senciente e voluntário; (2) o verdadeiramente espinhal, ou excitor-motor e (3) o gangliônico, ou nutriente e secretor.       </w:t>
      </w:r>
    </w:p>
    <w:p>
      <w:pPr>
        <w:pStyle w:val="Corpodotexto"/>
        <w:spacing w:lineRule="auto" w:line="360" w:before="0" w:after="0"/>
        <w:rPr>
          <w:rFonts w:ascii="Times New Roman" w:hAnsi="Times New Roman" w:cs="Times New Roman"/>
          <w:bCs/>
          <w:sz w:val="24"/>
          <w:szCs w:val="24"/>
          <w:lang w:val="en-US"/>
        </w:rPr>
      </w:pPr>
      <w:r>
        <w:rPr>
          <w:rFonts w:cs="Times New Roman" w:ascii="Times New Roman" w:hAnsi="Times New Roman"/>
          <w:bCs/>
          <w:sz w:val="24"/>
          <w:szCs w:val="24"/>
        </w:rPr>
        <w:t xml:space="preserve">       </w:t>
      </w:r>
      <w:r>
        <w:rPr>
          <w:rFonts w:cs="Times New Roman" w:ascii="Times New Roman" w:hAnsi="Times New Roman"/>
          <w:bCs/>
          <w:sz w:val="24"/>
          <w:szCs w:val="24"/>
          <w:lang w:val="en-US"/>
        </w:rPr>
        <w:tab/>
      </w:r>
      <w:r>
        <w:rPr>
          <w:rFonts w:cs="Times New Roman" w:ascii="Times New Roman" w:hAnsi="Times New Roman"/>
          <w:bCs/>
          <w:sz w:val="24"/>
          <w:szCs w:val="24"/>
        </w:rPr>
        <w:t>Cito Hall na proposição 133 sobre a anatomia do sistema excito-motor:</w:t>
      </w:r>
    </w:p>
    <w:p>
      <w:pPr>
        <w:pStyle w:val="Corpodotexto"/>
        <w:spacing w:lineRule="auto" w:line="360" w:before="0" w:after="0"/>
        <w:rPr>
          <w:rFonts w:ascii="Times New Roman" w:hAnsi="Times New Roman" w:cs="Times New Roman"/>
          <w:bCs/>
          <w:sz w:val="24"/>
          <w:szCs w:val="24"/>
          <w:lang w:val="en-US"/>
        </w:rPr>
      </w:pPr>
      <w:r>
        <w:rPr>
          <w:rFonts w:cs="Times New Roman" w:ascii="Times New Roman" w:hAnsi="Times New Roman"/>
          <w:bCs/>
          <w:sz w:val="24"/>
          <w:szCs w:val="24"/>
          <w:lang w:val="en-US"/>
        </w:rPr>
      </w:r>
    </w:p>
    <w:p>
      <w:pPr>
        <w:pStyle w:val="Corpodotexto"/>
        <w:spacing w:lineRule="auto" w:line="360" w:before="0" w:after="0"/>
        <w:ind w:left="540" w:hanging="0"/>
        <w:rPr/>
      </w:pPr>
      <w:r>
        <w:rPr>
          <w:rFonts w:cs="Times New Roman" w:ascii="Times New Roman" w:hAnsi="Times New Roman"/>
          <w:bCs/>
          <w:i/>
          <w:sz w:val="24"/>
          <w:szCs w:val="24"/>
        </w:rPr>
        <w:t>Na anatomia do sistema excito-motor há uma rica mina a ser explorada! Na investigação, dois modos podem ser utilizados: dissecção e experimentação</w:t>
      </w:r>
      <w:r>
        <w:rPr>
          <w:rStyle w:val="Caracteresdenotaderodap"/>
          <w:rStyle w:val="Ncoradanotaderodap"/>
          <w:rFonts w:cs="Times New Roman" w:ascii="Times New Roman" w:hAnsi="Times New Roman"/>
          <w:bCs/>
          <w:i/>
          <w:sz w:val="24"/>
          <w:szCs w:val="24"/>
        </w:rPr>
        <w:footnoteReference w:id="190"/>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
          <w:bCs/>
          <w:sz w:val="24"/>
          <w:szCs w:val="24"/>
        </w:rPr>
        <w:t xml:space="preserve">      </w:t>
      </w:r>
      <w:r>
        <w:rPr>
          <w:rFonts w:cs="Times New Roman" w:ascii="Times New Roman" w:hAnsi="Times New Roman"/>
          <w:b/>
          <w:bCs/>
          <w:sz w:val="24"/>
          <w:szCs w:val="24"/>
        </w:rPr>
        <w:tab/>
      </w:r>
      <w:r>
        <w:rPr>
          <w:rFonts w:cs="Times New Roman" w:ascii="Times New Roman" w:hAnsi="Times New Roman"/>
          <w:bCs/>
          <w:sz w:val="24"/>
          <w:szCs w:val="24"/>
        </w:rPr>
        <w:t>Na proposição seguinte (proposição 134) Hall estabeleceu o sistema excito-motor como um princípio no estudo fisiológico dos movimentos no organismo. Todas as partes do sistema nervoso estariam dotadas desse poder excito-motor (</w:t>
      </w:r>
      <w:r>
        <w:rPr>
          <w:rFonts w:cs="Times New Roman" w:ascii="Times New Roman" w:hAnsi="Times New Roman"/>
          <w:bCs/>
          <w:i/>
          <w:sz w:val="24"/>
          <w:szCs w:val="24"/>
        </w:rPr>
        <w:t>excito-motory power</w:t>
      </w:r>
      <w:r>
        <w:rPr>
          <w:rFonts w:cs="Times New Roman" w:ascii="Times New Roman" w:hAnsi="Times New Roman"/>
          <w:bCs/>
          <w:sz w:val="24"/>
          <w:szCs w:val="24"/>
        </w:rPr>
        <w:t xml:space="preserve">). A divisão entre as funções cerebrais, espinhais e ganglionares responderiam a duas grandes funções, as de preservação do indivíduo e de propagação da espécie.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O conceito de reflexo antes de Hall caracterizava-se por ser um fenômeno fisiológico que se associa ao conjunto de movimentos do organismo. Em Hall, assume a condição de princípio biológico fundamental. Hall introduz o termo arco-reflexo em termos anatômicos diferenciando-o de outros movimentos musculares.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 expressão </w:t>
      </w:r>
      <w:r>
        <w:rPr>
          <w:rFonts w:cs="Times New Roman" w:ascii="Times New Roman" w:hAnsi="Times New Roman"/>
          <w:bCs/>
          <w:i/>
          <w:sz w:val="24"/>
          <w:szCs w:val="24"/>
        </w:rPr>
        <w:t>círculo nervoso</w:t>
      </w:r>
      <w:r>
        <w:rPr>
          <w:rFonts w:cs="Times New Roman" w:ascii="Times New Roman" w:hAnsi="Times New Roman"/>
          <w:bCs/>
          <w:sz w:val="24"/>
          <w:szCs w:val="24"/>
        </w:rPr>
        <w:t>, proposta por Charles Bell (1774-1842) em 1811, foi considerada pouco apropriada por Hall, uma vez que se designava no sentido de um fenômeno muscular e não como fenômeno nervoso (sensório-motor). A lei de Bell-Magendie</w:t>
      </w:r>
      <w:r>
        <w:rPr>
          <w:rStyle w:val="Caracteresdenotaderodap"/>
          <w:rStyle w:val="Ncoradanotaderodap"/>
          <w:rFonts w:cs="Times New Roman" w:ascii="Times New Roman" w:hAnsi="Times New Roman"/>
          <w:bCs/>
          <w:sz w:val="24"/>
          <w:szCs w:val="24"/>
        </w:rPr>
        <w:footnoteReference w:id="191"/>
      </w:r>
      <w:r>
        <w:rPr>
          <w:rFonts w:cs="Times New Roman" w:ascii="Times New Roman" w:hAnsi="Times New Roman"/>
          <w:bCs/>
          <w:sz w:val="24"/>
          <w:szCs w:val="24"/>
        </w:rPr>
        <w:t xml:space="preserve"> ou também conhecida como lei das raízes dos nervos espinhais, propunha um sistema circular em que o estímulo advindo do órgão sensorial pelas raízes dorsais seguia o caminho até as raízes ventrais que inervariam determinado conjunto de músculos. A concepção desse sistema proposto inicialmente por Bell teve como substrato a resposta muscular ou ausência dela de acordo com a secção relacionada com determinado conjunto de nervos. Outra ideia de Bell que Hall recusou foi a de </w:t>
      </w:r>
      <w:r>
        <w:rPr>
          <w:rFonts w:cs="Times New Roman" w:ascii="Times New Roman" w:hAnsi="Times New Roman"/>
          <w:bCs/>
          <w:i/>
          <w:sz w:val="24"/>
          <w:szCs w:val="24"/>
        </w:rPr>
        <w:t>sensação muscular</w:t>
      </w:r>
      <w:r>
        <w:rPr>
          <w:rFonts w:cs="Times New Roman" w:ascii="Times New Roman" w:hAnsi="Times New Roman"/>
          <w:bCs/>
          <w:sz w:val="24"/>
          <w:szCs w:val="24"/>
        </w:rPr>
        <w:t xml:space="preserve">, preferindo o uso do termo tônus muscular, diferenciando assim de outras formas de sensação.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Para Hall, a noção de nervos sensoriais de qualquer tipo constitui outro equivoco de Bell. O conceito de energia específica dos nervos, geralmente atribuído a Johannes Müller (1801-1858) pode ser parcialmente atribuído a Bell em 1811, vinte e sete anos antes de Müller propor tal ideia. </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Devo apresentar razões para acreditar que os órgãos externos dos sentidos tem a matéria dos nervos adaptada para receber certas impressões, enquanto os órgãos correspondentes do cérebro são ativados pela excitação externa</w:t>
      </w:r>
      <w:r>
        <w:rPr>
          <w:rStyle w:val="Caracteresdenotaderodap"/>
          <w:rStyle w:val="Ncoradanotaderodap"/>
          <w:rFonts w:cs="Times New Roman" w:ascii="Times New Roman" w:hAnsi="Times New Roman"/>
          <w:bCs/>
          <w:i/>
          <w:sz w:val="24"/>
          <w:szCs w:val="24"/>
        </w:rPr>
        <w:footnoteReference w:id="192"/>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Conceitualmente, pouco se modificou desde a ideia das energias específicas dos nervos e o correspondente histológico dos receptores específicos das células especializadas em cada modalidade sensorial, proposto no século XX.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 xml:space="preserve">     </w:t>
      </w:r>
      <w:r>
        <w:rPr>
          <w:rFonts w:cs="Times New Roman" w:ascii="Times New Roman" w:hAnsi="Times New Roman"/>
          <w:bCs/>
          <w:sz w:val="24"/>
          <w:szCs w:val="24"/>
        </w:rPr>
        <w:tab/>
        <w:t xml:space="preserve">Hall denominou o sistema nervoso espinhal de diastáltico. Segundo ele, Prochaska utilizou o termo reflexo de maneira vaga, exigindo para si o mérito de ter utilizado pela primeira vez uma ideia completa da ação diastáltica da </w:t>
      </w:r>
      <w:r>
        <w:rPr>
          <w:rFonts w:cs="Times New Roman" w:ascii="Times New Roman" w:hAnsi="Times New Roman"/>
          <w:bCs/>
          <w:i/>
          <w:sz w:val="24"/>
          <w:szCs w:val="24"/>
        </w:rPr>
        <w:t>força nervosa</w:t>
      </w:r>
      <w:r>
        <w:rPr>
          <w:rFonts w:cs="Times New Roman" w:ascii="Times New Roman" w:hAnsi="Times New Roman"/>
          <w:bCs/>
          <w:sz w:val="24"/>
          <w:szCs w:val="24"/>
        </w:rPr>
        <w:t xml:space="preserve"> (</w:t>
      </w:r>
      <w:r>
        <w:rPr>
          <w:rFonts w:cs="Times New Roman" w:ascii="Times New Roman" w:hAnsi="Times New Roman"/>
          <w:bCs/>
          <w:i/>
          <w:sz w:val="24"/>
          <w:szCs w:val="24"/>
        </w:rPr>
        <w:t>vis nervosa</w:t>
      </w:r>
      <w:r>
        <w:rPr>
          <w:rFonts w:cs="Times New Roman" w:ascii="Times New Roman" w:hAnsi="Times New Roman"/>
          <w:bCs/>
          <w:sz w:val="24"/>
          <w:szCs w:val="24"/>
        </w:rPr>
        <w:t xml:space="preserve">), termo utilizado por Haller. Como Hall propôs demonstrar a veracidade da </w:t>
      </w:r>
      <w:r>
        <w:rPr>
          <w:rFonts w:cs="Times New Roman" w:ascii="Times New Roman" w:hAnsi="Times New Roman"/>
          <w:bCs/>
          <w:i/>
          <w:sz w:val="24"/>
          <w:szCs w:val="24"/>
        </w:rPr>
        <w:t>força nervosa</w:t>
      </w:r>
      <w:r>
        <w:rPr>
          <w:rFonts w:cs="Times New Roman" w:ascii="Times New Roman" w:hAnsi="Times New Roman"/>
          <w:bCs/>
          <w:sz w:val="24"/>
          <w:szCs w:val="24"/>
        </w:rPr>
        <w:t xml:space="preserve"> atuando na medula espinhal e nos nervos musculares? Ele descreveu um experimento em que, ao decapitar um cágado ou uma tartaruga, e se, posteriormente, a medula espinhal desnudada for irritada por uma agulha ou pela passagem de corrente galvânica, mover-se-ão as extremidades posteriores e anteriores. Se aplicar a mesma irritação na mesma região de tal centro nervoso, provocará indubitavelmente os mesmos movimentos</w:t>
      </w:r>
      <w:r>
        <w:rPr>
          <w:rStyle w:val="Caracteresdenotaderodap"/>
          <w:rStyle w:val="Ncoradanotaderodap"/>
          <w:rFonts w:cs="Times New Roman" w:ascii="Times New Roman" w:hAnsi="Times New Roman"/>
          <w:bCs/>
          <w:sz w:val="24"/>
          <w:szCs w:val="24"/>
        </w:rPr>
        <w:footnoteReference w:id="193"/>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Hall menciona também outros exemplos, tais como, o fechamento da pálpebra irritada após a decapitação do animal, o movimento na borda da laringe, o fechamento do esfíncter do ânus. Esse princípio descrito pelo sistema excito-motor se constitui como a força dinâmica que dirige o conjunto de funções de ingestão e excreção na economia animal.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Após os trabalhos de Hall, a reflexologia despertou o interesse de muitos cientistas alemães e ingleses. Fisiologistas como William Carpenter (1813-1885) e Wilhelm Griesinger (1817-1868) se dedicaram ao tema. Para Griesinger, Hall errou ao separar a noção de sistema excito-motor dos nervos cérebro-espinhal e vegetativo</w:t>
      </w:r>
      <w:r>
        <w:rPr>
          <w:rStyle w:val="Caracteresdenotaderodap"/>
          <w:rStyle w:val="Ncoradanotaderodap"/>
          <w:rFonts w:cs="Times New Roman" w:ascii="Times New Roman" w:hAnsi="Times New Roman"/>
          <w:bCs/>
          <w:sz w:val="24"/>
          <w:szCs w:val="24"/>
        </w:rPr>
        <w:footnoteReference w:id="194"/>
      </w:r>
      <w:r>
        <w:rPr>
          <w:rFonts w:cs="Times New Roman" w:ascii="Times New Roman" w:hAnsi="Times New Roman"/>
          <w:bCs/>
          <w:sz w:val="24"/>
          <w:szCs w:val="24"/>
        </w:rPr>
        <w:t xml:space="preserve">. A alocação do conceito de reflexo de um fenômeno, entre outros, fisiológico de movimento para o posto de princípio biológico deve muito aos trabalhos de Marshall Hall, porém, a tese de Hall sofrerá críticas com respeito a sua concepção de reflexo como um fenômeno puramente mecânico, sem qualquer relação com o mental. </w:t>
      </w:r>
    </w:p>
    <w:p>
      <w:pPr>
        <w:pStyle w:val="Corpodotexto"/>
        <w:tabs>
          <w:tab w:val="clear" w:pos="708"/>
          <w:tab w:val="left" w:pos="720" w:leader="none"/>
          <w:tab w:val="left" w:pos="1440" w:leader="none"/>
        </w:tabs>
        <w:spacing w:lineRule="auto" w:line="360" w:before="0" w:after="0"/>
        <w:rPr/>
      </w:pPr>
      <w:r>
        <w:rPr>
          <w:rFonts w:cs="Times New Roman" w:ascii="Times New Roman" w:hAnsi="Times New Roman"/>
          <w:bCs/>
          <w:sz w:val="24"/>
          <w:szCs w:val="24"/>
        </w:rPr>
        <w:tab/>
        <w:t>Segundo Clarke e Jacyna (1987), Leys Fried em sua obra de 1976 (</w:t>
      </w:r>
      <w:r>
        <w:rPr>
          <w:rFonts w:cs="Times New Roman" w:ascii="Times New Roman" w:hAnsi="Times New Roman"/>
          <w:bCs/>
          <w:i/>
          <w:sz w:val="24"/>
          <w:szCs w:val="24"/>
        </w:rPr>
        <w:t>Alison versus Hall</w:t>
      </w:r>
      <w:r>
        <w:rPr>
          <w:rFonts w:cs="Times New Roman" w:ascii="Times New Roman" w:hAnsi="Times New Roman"/>
          <w:bCs/>
          <w:sz w:val="24"/>
          <w:szCs w:val="24"/>
        </w:rPr>
        <w:t>) examinou esse problema da ausência da mente na concepção de reflexo proposta por Hall. Segundo Fried, uma corrente da fisiologia inglesa, de acordo com as ideias de Hall viam na explicação mecânica do reflexo e nos atos da mente duas classes distintas de ação. Dessa maneira, conseguiriam manter em níveis distintos os atos psíquicos da experimentação fisiológica, sem se comprometerem com questões que consideravam de ordem metafísica e, portanto, de outra esfera que não a da ciência experimental.</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Cientistas como Carpenter e, em particular, Richard Dugard Grainger (1801-1865), adotaram uma posição aproximadamente comparativa com o reflexo espinhal, acreditando que o poder do reflexo (</w:t>
      </w:r>
      <w:r>
        <w:rPr>
          <w:rFonts w:cs="Times New Roman" w:ascii="Times New Roman" w:hAnsi="Times New Roman"/>
          <w:bCs/>
          <w:i/>
          <w:sz w:val="24"/>
          <w:szCs w:val="24"/>
        </w:rPr>
        <w:t>reflex power</w:t>
      </w:r>
      <w:r>
        <w:rPr>
          <w:rFonts w:cs="Times New Roman" w:ascii="Times New Roman" w:hAnsi="Times New Roman"/>
          <w:bCs/>
          <w:sz w:val="24"/>
          <w:szCs w:val="24"/>
        </w:rPr>
        <w:t xml:space="preserve">) da medula espinhal foi demonstrado por Hall quando o mesmo regularizou leis simples e precisas, semelhante ao ocorrido na Física com Newton e a lei da gravitação. O termo poder é utilizado por esses fisiologistas em analogia com o conceito de força física.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Em um trabalho de 1837, Grainger afirma a existência de um princípio universal de movimento dos corpos organizados</w:t>
      </w:r>
      <w:r>
        <w:rPr>
          <w:rStyle w:val="Caracteresdenotaderodap"/>
          <w:rStyle w:val="Ncoradanotaderodap"/>
          <w:rFonts w:cs="Times New Roman" w:ascii="Times New Roman" w:hAnsi="Times New Roman"/>
          <w:bCs/>
          <w:sz w:val="24"/>
          <w:szCs w:val="24"/>
        </w:rPr>
        <w:footnoteReference w:id="195"/>
      </w:r>
      <w:r>
        <w:rPr>
          <w:rFonts w:cs="Times New Roman" w:ascii="Times New Roman" w:hAnsi="Times New Roman"/>
          <w:bCs/>
          <w:sz w:val="24"/>
          <w:szCs w:val="24"/>
        </w:rPr>
        <w:t>. Na introdução de seu livro, Grainger insiste na importância para a fisiologia de princípios que permitam ir de leis simples a leis complexas. Ainda na introdução, seguindo uma orientação de pesquisa anatômica, apresenta como objetivo a detecção, via anatomia, do poder reflexo e como opera o mesmo.</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Para esses cientistas das primeiras décadas do século XIX, o conceito de reflexo ocupou o lugar de vacância reivindicado pela fisiologia como princípio orientador da pesquisa fisiológica, conforme necessidade manifestada por Grainger na introdução de seu livro. Dessa maneira, o potencial do conceito de reflexo forneceu a chave para o entendimento unificado da concepção de função nervosa nos organismos</w:t>
      </w:r>
      <w:r>
        <w:rPr>
          <w:rStyle w:val="Caracteresdenotaderodap"/>
          <w:rStyle w:val="Ncoradanotaderodap"/>
          <w:rFonts w:cs="Times New Roman" w:ascii="Times New Roman" w:hAnsi="Times New Roman"/>
          <w:bCs/>
          <w:sz w:val="24"/>
          <w:szCs w:val="24"/>
        </w:rPr>
        <w:footnoteReference w:id="196"/>
      </w:r>
      <w:r>
        <w:rPr>
          <w:rFonts w:cs="Times New Roman" w:ascii="Times New Roman" w:hAnsi="Times New Roman"/>
          <w:bCs/>
          <w:sz w:val="24"/>
          <w:szCs w:val="24"/>
        </w:rPr>
        <w:t>.</w:t>
      </w:r>
    </w:p>
    <w:p>
      <w:pPr>
        <w:pStyle w:val="Corpodotexto"/>
        <w:spacing w:lineRule="auto" w:line="360" w:before="0" w:after="0"/>
        <w:rPr/>
      </w:pPr>
      <w:r>
        <w:rPr>
          <w:rFonts w:cs="Times New Roman" w:ascii="Times New Roman" w:hAnsi="Times New Roman"/>
          <w:bCs/>
          <w:sz w:val="24"/>
          <w:szCs w:val="24"/>
        </w:rPr>
        <w:tab/>
        <w:t xml:space="preserve">Esse deslocamento do conceito de reflexo não foi considerado por Canguilhem em sua pesquisa sobre a formação do conceito de reflexo, onde ele afirma que o século XIX nada ofereceu de novo ao conceito de reflexo. Não me oriento na busca da formação do conceito moderno de reflexo (para tal deveria retornar ao século XVII como o fez Canguilhem). O que mais interessa aqui é o papel que assume o conceito de reflexo nas primeiras décadas do século XIX nas ciências da vida, principalmente, na obra de Marshall Hall. A importância do fenômeno do reflexo aumentou com a proposta das unidades celulares que compõem o tecido nervoso (os neurônios) e suas conexões, podendo ser descritas com clareza as vias de formação dos reflexos.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hanging="0"/>
        <w:rPr/>
      </w:pPr>
      <w:r>
        <w:rPr>
          <w:rFonts w:cs="Times New Roman" w:ascii="Times New Roman" w:hAnsi="Times New Roman"/>
          <w:b/>
          <w:bCs/>
          <w:sz w:val="24"/>
          <w:szCs w:val="24"/>
        </w:rPr>
        <w:t xml:space="preserve">O Conceito de reflexo de acordo com Ivan Sechenov e a proposta de ampliação do conceito de reflexo a uma teoria do orgânico                                            </w:t>
      </w:r>
    </w:p>
    <w:p>
      <w:pPr>
        <w:pStyle w:val="Corpodotexto"/>
        <w:spacing w:lineRule="auto" w:line="36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720" w:leader="none"/>
        </w:tabs>
        <w:spacing w:lineRule="auto" w:line="360" w:before="0" w:after="0"/>
        <w:ind w:hanging="0"/>
        <w:rPr/>
      </w:pPr>
      <w:r>
        <w:rPr>
          <w:rFonts w:cs="Times New Roman" w:ascii="Times New Roman" w:hAnsi="Times New Roman"/>
          <w:bCs/>
          <w:sz w:val="24"/>
          <w:szCs w:val="24"/>
        </w:rPr>
        <w:tab/>
        <w:t xml:space="preserve">Dentro dessa discussão sobre o conceito de reflexo é importante salientar que os estudos sobre os movimentos reflexos avançaram até o nível tecidual, mesmo antes das evidências empíricas que permitiram explicar, pelas ligações entre as células, a estrutura do movimento reflexo. Ivan Sechenov (1829-1905) representa em relação aos estudos de reflexologia um ponto de inflexão, pois, foi um dos primeiros fisiologistas a falar na necessidade do conhecimento das ligações entre as células nervosas para se compreender o movimento reflexo em sua completude anatomo-fisiologica.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Ainda quando aluno de medicina, Sechenov estudou a influência da intoxicação alcoólica sobre o organismo. Como tema de tese de doutoramento, desenvolvida no laboratório de Hopper-Seyler, Sechenov examinou o conteúdo alcoólico no ar expelido, a expulsão de CO</w:t>
      </w:r>
      <w:r>
        <w:rPr>
          <w:rFonts w:cs="Times New Roman" w:ascii="Times New Roman" w:hAnsi="Times New Roman"/>
          <w:bCs/>
          <w:sz w:val="24"/>
          <w:szCs w:val="24"/>
          <w:vertAlign w:val="subscript"/>
        </w:rPr>
        <w:t>2</w:t>
      </w:r>
      <w:r>
        <w:rPr>
          <w:rFonts w:cs="Times New Roman" w:ascii="Times New Roman" w:hAnsi="Times New Roman"/>
          <w:bCs/>
          <w:sz w:val="24"/>
          <w:szCs w:val="24"/>
        </w:rPr>
        <w:t xml:space="preserve"> pelo animal intoxicado e a influência do álcool na temperatura do corpo. No inverno entre os anos 1857 e 1858, continuou seus estudos no laboratório de Funke, em Leipzig, onde estudou a influência do álcool sobre o metabolismo de proteínas e sobre a função dos sistemas nervoso e muscular.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Shaternikov em uma breve biografia sobre Sechenov</w:t>
      </w:r>
      <w:r>
        <w:rPr>
          <w:rStyle w:val="Caracteresdenotaderodap"/>
          <w:rStyle w:val="Ncoradanotaderodap"/>
          <w:rFonts w:cs="Times New Roman" w:ascii="Times New Roman" w:hAnsi="Times New Roman"/>
          <w:bCs/>
          <w:sz w:val="24"/>
          <w:szCs w:val="24"/>
        </w:rPr>
        <w:footnoteReference w:id="197"/>
      </w:r>
      <w:r>
        <w:rPr>
          <w:rFonts w:cs="Times New Roman" w:ascii="Times New Roman" w:hAnsi="Times New Roman"/>
          <w:bCs/>
          <w:sz w:val="24"/>
          <w:szCs w:val="24"/>
        </w:rPr>
        <w:t xml:space="preserve"> menciona um período de trabalho no outono de 1862 em Paris no laboratório de Claude Bernard em que Sechenov conheceu o famoso fisiologista francês. Neste período estudou os centros nervosos que inibem os movimentos reflexos. Os resultados foram publicados sob o título ‘</w:t>
      </w:r>
      <w:r>
        <w:rPr>
          <w:rFonts w:cs="Times New Roman" w:ascii="Times New Roman" w:hAnsi="Times New Roman"/>
          <w:bCs/>
          <w:i/>
          <w:sz w:val="24"/>
          <w:szCs w:val="24"/>
        </w:rPr>
        <w:t>Estudos fisiológicos relativos aos mecanismos de inibição da atividade reflexa da medula espinhal no cérebro da rã</w:t>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Em Viena no ano de 1863, Sechenov escreveu um trabalho ainda sobre o mesmo tema que pesquisou na França, e submeteu a publicação sob o título de ‘</w:t>
      </w:r>
      <w:r>
        <w:rPr>
          <w:rFonts w:cs="Times New Roman" w:ascii="Times New Roman" w:hAnsi="Times New Roman"/>
          <w:bCs/>
          <w:i/>
          <w:sz w:val="24"/>
          <w:szCs w:val="24"/>
        </w:rPr>
        <w:t>Uma tentativa de estabelecer as bases fisiológicas dos processos psíquicos</w:t>
      </w:r>
      <w:r>
        <w:rPr>
          <w:rFonts w:cs="Times New Roman" w:ascii="Times New Roman" w:hAnsi="Times New Roman"/>
          <w:bCs/>
          <w:sz w:val="24"/>
          <w:szCs w:val="24"/>
        </w:rPr>
        <w:t>’, mas o trabalho foi objeto de controvérsia no departamento de censura na Rússia, por ser considerado contrário aos bons costumes, sendo posteriormente publicado sob o título ‘</w:t>
      </w:r>
      <w:r>
        <w:rPr>
          <w:rFonts w:cs="Times New Roman" w:ascii="Times New Roman" w:hAnsi="Times New Roman"/>
          <w:bCs/>
          <w:i/>
          <w:sz w:val="24"/>
          <w:szCs w:val="24"/>
        </w:rPr>
        <w:t>os reflexos do cérebro</w:t>
      </w:r>
      <w:r>
        <w:rPr>
          <w:rFonts w:cs="Times New Roman" w:ascii="Times New Roman" w:hAnsi="Times New Roman"/>
          <w:bCs/>
          <w:sz w:val="24"/>
          <w:szCs w:val="24"/>
        </w:rPr>
        <w:t xml:space="preserve">’ (examinei uma edição cubana de 1965 desta obra em que Sechenov apresenta os resultados de seus estudos sobre os movimentos reflexos).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Em linhas gerais, as proposições centrais derivadas das pesquisas de Sechenov no que se refere aos movimentos voluntários e involuntários são: (1) todos os movimentos conhecidos em fisiologia como voluntários são movimentos reflexos no sentido mais restrito da palavra; (2) o traço saliente da atividade normal do cérebro é a desproporção entre a excitação (estímulo) e o efeito (movimento); (3) a atividade reflexa do cérebro é mais extensa do que a da medula espinhal.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Em suas notas autobiográficas, Sechenov afirmou que já em sua tese de doutoramento em 1860 encontram-se duas dessas ideias gerais. São elas: (1) todos os movimentos que em fisiologia se chamam voluntários são rigorosamente reflexos e (2) o caráter mais geral da atividade normal do cérebro (expresso pelo movimento) é a desproporção entre a excitação e a ação e o movimento produzido pela mesma. A primeira proposição é considerada por Sechenov evidente, enquanto que a segunda necessita de esclarecimento.</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Logo na introdução de seu livro </w:t>
      </w:r>
      <w:r>
        <w:rPr>
          <w:rFonts w:cs="Times New Roman" w:ascii="Times New Roman" w:hAnsi="Times New Roman"/>
          <w:bCs/>
          <w:i/>
          <w:sz w:val="24"/>
          <w:szCs w:val="24"/>
        </w:rPr>
        <w:t>os reflexos do cérebro</w:t>
      </w:r>
      <w:r>
        <w:rPr>
          <w:rFonts w:cs="Times New Roman" w:ascii="Times New Roman" w:hAnsi="Times New Roman"/>
          <w:bCs/>
          <w:sz w:val="24"/>
          <w:szCs w:val="24"/>
        </w:rPr>
        <w:t>, Sechenov apresenta seu objetivo central, que é entender pela via fisiológica as leis da atividade psíquica. O pressuposto metodológico adotado por Sechenov era o de que a atividade psíquica do homem se exprime em manifestações externas. A diversidade infinita das manifestações exteriores da atividade cerebral se reduzem, nesse modelo, a um só fenômeno, o movimento muscular. O objetivo de Sechenov é o de compreender as leis que regem a expressão do comportamento. Para ele essas leis são fisiológicas.</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 xml:space="preserve"> </w:t>
      </w:r>
    </w:p>
    <w:p>
      <w:pPr>
        <w:pStyle w:val="Corpodotexto"/>
        <w:spacing w:lineRule="auto" w:line="360" w:before="0" w:after="0"/>
        <w:ind w:left="540" w:hanging="0"/>
        <w:rPr/>
      </w:pPr>
      <w:r>
        <w:rPr>
          <w:rFonts w:cs="Times New Roman" w:ascii="Times New Roman" w:hAnsi="Times New Roman"/>
          <w:bCs/>
          <w:i/>
          <w:sz w:val="24"/>
          <w:szCs w:val="24"/>
        </w:rPr>
        <w:t>Entremos no mundo de fenômenos que surgem na atividade do encéfalo. Geralmente, as pessoas dizem que esse mundo abrange toda a vida psíquica, e hoje, com maiores ou menores restrições, quase todos aceitam essa idéia</w:t>
      </w:r>
      <w:r>
        <w:rPr>
          <w:rStyle w:val="Caracteresdenotaderodap"/>
          <w:rStyle w:val="Ncoradanotaderodap"/>
          <w:rFonts w:cs="Times New Roman" w:ascii="Times New Roman" w:hAnsi="Times New Roman"/>
          <w:bCs/>
          <w:i/>
          <w:sz w:val="24"/>
          <w:szCs w:val="24"/>
        </w:rPr>
        <w:footnoteReference w:id="198"/>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 consideração fundamental que justifica a compreensão fisiológica das atividades psíquicas se dá no fato de que toda a multiplicidade de manifestações externas da atividade do cérebro pode, em última instância, ser vista como o fenômeno do movimento muscular. Dessa forma, todas as manifestações externas derivadas da atividade nervosa podem ser examinadas em atribuição ao movimento muscular. Essa é a pedra de toque para Sechenov e todos que seguiram suas ideias.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Uma vez que os movimentos musculares se dividem em voluntários e involuntários, Sechenov inicia seu exame pelo estudo da medula espinhal e os movimentos involuntários. Cito Sechenov: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 se as impressões chegam inesperadamente, o único centro nervoso que participa do reflexo é o centro nervoso que liga os nervos sensoriais e os motores</w:t>
      </w:r>
      <w:r>
        <w:rPr>
          <w:rStyle w:val="Caracteresdenotaderodap"/>
          <w:rStyle w:val="Ncoradanotaderodap"/>
          <w:rFonts w:cs="Times New Roman" w:ascii="Times New Roman" w:hAnsi="Times New Roman"/>
          <w:bCs/>
          <w:i/>
          <w:sz w:val="24"/>
          <w:szCs w:val="24"/>
        </w:rPr>
        <w:footnoteReference w:id="199"/>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Os movimentos involuntários se dividem em três classes, a primeira classe é composta pelos reflexos de animais decapitados, movimentos durante o sonho e condições em que o cérebro é considerado inativo. À segunda classe pertencem os movimentos involuntários em que o fim do ato está aproximadamente debilitado em relação ao seu começo, Sechenov chama essa segunda classe de movimentos involuntários retidos. A terceira classe se dá com os movimentos involuntários cujo fim é reforçado (movimentos decorrentes do medo e prazer sexual são exemplos dessa classe de movimentos). A terceira classe se caracteriza por casos em que a intervenção do fator psíquico no reflexo não modifica a natureza deste, por exemplo, sonambulismo, embriaguez e delírio febril.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Experimentos em que se decapitam rãs e as submete a inúmeros estímulos independentes de áreas corticais eram muito utilizados já nos séculos XVII e XVIII. A respeito do mecanismo desses movimentos, Sechenov apresentou a seguinte hipótese:</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 fibras nervosas sensitivas ligam a pele à medula espinhal; da medula até os músculos se estendem nervos motores, enquanto que na medula mesma os nervos das duas classes se unem mediante células nervosas. A integridade de todas as partes deste mecanismo é absolutamente necessária para que se cumpra o fenômeno descrito</w:t>
      </w:r>
      <w:r>
        <w:rPr>
          <w:rStyle w:val="Caracteresdenotaderodap"/>
          <w:rStyle w:val="Ncoradanotaderodap"/>
          <w:rFonts w:cs="Times New Roman" w:ascii="Times New Roman" w:hAnsi="Times New Roman"/>
          <w:bCs/>
          <w:i/>
          <w:sz w:val="24"/>
          <w:szCs w:val="24"/>
        </w:rPr>
        <w:footnoteReference w:id="200"/>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A excitação do nervo sensitivo se reflete sobre o nervo motor. Estes movimentos são, dessa maneira, de caráter maquinal. Para Sechenov, existem no cérebro mecanismos que inibem os movimentos reflexos. Ele faz referência aos trabalhos de Edward Weber em que se demonstrou que a excitação do nervo vago, que inerva entre outros órgãos, o coração, não somente aumenta a atividade do mesmo mas também o paralisa. Essa ação descrita acima se deve ao fato de que os nervos terminam não diretamente no tecido muscular do coração, mas nos gânglios nervosos que estão localizados no tecido das paredes do coração.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A sequência de atos que constitui o movimento reflexo, ou simplesmente reflexo, é descrita por Sechenov da seguinte maneira: excitação do nervo sensitivo, excitação do centro medular que liga o nervo sensitivo ao nervo motor e, posteriormente, excitação deste último expresso pela contração do músculo. A condição para que um movimento seja considerado reflexo é a de que emane de maneira clara da excitação do nervo sensitivo e que tal processo seja involuntário.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Na ausência do cérebro (exemplos em que se decapita o animal), a medula espinhal produz sempre movimentos quando se excita um nervo sensitivo. Essa condição de independência da medula em relação ao cérebro é uma evidência, segundo Sechenov, do funcionamento maquinal dos movimentos associados à medula. Apesar de conceber os movimentos reflexos como um sistema automático, Sechenov não concebe como um sistema fechado em si. Cito Sechenov sobre a noção de excitação progressiva dos nervos sensoriais.</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 se a excitação do nervo sensitivo superar todas as outras suportadas anteriormente, provocará de uma maneira fatal, em todas as condições possíveis, movimentos reflexos, portanto, involuntários</w:t>
      </w:r>
      <w:r>
        <w:rPr>
          <w:rStyle w:val="Caracteresdenotaderodap"/>
          <w:rStyle w:val="Ncoradanotaderodap"/>
          <w:rFonts w:cs="Times New Roman" w:ascii="Times New Roman" w:hAnsi="Times New Roman"/>
          <w:bCs/>
          <w:i/>
          <w:sz w:val="24"/>
          <w:szCs w:val="24"/>
        </w:rPr>
        <w:footnoteReference w:id="201"/>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O sistema proposto por Sechenov não se trata de um sistema fixo em que os movimentos reflexos já se encontrem inventariados no organismo (inato), apesar de Sechenov conceber a ideia de um movimento basal, comum a todos os demais executados pelo organismo. Na passagem acima em que o autor se refere ao aumento progressivo da excitação em determinado nervo, há uma ideia pressuposta de adaptação ao novo estímulo, quando o mesmo é maior do que o habitual. Sechenov afirma que no primeiro caso, em que o estímulo é o esperado, o valor da excitação aumenta instantaneamente a partir do zero, já no segundo caso, não somente aumenta, mas é superior ao que o órgão sensitivo conhecia e, consequentemente, esperava da experiência precedente.</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Sechenov não apresenta uma explicação convincente a esse fenômeno, mas sugere que a noção de fadiga do nervo pode atender a tal propósito. Um exemplo dessa explicação pode ser dado pela ideia de fadiga. Por exemplo, a fadiga do nervo auditivo no caso de uma pessoa que ao ouvir repetidamente um determinado ruído, que outrora a assustava, não mais tenha o mesmo efeito pela habituação ao mesmo. A explicação se dá pelo hábito. Para o caso de um cérebro ileso, sem fraturas, Sechenov entende que há duas possibilidades de movimentos involuntários quanto ao centro nervoso em questão. Uma é quando a excitação é repentina, nesse caso, o movimento se dá unicamente por intermédio do centro nervoso que liga o nervo sensitivo com o nervo motor. No segundo caso, ao se esperar a excitação, a atividade de um novo mecanismo agrega-se ao fenômeno. O objetivo é reter o movimento reflexo. Quando esse mecanismo, em força, ultrapassa o estímulo, o movimento reflexo não se consolida.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Sechenov descreveu uma série de experimentos</w:t>
      </w:r>
      <w:r>
        <w:rPr>
          <w:rStyle w:val="Caracteresdenotaderodap"/>
          <w:rStyle w:val="Ncoradanotaderodap"/>
          <w:rFonts w:cs="Times New Roman" w:ascii="Times New Roman" w:hAnsi="Times New Roman"/>
          <w:bCs/>
          <w:sz w:val="24"/>
          <w:szCs w:val="24"/>
        </w:rPr>
        <w:footnoteReference w:id="202"/>
      </w:r>
      <w:r>
        <w:rPr>
          <w:rFonts w:cs="Times New Roman" w:ascii="Times New Roman" w:hAnsi="Times New Roman"/>
          <w:bCs/>
          <w:sz w:val="24"/>
          <w:szCs w:val="24"/>
        </w:rPr>
        <w:t xml:space="preserve"> em que fortaleceu a ideia de que existe no corpo animal influências nervosas pelas quais os movimentos involuntários são deprimidos. Ele atribuiu ao cérebro o papel de inibidor dos movimentos reflexos. </w:t>
      </w:r>
    </w:p>
    <w:p>
      <w:pPr>
        <w:pStyle w:val="Corpodotexto"/>
        <w:spacing w:lineRule="auto" w:line="360" w:before="0" w:after="0"/>
        <w:rPr/>
      </w:pPr>
      <w:r>
        <w:rPr>
          <w:rFonts w:cs="Times New Roman" w:ascii="Times New Roman" w:hAnsi="Times New Roman"/>
          <w:bCs/>
          <w:sz w:val="24"/>
          <w:szCs w:val="24"/>
        </w:rPr>
        <w:tab/>
        <w:t>Um conceito orientador das pesquisas de Sechenov diz respeito às razões fisiológicas para se admitir a existência, no cérebro, de mecanismos de retenção dos movimentos reflexos. Para ele, toda a resistência a uma excitação sensorial consiste na relação entre os mecanismos que refreiam os movimentos reflexos. É necessário explicar estes mecanismos. Apesar da pouca adequação empírica, Sechenov lança mão de uma hipótese sobre as ligações intranervosas e a explicação do mecanismo do reflexo, afirmando o seguinte:</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Como os elementos de que estamos falando (as fibras nervosas primárias e as células nervosas) são invisíveis a olho nu, o problema só pode ser resolvido por um estudo microscópico da medula espinhal; infelizmente, o microscópio – que prestou tantos serviços ao estudo do corpo animal – parece ser impotente para a solução do nosso problema: até o presente não foi capaz de mostrar a forma da ligação entre as células nervosas. Portanto, a ciência aceita a existência dessa ligação, não como um fato provado, mas como uma necessidade lógica. Sem o auxilio de ligações intranervosas seria impossível explicar o mecanismo do reflexo mais simples</w:t>
      </w:r>
      <w:r>
        <w:rPr>
          <w:rStyle w:val="Caracteresdenotaderodap"/>
          <w:rStyle w:val="Ncoradanotaderodap"/>
          <w:rFonts w:cs="Times New Roman" w:ascii="Times New Roman" w:hAnsi="Times New Roman"/>
          <w:bCs/>
          <w:i/>
          <w:sz w:val="24"/>
          <w:szCs w:val="24"/>
        </w:rPr>
        <w:footnoteReference w:id="203"/>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 xml:space="preserve">    </w:t>
      </w:r>
    </w:p>
    <w:p>
      <w:pPr>
        <w:pStyle w:val="Corpodotexto"/>
        <w:tabs>
          <w:tab w:val="clear" w:pos="708"/>
          <w:tab w:val="left" w:pos="540" w:leader="none"/>
          <w:tab w:val="left" w:pos="720" w:leader="none"/>
        </w:tabs>
        <w:spacing w:lineRule="auto" w:line="360" w:before="0" w:after="0"/>
        <w:rPr/>
      </w:pPr>
      <w:r>
        <w:rPr>
          <w:rFonts w:cs="Times New Roman" w:ascii="Times New Roman" w:hAnsi="Times New Roman"/>
          <w:bCs/>
          <w:sz w:val="24"/>
          <w:szCs w:val="24"/>
        </w:rPr>
        <w:tab/>
        <w:tab/>
        <w:t xml:space="preserve">A descrição que fornece Sechenov do ‘caminho’ percorrido pela informação no caso do reflexo em um animal decapitado apresenta uma estrutura onde a necessidade lógica na existência das ligações entre as células do tecido nervoso pode ser derivada. O sistema maquinal do movimento reflexo para cada ponto da pele é constituída pelo nervo cutâneo que penetra na medula espinhal e termina na célula dos cornos posteriores; esta célula está ligada a outra célula, disposta na metade anterior da medula e forma com ela o que Sechenov chamou </w:t>
      </w:r>
      <w:r>
        <w:rPr>
          <w:rFonts w:cs="Times New Roman" w:ascii="Times New Roman" w:hAnsi="Times New Roman"/>
          <w:bCs/>
          <w:i/>
          <w:sz w:val="24"/>
          <w:szCs w:val="24"/>
        </w:rPr>
        <w:t>centro reflexo</w:t>
      </w:r>
      <w:r>
        <w:rPr>
          <w:rFonts w:cs="Times New Roman" w:ascii="Times New Roman" w:hAnsi="Times New Roman"/>
          <w:bCs/>
          <w:sz w:val="24"/>
          <w:szCs w:val="24"/>
        </w:rPr>
        <w:t xml:space="preserve">. Um feixe motor parte da última célula e vai até o músculo.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Conforme aumenta a intensidade do estímulo, a resposta se propaga a outros conjuntos de músculos, no caso em que o cérebro está inativo. Cito Sechenov sobre a modulação da resposta motora a partir de sensações psíquicas, tais como, o medo:</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 o medo é próprio tanto do homem como do último dos organismos animais mais elementares, cuja vida, a nossos olhos, é puramente instintiva. Por conseguinte, o medo é um fenômeno instintivo. A sensação de medo nasce no cérebro, e ela é consequência fatal da excitação súbita de um nervo sensitivo, o mesmo que o movimento reflexo é consequência do susto. Entre estas três atividades de um mecanismo único existe uma relação de causalidade. O fenômeno começa pela excitação do nervo sensitivo, prossegue pela sensação de susto e termina por um violento movimento reflexo</w:t>
      </w:r>
      <w:r>
        <w:rPr>
          <w:rStyle w:val="Caracteresdenotaderodap"/>
          <w:rStyle w:val="Ncoradanotaderodap"/>
          <w:rFonts w:cs="Times New Roman" w:ascii="Times New Roman" w:hAnsi="Times New Roman"/>
          <w:bCs/>
          <w:i/>
          <w:sz w:val="24"/>
          <w:szCs w:val="24"/>
        </w:rPr>
        <w:footnoteReference w:id="204"/>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No caso do medo ser derivado de uma resposta no nível medular, Sechenov pensou que a excitação deveria se dirigir ao cérebro, uma vez que as sensações conscientes são devidas unicamente às áreas corticais. Um dos experimentos sobre a determinação das áreas corticais na sensação de medo é a ablação de um dos hemisférios cerebrais e a observação posterior da perda de comportamentos típicos de quando o animal está com medo.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O inverso, a sensação de medo amplificando a resposta pode ser observado em um experimento simples. Tomando uma rã e pondo-a em água a 17 ou 18 graus centígrados e posteriormente a colocando em água gelada (apenas as patas traseiras), observa-se a reação violenta, pois, segundo Sechenov, ocorreu a amplificação da resposta motora pela sensação de medo.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É necessário enfatizarmos o papel que o conceito de sensação possui e opera como uma espécie de modulador do movimento involuntário. Ouros movimentos reflexos que Sechenov entendeu serem de mesma natureza do apresentado pela rã na água gelada são os de sincope e de congelamento, pertencendo a mesma categoria do que ele chamou de movimentos reflexos reforçados.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Em casos em que a sensação de prazer modula o movimento ocorre situação semelhante. Ocorre a estimulação do nervo sensitivo seguido da atividade central (origem da sensação de prazer) e por último a contração muscular. A multiplicidade de comportamentos fez com que algumas interpretações fossem consideradas em associação com aparatos distintos que explicassem tal situação. Sechenov se opôs a essa posição. Dizia ele que no caso de uma pessoa faminta e que o odor da comida gere uma sensação agradável, uma vez saciada a fome, o mesmo odor lhe seria desagradável. Se considerarmos mecanismos distintos para cada situação, pensava Sechenov, deveríamos considerar três aparatos distintos somente para o exemplo do odor da comida. Melhor seria supor a existência de um sistema primário e que o mesmo possa ser modulado para cada situação. </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 é mais simples admitir que o caráter da sensação muda segundo o estado fisiológico do centro nervoso. (...) suponhamos que a parte central do aparato que parte do nariz pelos nervos olfativos, receptores de odor dos alimentos, se encontre em estado tal que os reflexos procedentes destes nervos possam colocar principalmente em ação os músculos do riso. É natural que neste caso a excitação dos nervos olfativos provoque um sorriso de alegria. Se ao contrário, o estado deste centro é tal que os reflexos não podem manifestar-se nos músculos que fazem baixar os ângulos da boca, o odor dos alimentos fará aparecer a mímica da tristeza. Suponha agora que o primeiro estado do centro corresponde ao caso de uma pessoa que tem fome, e que o segundo seja o de uma pessoa que já comeu, e tudo se explica dessa forma</w:t>
      </w:r>
      <w:r>
        <w:rPr>
          <w:rStyle w:val="Caracteresdenotaderodap"/>
          <w:rStyle w:val="Ncoradanotaderodap"/>
          <w:rFonts w:cs="Times New Roman" w:ascii="Times New Roman" w:hAnsi="Times New Roman"/>
          <w:bCs/>
          <w:i/>
          <w:sz w:val="24"/>
          <w:szCs w:val="24"/>
        </w:rPr>
        <w:footnoteReference w:id="205"/>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Sechenov se refere ao </w:t>
      </w:r>
      <w:r>
        <w:rPr>
          <w:rFonts w:cs="Times New Roman" w:ascii="Times New Roman" w:hAnsi="Times New Roman"/>
          <w:bCs/>
          <w:i/>
          <w:sz w:val="24"/>
          <w:szCs w:val="24"/>
        </w:rPr>
        <w:t>estado do centro nervoso</w:t>
      </w:r>
      <w:r>
        <w:rPr>
          <w:rFonts w:cs="Times New Roman" w:ascii="Times New Roman" w:hAnsi="Times New Roman"/>
          <w:bCs/>
          <w:sz w:val="24"/>
          <w:szCs w:val="24"/>
        </w:rPr>
        <w:t xml:space="preserve"> como determinante para a amplificação ou não das ações involuntárias moduladas pelo cérebro. O pensamento de Sechenov caminha por uma orientação evolutiva. Para o pesquisador russo, todos os movimentos instintivos nos animais, sem exceção, objetivam a conservação do indivíduo (somente os instintos sexuais tem por finalidade a conservação da espécie). Sechenov, em seu livro </w:t>
      </w:r>
      <w:r>
        <w:rPr>
          <w:rFonts w:cs="Times New Roman" w:ascii="Times New Roman" w:hAnsi="Times New Roman"/>
          <w:bCs/>
          <w:i/>
          <w:sz w:val="24"/>
          <w:szCs w:val="24"/>
        </w:rPr>
        <w:t>Os reflexos do cérebro</w:t>
      </w:r>
      <w:r>
        <w:rPr>
          <w:rFonts w:cs="Times New Roman" w:ascii="Times New Roman" w:hAnsi="Times New Roman"/>
          <w:bCs/>
          <w:sz w:val="24"/>
          <w:szCs w:val="24"/>
        </w:rPr>
        <w:t>, insiste em considerar a necessidade de se conhecer a real natureza das ligações entre as células nervosas.</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Uma alternativa para o problema foi pensada colocando-o de outra maneira. Considere que os elementos reflexos estão todos associados entre si regularmente, de maneira que não fiquem na medula espinhal células nervosas que não estejam vinculadas a outras. Em síntese, os elementos reflexos se agrupariam segundo: (1) a associação das células nervosas entre si por meio de suas prolongações; (2) o enlace de certos elementos reflexos do organismo com mecanismos centrais isolados dos outros e situados no bulbo (Sechenov não descarta a possibilidade de outros centros nervosos).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Em uma série de experimentos com rãs decapitadas, concluiu pela importância de todos os movimentos reflexos e, em alguns casos, tal utilidade chega a ponto de se considerar, ao menos em aparência, que os movimentos automáticos possuam um caráter de movimento razoável.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Uma vez inventariado os movimentos reflexos a partir de movimentos fundamentais, Sechenov dirige sua análise aos movimentos voluntários. Uma dificuldade apontada pelo pesquisador russo em relação aos estudos sobre os movimentos voluntários é a dificuldade de experimentação, principalmente quando comparado com a gama de opções experimentais no estudo dos movimentos involuntários. Em linhas gerais, os estudos de Sechenov sobre os movimentos voluntários visam demonstrar que: (1) uma atividade humana deste gênero (voluntário) se decompõe em reflexos que nascem de uma excitação sensorial, para continuar sob a influência de um ato psíquico determinado e acabar em um movimento muscular; (2) em condições exteriores e interiores determinadas, ou seja, que dado certo meio ambiente da ação e um estado fisiológico determinado, a mesma excitação sensorial provoca necessariamente os outros dois elementos do fenômeno e sempre no mesmo sentido.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Uma característica inicial importante dos movimentos voluntários é que não há nervos motores ou músculos distintos dos envolvidos no movimento reflexo puro. Sechenov apresenta-nos suas conclusões sobre o exame do movimento voluntário na forma de negação ou aceitação de proposições. A primeira de suas conclusões relevante se refere à afirmação de que não tenha excitação sensorial na base de um movimento voluntário. Sechenov acrescenta também, caso a resposta seja afirmativa, o porquê estaria mascarado na forma típica desse fenômeno?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 resposta a essa questão deve ser dada, segundo Sechenov, analisando casos fundamentais e depois os mais complexos. Examinando o processo visual, concluiu por uma série de processos que se desenvolvem durante o desenvolvimento de uma representação visual completa. Entendia o pesquisador russo que ocorrem nesse processo três etapas, as quais designou por primeiro reflexo, segundo reflexo e terceiro reflexo. No primeiro reflexo ocorrem, sequencialmente, a impressão luminosa, sensação luminosa vaga, o movimento dos músculos motores e acomodadores do olho; no segundo reflexo, por sua vez, há a ação da luz contínua e a sensação clara, seguida do movimento dos braços e das pernas; o terceiro reflexo se dá quando a mão encontra o objeto visto, seguido da impressão táctil e sensação táctil, e depois o movimento do braço e de apreensão do objeto.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Dentre as associações sensitivas, as da visão e audição (associação óptico-acústica) tem um papel importante no desenvolvimento. Sechenov defendeu que as sensações de todos os órgãos dos sentidos combinam-se entre si de várias maneiras, porém, sempre por meio de sucessivos reflexos. O conceito de </w:t>
      </w:r>
      <w:r>
        <w:rPr>
          <w:rFonts w:cs="Times New Roman" w:ascii="Times New Roman" w:hAnsi="Times New Roman"/>
          <w:bCs/>
          <w:i/>
          <w:sz w:val="24"/>
          <w:szCs w:val="24"/>
        </w:rPr>
        <w:t>fadiga do nervo</w:t>
      </w:r>
      <w:r>
        <w:rPr>
          <w:rFonts w:cs="Times New Roman" w:ascii="Times New Roman" w:hAnsi="Times New Roman"/>
          <w:bCs/>
          <w:sz w:val="24"/>
          <w:szCs w:val="24"/>
        </w:rPr>
        <w:t xml:space="preserve"> era já conhecido quando Sechenov realizou seus experimentos. Apesar do abandono do léxico, parte do conteúdo semântico do conceito permanecerá na neurofisiologia no século XX para explicar o período refratário no potencial de ação.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Outro exemplo apresentado por Sechenov em favor de sua tese da formação dos movimentos voluntários a partir da composição de movimentos reflexos anteriores se dá na faculdade analítica do ouvido em decompor tons musicais. Sechenov se refere a esse exemplo como oferecendo o mesmo problema do exemplo da visão e que pode ser observado no enlaçamento das fibras nervosas do nervo auditivo.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Na teoria de Sechenov, quando se refere aos movimentos voluntários, a memória assume papel de destaque, englobando todos os reflexos psíquicos, começando pelos mais simples para em seguida terminar pelos que se associaram durante todo o dia de atividade da pessoa. Na exposição sobre a forma elementar da memória, Sechenov recorre a um processo semelhante ao do reflexo. Ele entende que o processo é inativo. Em alguns momentos parece indicar certa circularidade no argumento sobre os processos de memória, na medida em que a memória explica a associação de todos os reflexos psíquicos e ela mesma é de ordem psíquica.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Outra proposição muito examinada por Sechenov se refere a como a sensação luminosa, por exemplo, conserva sua forma real, ou seja, que a cor verde permaneça verde, o círculo permaneça círculo ou o triângulo permaneça triângulo e assim sucessivamente. </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 A sensação de círculo ou de triângulo deriva, como já sabe o leitor, de que diferentes pontos de um círculo ou de um triângulo excitam distintos feixes nervosos. Por conseguinte, é preciso, para que se produza aquele fenômeno, somente que dita excitação se conserve em todos estes feixes. Isto é precisamente o que ocorre, dado que, segundo as leis físicas, a excitação não se transmite de uma fibra ativa a uma fibra vizinha que esteja em repouso. Com respeito à conservação da cor verde na forma de rastros, qualquer que seja a concepção fisiológica que professe o leitor sobre a percepção das cores, ou seja, supondo a existência de fibras nervosos distintas para a cor verde ou que não admita diferença, senão, no processo mesmo da estimulação nervosa correspondente a distinção física dos raios luminosos de diversas cores, neste caso, a conservação nada mais é do que a continuação da excitação real, porém, em grau muito mais fraco</w:t>
      </w:r>
      <w:r>
        <w:rPr>
          <w:rStyle w:val="Caracteresdenotaderodap"/>
          <w:rStyle w:val="Ncoradanotaderodap"/>
          <w:rFonts w:cs="Times New Roman" w:ascii="Times New Roman" w:hAnsi="Times New Roman"/>
          <w:bCs/>
          <w:i/>
          <w:sz w:val="24"/>
          <w:szCs w:val="24"/>
        </w:rPr>
        <w:footnoteReference w:id="206"/>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Sechenov qualifica de memória espacial a retenção visual e puramente táctil, e memória temporal a auditiva e muscular. O princípio de associação é compreendido por Sechenov como uma série ininterrupta de encadeamentos entre o final de um ato reflexo e o começo do seguinte. Como o final de um ato reflexo é sempre um movimento e necessariamente é acompanhado de uma sensação muscular, dessa maneira, a associação, do ponto de vista da relação com as atividades nervosas centrais, se caracteriza como uma sensação contínua. </w:t>
      </w:r>
    </w:p>
    <w:p>
      <w:pPr>
        <w:pStyle w:val="Corpodotexto"/>
        <w:spacing w:lineRule="auto" w:line="360" w:before="0" w:after="0"/>
        <w:ind w:hanging="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hanging="0"/>
        <w:rPr/>
      </w:pPr>
      <w:r>
        <w:rPr>
          <w:rFonts w:cs="Times New Roman" w:ascii="Times New Roman" w:hAnsi="Times New Roman"/>
          <w:b/>
          <w:bCs/>
          <w:sz w:val="24"/>
          <w:szCs w:val="24"/>
        </w:rPr>
        <w:t xml:space="preserve">O conceito de reflexo no nível histológico: a necessidade das ligações entre as células nervosas na constituição do movimento reflexo              </w:t>
      </w:r>
    </w:p>
    <w:p>
      <w:pPr>
        <w:pStyle w:val="Corpodotexto"/>
        <w:tabs>
          <w:tab w:val="clear" w:pos="708"/>
          <w:tab w:val="left" w:pos="720" w:leader="none"/>
        </w:tabs>
        <w:spacing w:lineRule="auto" w:line="36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Dado o cenário apresentado até aqui sobre o problema das ações reflexas e a importância que essa questão teve para a compreensão das relações entre o sistema nervoso e o organismo, o histologista espanhol Santiago Ramón y Cajal (1852-1934) avançou no que Sechenov havia deixado. Para Ramón y Cajal o ato reflexo constitui um fenômeno de grande importância no conjunto das funções orgânicas, seguindo uma tradição que remonta a Marshall Hall. A explicação deste fenômeno deve derivar da propriedade fundamental do protoplasma, a irritabilidade e, consequentemente, precisa ser explicado no nível tecidual. </w:t>
      </w:r>
    </w:p>
    <w:p>
      <w:pPr>
        <w:pStyle w:val="Corpodotexto"/>
        <w:tabs>
          <w:tab w:val="clear" w:pos="708"/>
          <w:tab w:val="left" w:pos="54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rFonts w:ascii="Times New Roman" w:hAnsi="Times New Roman" w:cs="Times New Roman"/>
          <w:b/>
          <w:b/>
          <w:bCs/>
          <w:sz w:val="24"/>
          <w:szCs w:val="24"/>
        </w:rPr>
      </w:pPr>
      <w:r>
        <w:rPr>
          <w:rFonts w:cs="Times New Roman" w:ascii="Times New Roman" w:hAnsi="Times New Roman"/>
          <w:bCs/>
          <w:i/>
          <w:sz w:val="24"/>
          <w:szCs w:val="24"/>
        </w:rPr>
        <w:t>(...) veja como é o ato reflexo o mais geral e primitivo da matéria orgânica, o plano mais elementar e simples das funções da vida, que se confunde, nos graus inferiores da organização, com a irritabilidade e sensibilidade inconsciente, e se especifica e aperfeiçoa, conforme se complicam e diferenciam os aparatos encarregados do referido ato, nos passos mais elevados da animalidade</w:t>
      </w:r>
      <w:r>
        <w:rPr>
          <w:rStyle w:val="Caracteresdenotaderodap"/>
          <w:rStyle w:val="Ncoradanotaderodap"/>
          <w:rFonts w:cs="Times New Roman" w:ascii="Times New Roman" w:hAnsi="Times New Roman"/>
          <w:bCs/>
          <w:i/>
          <w:sz w:val="24"/>
          <w:szCs w:val="24"/>
        </w:rPr>
        <w:footnoteReference w:id="207"/>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Ramón y Cajal no artigo de 1881, em que discute os atos reflexos, pretende fazer uma descrição biológica dos reflexos com a intenção de se opor ao que chamou de filosofia do inconsciente, defendida principalmente por Karl Robert Eduard von Hartmann (1842-1906). Hartmann publica em 1868 um livro com o título </w:t>
      </w:r>
      <w:r>
        <w:rPr>
          <w:rFonts w:cs="Times New Roman" w:ascii="Times New Roman" w:hAnsi="Times New Roman"/>
          <w:bCs/>
          <w:i/>
          <w:sz w:val="24"/>
          <w:szCs w:val="24"/>
        </w:rPr>
        <w:t xml:space="preserve">Filosofia do inconsciente. </w:t>
      </w:r>
      <w:r>
        <w:rPr>
          <w:rFonts w:cs="Times New Roman" w:ascii="Times New Roman" w:hAnsi="Times New Roman"/>
          <w:bCs/>
          <w:sz w:val="24"/>
          <w:szCs w:val="24"/>
        </w:rPr>
        <w:t xml:space="preserve">Apesar de Hartmann derivar suas teses de dados científicos, Ramón y Cajal discorda categoricamente da tentativa de Hartmann em garantir critérios exclusivos ao humano na série animal. Uma vez aceita a teoria do protoplasma (teoria muito popular entre os fisiologistas na segunda metade do século XIX e que identificava no protoplasma o atributo fundamental dos seres vivos; o protoplasma designava no século XIX o que posteriormente se designa pelos termos de citoplasma e hialoplasma), afirma o cientista espanhol, é corolário pressupor diferenças apenas de grau entre os organismos, assim, a ideia de consciência, tão cara a algumas correntes filosóficas, deve ser entendida a partir da gradação entre as diferentes espécies. Ramón y Cajal não aceitava a ideia de que o homem seria único na escala zoológica a possuir consciência. Dever-se-ia atribuir, em graus distintos, consciência a outros animais.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O fenômeno do reflexo, entendido a partir do trabalho de Marshall Hall como um princípio biológico e, consequentemente, inventariado em níveis distintos, indo das ações automáticas às voluntárias exigiu uma explicação fisicalista para todas suas modalidades. Essa posição foi defendida, entre outros, por Ramón y Cajal. A explicação dos fenômenos de reflexo à luz da teoria neuronal (teoria que estabelece as principais características da célula nervosa) permitiu a Ramón y Cajal assentar o fenômeno em uma escala de desenvolvimento, tanto na ontogênese quanto na filogênese. A explicação do fenômeno no nível histológico também contribuiu para a compreensão de como a adaptação evolutiva acompanha as variações até os rincões da morfologia celular, conforme acreditava Ramón y Cajal.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No plano de descrição dos centros nervosos</w:t>
      </w:r>
      <w:r>
        <w:rPr>
          <w:rStyle w:val="Caracteresdenotaderodap"/>
          <w:rStyle w:val="Ncoradanotaderodap"/>
          <w:rFonts w:cs="Times New Roman" w:ascii="Times New Roman" w:hAnsi="Times New Roman"/>
          <w:bCs/>
          <w:sz w:val="24"/>
          <w:szCs w:val="24"/>
        </w:rPr>
        <w:footnoteReference w:id="208"/>
      </w:r>
      <w:r>
        <w:rPr>
          <w:rFonts w:cs="Times New Roman" w:ascii="Times New Roman" w:hAnsi="Times New Roman"/>
          <w:bCs/>
          <w:sz w:val="24"/>
          <w:szCs w:val="24"/>
        </w:rPr>
        <w:t xml:space="preserve"> concebido por Ramón y Cajal, tais centros se compõem de duas tramas ou substâncias de aspecto e coloração distintas, a substância branca e a cinzenta. Na formação da substância branca entram os tubos nervosos medulados e os corpúsculos neuróglicos de longas prolongações. A substância cinzenta se forma da agregação de células nervosas mescladas de tubos e corpúsculos neuróglicos de curtos prolongamentos. Ramón y Cajal afirmou que a maneira mais precisa e completa para entender a textura geral da substância cinzenta, e sua unidade, é considerando que todo centro ou foco nervoso resulta do entrecruzamento de quatro fatores (os elementos constituintes do foco em questão). Esses elementos são: (1) os neurônios de axônio longo com a soma de suas expansões dendríticas; (2) os neurônios de axônio curto e suas arborizações completas, tanto dendríticas como nervosas; (3) as ramificações dos colaterais nascidos em tubos nervosos da substância branca vizinha; e (4) as arborizações nervosas terminais dos neurônios de axônio longo (sensorial, motor voluntário, de associação entre outros).</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As variações quanto à forma, tamanho, número e modo de associação de cada região da substância cinzenta exigiu uma descrição em particular de cada centro nervoso. </w:t>
      </w:r>
    </w:p>
    <w:p>
      <w:pPr>
        <w:pStyle w:val="Corpodotexto"/>
        <w:tabs>
          <w:tab w:val="clear" w:pos="708"/>
          <w:tab w:val="left" w:pos="54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left="540" w:hanging="0"/>
        <w:rPr/>
      </w:pPr>
      <w:r>
        <w:rPr>
          <w:rFonts w:cs="Times New Roman" w:ascii="Times New Roman" w:hAnsi="Times New Roman"/>
          <w:bCs/>
          <w:i/>
          <w:sz w:val="24"/>
          <w:szCs w:val="24"/>
        </w:rPr>
        <w:t>Representa cada centro ou foco nervoso uma estação de emenda e de associação complicada, entre duas ordens de condutores: os sensitivos e sensoriais que fornecem a comoção nervosa; e os motores que a propagam ao aparato locomotor e glandular correspondente</w:t>
      </w:r>
      <w:r>
        <w:rPr>
          <w:rStyle w:val="Caracteresdenotaderodap"/>
          <w:rStyle w:val="Ncoradanotaderodap"/>
          <w:rFonts w:cs="Times New Roman" w:ascii="Times New Roman" w:hAnsi="Times New Roman"/>
          <w:bCs/>
          <w:i/>
          <w:sz w:val="24"/>
          <w:szCs w:val="24"/>
        </w:rPr>
        <w:footnoteReference w:id="209"/>
      </w:r>
      <w:r>
        <w:rPr>
          <w:rFonts w:cs="Times New Roman" w:ascii="Times New Roman" w:hAnsi="Times New Roman"/>
          <w:bCs/>
          <w:i/>
          <w:sz w:val="24"/>
          <w:szCs w:val="24"/>
        </w:rPr>
        <w:t>.</w:t>
      </w:r>
      <w:r>
        <w:rPr>
          <w:rFonts w:cs="Times New Roman" w:ascii="Times New Roman" w:hAnsi="Times New Roman"/>
          <w:bCs/>
          <w:sz w:val="24"/>
          <w:szCs w:val="24"/>
        </w:rPr>
        <w:t xml:space="preserve">       </w:t>
      </w:r>
    </w:p>
    <w:p>
      <w:pPr>
        <w:pStyle w:val="Corpodotexto"/>
        <w:tabs>
          <w:tab w:val="clear" w:pos="708"/>
          <w:tab w:val="left" w:pos="540" w:leader="none"/>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 xml:space="preserve">      </w:t>
      </w:r>
    </w:p>
    <w:p>
      <w:pPr>
        <w:pStyle w:val="Corpodotexto"/>
        <w:tabs>
          <w:tab w:val="clear" w:pos="708"/>
          <w:tab w:val="left" w:pos="720" w:leader="none"/>
        </w:tabs>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Ramón y Cajal considera um percurso lógico o marcado pela exposição das partes constitutivas do foco nervoso (dada, nessa ordem, pelos neurônios sensitivos, motores e intermediários).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O que se conhecia sobre a morfologia e fisiologia da medula espinhal quando Ramón y Cajal inicia suas pesquisas no início da década de 1880 pode ser resumido da seguinte maneira. A medula espinhal é um cordão de cor branco, alojado no raquis e estendido desde o buraco occipital até a segunda vértebra lombar (homem). Examinado exteriormente, a medula espinhal apresenta dois sulcos médios, um anterior retilíneo, profundo, dentro do qual penetra uma dobra da pia mater e outro posterior superficial, cujo fundo se encontra ocupado por um septo vertical de células epiteliais. Tais sulcos dividem a medula em duas metades laterais, semicilindricas e simétricas.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Lieut-Colonel Sabine</w:t>
      </w:r>
      <w:r>
        <w:rPr>
          <w:rStyle w:val="Caracteresdenotaderodap"/>
          <w:rStyle w:val="Ncoradanotaderodap"/>
          <w:rFonts w:cs="Times New Roman" w:ascii="Times New Roman" w:hAnsi="Times New Roman"/>
          <w:bCs/>
          <w:sz w:val="24"/>
          <w:szCs w:val="24"/>
        </w:rPr>
        <w:footnoteReference w:id="210"/>
      </w:r>
      <w:r>
        <w:rPr>
          <w:rFonts w:cs="Times New Roman" w:ascii="Times New Roman" w:hAnsi="Times New Roman"/>
          <w:bCs/>
          <w:sz w:val="24"/>
          <w:szCs w:val="24"/>
        </w:rPr>
        <w:t xml:space="preserve">, apresentou uma resenha sobre o livro de Jacob Lockhart Clarke (1817-1880) </w:t>
      </w:r>
      <w:r>
        <w:rPr>
          <w:rFonts w:cs="Times New Roman" w:ascii="Times New Roman" w:hAnsi="Times New Roman"/>
          <w:bCs/>
          <w:i/>
          <w:sz w:val="24"/>
          <w:szCs w:val="24"/>
        </w:rPr>
        <w:t>Researches into the structure of the Spinal Cord,</w:t>
      </w:r>
      <w:r>
        <w:rPr>
          <w:rFonts w:cs="Times New Roman" w:ascii="Times New Roman" w:hAnsi="Times New Roman"/>
          <w:bCs/>
          <w:sz w:val="24"/>
          <w:szCs w:val="24"/>
        </w:rPr>
        <w:t xml:space="preserve"> espécie de coletânea, publicada em 1850, de inúmeros trabalhos de Clarke sobre a estrutura da medula espinhal, em que se examinaram ao microscópio as relações entre os nervos espinhais e os centros nervosos respiratórios. Sabine apresenta a descrição do núcleo torácico posterior (coluna de Clarke) e que recebeu o nome de seu descobridor e que aparece nessa publicação</w:t>
      </w:r>
      <w:r>
        <w:rPr>
          <w:rStyle w:val="Caracteresdenotaderodap"/>
          <w:rStyle w:val="Ncoradanotaderodap"/>
          <w:rFonts w:cs="Times New Roman" w:ascii="Times New Roman" w:hAnsi="Times New Roman"/>
          <w:bCs/>
          <w:sz w:val="24"/>
          <w:szCs w:val="24"/>
        </w:rPr>
        <w:footnoteReference w:id="211"/>
      </w:r>
      <w:r>
        <w:rPr>
          <w:rFonts w:cs="Times New Roman" w:ascii="Times New Roman" w:hAnsi="Times New Roman"/>
          <w:bCs/>
          <w:sz w:val="24"/>
          <w:szCs w:val="24"/>
        </w:rPr>
        <w:t>.</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Clarke também descreveu a substância cinzenta medular a partir de uma divisão em cornos anterior e posterior. Sobre as fibras da substância cinzenta, afirmou que são do tipo tubular e com pequeno diâmetro. Caracterizam-se em dois tipos em função da direção, um transversal e outro longitudinal. Clarke, inclusive, determinou o diâmetro das fibras da substância cinzenta, obtendo um valor aproximado de 8,3 x 10</w:t>
      </w:r>
      <w:r>
        <w:rPr>
          <w:rFonts w:cs="Times New Roman" w:ascii="Times New Roman" w:hAnsi="Times New Roman"/>
          <w:bCs/>
          <w:sz w:val="24"/>
          <w:szCs w:val="24"/>
          <w:vertAlign w:val="superscript"/>
        </w:rPr>
        <w:t>-5</w:t>
      </w:r>
      <w:r>
        <w:rPr>
          <w:rFonts w:cs="Times New Roman" w:ascii="Times New Roman" w:hAnsi="Times New Roman"/>
          <w:bCs/>
          <w:sz w:val="24"/>
          <w:szCs w:val="24"/>
        </w:rPr>
        <w:t xml:space="preserve"> de uma polegada. Observou também mudanças na forma da substância cinzenta examinando a medula de baixo para cima. A massa posterior é gradualmente dividida em duas, enquanto que a substância gelatinosa</w:t>
      </w:r>
      <w:r>
        <w:rPr>
          <w:rStyle w:val="Caracteresdenotaderodap"/>
          <w:rStyle w:val="Ncoradanotaderodap"/>
          <w:rFonts w:cs="Times New Roman" w:ascii="Times New Roman" w:hAnsi="Times New Roman"/>
          <w:bCs/>
          <w:sz w:val="24"/>
          <w:szCs w:val="24"/>
        </w:rPr>
        <w:footnoteReference w:id="212"/>
      </w:r>
      <w:r>
        <w:rPr>
          <w:rFonts w:cs="Times New Roman" w:ascii="Times New Roman" w:hAnsi="Times New Roman"/>
          <w:bCs/>
          <w:sz w:val="24"/>
          <w:szCs w:val="24"/>
        </w:rPr>
        <w:t xml:space="preserve"> é interrompida na linha média (ver figura 16).</w:t>
      </w:r>
    </w:p>
    <w:p>
      <w:pPr>
        <w:pStyle w:val="Corpodotexto"/>
        <w:spacing w:lineRule="auto" w:line="360" w:before="0" w:after="0"/>
        <w:rPr/>
      </w:pPr>
      <w:r>
        <w:rPr>
          <w:rFonts w:cs="Times New Roman" w:ascii="Times New Roman" w:hAnsi="Times New Roman"/>
          <w:sz w:val="24"/>
          <w:szCs w:val="24"/>
          <w:lang w:val="pt-BR" w:eastAsia="pt-BR" w:bidi="ar-SA"/>
        </w:rPr>
        <w:drawing>
          <wp:inline distT="0" distB="0" distL="0" distR="0">
            <wp:extent cx="2957830" cy="2050415"/>
            <wp:effectExtent l="0" t="0" r="0" b="0"/>
            <wp:docPr id="47"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3" descr=""/>
                    <pic:cNvPicPr>
                      <a:picLocks noChangeAspect="1" noChangeArrowheads="1"/>
                    </pic:cNvPicPr>
                  </pic:nvPicPr>
                  <pic:blipFill>
                    <a:blip r:embed="rId25"/>
                    <a:stretch>
                      <a:fillRect/>
                    </a:stretch>
                  </pic:blipFill>
                  <pic:spPr bwMode="auto">
                    <a:xfrm>
                      <a:off x="0" y="0"/>
                      <a:ext cx="2957830" cy="2050415"/>
                    </a:xfrm>
                    <a:prstGeom prst="rect">
                      <a:avLst/>
                    </a:prstGeom>
                    <a:ln w="38100">
                      <a:solidFill>
                        <a:srgbClr val="000000"/>
                      </a:solidFill>
                    </a:ln>
                  </pic:spPr>
                </pic:pic>
              </a:graphicData>
            </a:graphic>
          </wp:inline>
        </w:drawing>
      </w:r>
      <w:r>
        <w:rPr>
          <w:rFonts w:cs="Times New Roman" w:ascii="Times New Roman" w:hAnsi="Times New Roman"/>
          <w:sz w:val="24"/>
          <w:szCs w:val="24"/>
          <w:lang w:val="pt-BR" w:eastAsia="pt-BR" w:bidi="ar-SA"/>
        </w:rPr>
        <w:drawing>
          <wp:inline distT="0" distB="0" distL="0" distR="0">
            <wp:extent cx="1516380" cy="2044065"/>
            <wp:effectExtent l="0" t="0" r="0" b="0"/>
            <wp:docPr id="48"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21" descr=""/>
                    <pic:cNvPicPr>
                      <a:picLocks noChangeAspect="1" noChangeArrowheads="1"/>
                    </pic:cNvPicPr>
                  </pic:nvPicPr>
                  <pic:blipFill>
                    <a:blip r:embed="rId26"/>
                    <a:stretch>
                      <a:fillRect/>
                    </a:stretch>
                  </pic:blipFill>
                  <pic:spPr bwMode="auto">
                    <a:xfrm>
                      <a:off x="0" y="0"/>
                      <a:ext cx="1516380" cy="2044065"/>
                    </a:xfrm>
                    <a:prstGeom prst="rect">
                      <a:avLst/>
                    </a:prstGeom>
                    <a:ln w="38100">
                      <a:solidFill>
                        <a:srgbClr val="000000"/>
                      </a:solidFill>
                    </a:ln>
                  </pic:spPr>
                </pic:pic>
              </a:graphicData>
            </a:graphic>
          </wp:inline>
        </w:drawing>
      </w:r>
      <w:r>
        <w:rPr>
          <w:rFonts w:cs="Times New Roman" w:ascii="Times New Roman" w:hAnsi="Times New Roman"/>
          <w:bCs/>
          <w:sz w:val="24"/>
          <w:szCs w:val="24"/>
        </w:rPr>
        <w:t xml:space="preserve">   </w:t>
      </w:r>
    </w:p>
    <w:p>
      <w:pPr>
        <w:pStyle w:val="Corpodotexto"/>
        <w:spacing w:before="0" w:after="0"/>
        <w:ind w:hanging="0"/>
        <w:rPr/>
      </w:pPr>
      <w:r>
        <w:rPr>
          <w:rFonts w:cs="Times New Roman" w:ascii="Times New Roman" w:hAnsi="Times New Roman"/>
          <w:b/>
          <w:bCs/>
          <w:sz w:val="24"/>
          <w:szCs w:val="24"/>
        </w:rPr>
        <w:t>Figura 16. Esquerda:</w:t>
      </w:r>
      <w:r>
        <w:rPr>
          <w:rFonts w:cs="Times New Roman" w:ascii="Times New Roman" w:hAnsi="Times New Roman"/>
          <w:bCs/>
          <w:sz w:val="24"/>
          <w:szCs w:val="24"/>
        </w:rPr>
        <w:t xml:space="preserve"> Desenho de Clarke de 1859 reproduzido por Rexed (1964), representando o corno dorsal da matéria cinzenta da medula espinal. Rexed chama a atenção para as numerosas fibras nervosas longitudinais na região ventral da substância gelatinosa de Rolando. (Fonte: Rexed, 1964, p. 63). </w:t>
      </w:r>
      <w:r>
        <w:rPr>
          <w:rFonts w:cs="Times New Roman" w:ascii="Times New Roman" w:hAnsi="Times New Roman"/>
          <w:b/>
          <w:bCs/>
          <w:sz w:val="24"/>
          <w:szCs w:val="24"/>
        </w:rPr>
        <w:t>Direita:</w:t>
      </w:r>
      <w:r>
        <w:rPr>
          <w:rFonts w:cs="Times New Roman" w:ascii="Times New Roman" w:hAnsi="Times New Roman"/>
          <w:bCs/>
          <w:sz w:val="24"/>
          <w:szCs w:val="24"/>
        </w:rPr>
        <w:t xml:space="preserve"> Desenho esquemático, proposto em 1964 por Rexed das lâminas da matéria cinzenta da medula espinal no quinto segmento lombar do gato adulto. A substância de Rolando (lâmina II) encontra-se na parte superior da figura. (Fonte: Rexed, 1964, p. 60).       </w:t>
      </w:r>
      <w:r>
        <w:rPr>
          <w:rFonts w:cs="Times New Roman" w:ascii="Times New Roman" w:hAnsi="Times New Roman"/>
          <w:bCs/>
          <w:i/>
          <w:sz w:val="24"/>
          <w:szCs w:val="24"/>
        </w:rPr>
        <w:t xml:space="preserve"> </w:t>
      </w:r>
      <w:r>
        <w:rPr>
          <w:rFonts w:cs="Times New Roman" w:ascii="Times New Roman" w:hAnsi="Times New Roman"/>
          <w:bCs/>
          <w:sz w:val="24"/>
          <w:szCs w:val="24"/>
        </w:rPr>
        <w:t xml:space="preserve">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No que se refere à conformação interna da medula e fazendo uso de métodos quaisquer de coloração, afirmou Ramón y Cajal que se observa de maneira bem delimitada a formação da substância branca, que ao invés do que ocorre no cérebro, constitui um grosso córtex periférico; já a substância cinzenta, situa-se no centro em torno de um delgado condutor. Esse condutor é o resquício da cavidade medular primitiva e é designado pelo nome de epêndima. Essa descrição no último quarto do século XIX já era bem aceita pela comunidade científica. </w:t>
      </w:r>
    </w:p>
    <w:p>
      <w:pPr>
        <w:pStyle w:val="Corpodotexto"/>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ab/>
        <w:t xml:space="preserve">Ao redor da medula, encontra-se intimamente aderida a substância branca e se nota a membrana pia-máter, portadora de vasos destinados à nutrição do dito centro. Cada corno da substância cinzenta compreende vários territórios nem sempre limitados. A distinção desses territórios feita por Ramón y Cajal atribui uma área compreendida pelo corno anterior muito mais extensa que a ocupada pelo corno posterior. </w:t>
      </w:r>
    </w:p>
    <w:p>
      <w:pPr>
        <w:pStyle w:val="Corpodotexto"/>
        <w:tabs>
          <w:tab w:val="clear" w:pos="708"/>
          <w:tab w:val="left" w:pos="720" w:leader="none"/>
        </w:tabs>
        <w:spacing w:lineRule="auto" w:line="360" w:before="0" w:after="0"/>
        <w:rPr/>
      </w:pPr>
      <w:r>
        <w:rPr>
          <w:rFonts w:cs="Times New Roman" w:ascii="Times New Roman" w:hAnsi="Times New Roman"/>
          <w:bCs/>
          <w:sz w:val="24"/>
          <w:szCs w:val="24"/>
        </w:rPr>
        <w:tab/>
        <w:t xml:space="preserve">A área do corno posterior é longa e estreita, singularmente nas regiões cervical e dorsal. Nela se compreende: (1) a substância gelatinosa de Rolando (figura 17, item ‘a’ em destaque), espécie de tampa ou limbo arciforme de aspecto finamente granular que cobre o vértice do corno posterior; (2) a cabeça ou vértice do corno posterior, território de forma ovóide, situado imediatamente diante da substância de Rolando e ponto geral de confluência das células colaterais do cordão posterior; (3) a base do corno posterior, território pouco limitado, continua com a região do vértice do corno dorsal e, adiante, com o foco cinzento intermediário; (4) a coluna vesiculosa de Clarke, massa celular de secção arredondada, vizinha da comissura posterior e cordão posterior, e somente bem deslindada na região dorsal e porção superior da lombar. </w:t>
      </w:r>
    </w:p>
    <w:p>
      <w:pPr>
        <w:pStyle w:val="Corpodotexto"/>
        <w:spacing w:lineRule="auto" w:line="360" w:before="0" w:after="0"/>
        <w:ind w:left="540" w:hanging="0"/>
        <w:rPr>
          <w:rFonts w:ascii="Times New Roman" w:hAnsi="Times New Roman" w:cs="Times New Roman"/>
          <w:bCs/>
          <w:i/>
          <w:i/>
          <w:sz w:val="24"/>
          <w:szCs w:val="24"/>
        </w:rPr>
      </w:pPr>
      <w:r>
        <w:rPr>
          <w:rFonts w:cs="Times New Roman" w:ascii="Times New Roman" w:hAnsi="Times New Roman"/>
          <w:bCs/>
          <w:i/>
          <w:sz w:val="24"/>
          <w:szCs w:val="24"/>
        </w:rPr>
        <w:t xml:space="preserve"> </w:t>
      </w:r>
    </w:p>
    <w:p>
      <w:pPr>
        <w:pStyle w:val="Corpodotexto"/>
        <w:spacing w:lineRule="auto" w:line="360" w:before="0" w:after="0"/>
        <w:ind w:hanging="0"/>
        <w:jc w:val="center"/>
        <w:rPr>
          <w:rFonts w:ascii="Times New Roman" w:hAnsi="Times New Roman" w:cs="Times New Roman"/>
          <w:bCs/>
          <w:sz w:val="24"/>
          <w:szCs w:val="24"/>
        </w:rPr>
      </w:pPr>
      <w:r>
        <w:rPr>
          <w:rFonts w:cs="Times New Roman" w:ascii="Times New Roman" w:hAnsi="Times New Roman"/>
          <w:sz w:val="24"/>
          <w:szCs w:val="24"/>
          <w:lang w:val="pt-BR" w:eastAsia="pt-BR" w:bidi="ar-SA"/>
        </w:rPr>
        <w:drawing>
          <wp:inline distT="0" distB="0" distL="0" distR="0">
            <wp:extent cx="3465830" cy="3387090"/>
            <wp:effectExtent l="0" t="0" r="0" b="0"/>
            <wp:docPr id="49"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5" descr=""/>
                    <pic:cNvPicPr>
                      <a:picLocks noChangeAspect="1" noChangeArrowheads="1"/>
                    </pic:cNvPicPr>
                  </pic:nvPicPr>
                  <pic:blipFill>
                    <a:blip r:embed="rId27"/>
                    <a:stretch>
                      <a:fillRect/>
                    </a:stretch>
                  </pic:blipFill>
                  <pic:spPr bwMode="auto">
                    <a:xfrm>
                      <a:off x="0" y="0"/>
                      <a:ext cx="3465830" cy="3387090"/>
                    </a:xfrm>
                    <a:prstGeom prst="rect">
                      <a:avLst/>
                    </a:prstGeom>
                    <a:ln w="38100">
                      <a:solidFill>
                        <a:srgbClr val="000000"/>
                      </a:solidFill>
                    </a:ln>
                  </pic:spPr>
                </pic:pic>
              </a:graphicData>
            </a:graphic>
          </wp:inline>
        </w:drawing>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lang w:val="pt-BR" w:eastAsia="pt-BR" w:bidi="ar-SA"/>
        </w:rPr>
      </w:pPr>
      <w:r>
        <w:rPr>
          <w:rFonts w:cs="Times New Roman" w:ascii="Times New Roman" w:hAnsi="Times New Roman"/>
          <w:bCs/>
          <w:sz w:val="24"/>
          <w:szCs w:val="24"/>
          <w:lang w:val="pt-BR" w:eastAsia="pt-BR" w:bidi="ar-SA"/>
        </w:rPr>
      </w:r>
      <w:r>
        <mc:AlternateContent>
          <mc:Choice Requires="wps">
            <w:drawing>
              <wp:anchor behindDoc="0" distT="0" distB="0" distL="114935" distR="114935" simplePos="0" locked="0" layoutInCell="0" allowOverlap="1" relativeHeight="48">
                <wp:simplePos x="0" y="0"/>
                <wp:positionH relativeFrom="column">
                  <wp:posOffset>53340</wp:posOffset>
                </wp:positionH>
                <wp:positionV relativeFrom="paragraph">
                  <wp:posOffset>112395</wp:posOffset>
                </wp:positionV>
                <wp:extent cx="5314950" cy="1856740"/>
                <wp:effectExtent l="0" t="0" r="0" b="0"/>
                <wp:wrapNone/>
                <wp:docPr id="50" name="Quadro15"/>
                <a:graphic xmlns:a="http://schemas.openxmlformats.org/drawingml/2006/main">
                  <a:graphicData uri="http://schemas.microsoft.com/office/word/2010/wordprocessingShape">
                    <wps:wsp>
                      <wps:cNvSpPr txBox="1"/>
                      <wps:spPr>
                        <a:xfrm>
                          <a:off x="0" y="0"/>
                          <a:ext cx="5314950" cy="1856740"/>
                        </a:xfrm>
                        <a:prstGeom prst="rect"/>
                        <a:solidFill>
                          <a:srgbClr val="FFFFFF"/>
                        </a:solidFill>
                      </wps:spPr>
                      <wps:txbx>
                        <w:txbxContent>
                          <w:p>
                            <w:pPr>
                              <w:pStyle w:val="Normal"/>
                              <w:jc w:val="both"/>
                              <w:rPr/>
                            </w:pPr>
                            <w:r>
                              <w:rPr>
                                <w:b/>
                                <w:sz w:val="20"/>
                                <w:szCs w:val="20"/>
                              </w:rPr>
                              <w:t>Figura 17:</w:t>
                            </w:r>
                            <w:r>
                              <w:rPr>
                                <w:sz w:val="20"/>
                                <w:szCs w:val="20"/>
                              </w:rPr>
                              <w:t xml:space="preserve"> Esquema apresentado por Ramón y Cajal da medula cervical humana, em que se observa a divisão de regiões da substância cinzenta e da substância branca. A: raízes anteriores; B: raiz posterior; C: fascículo de Burdach; D: fascículo de Goll; E: porção ventral do trato posterior; F: zona marginal de Lissauer; G: fuso piramidal cruzado; H: trato de Flechsig; I: fascículo de Gowers; J: sistema do corno posterior; K: foco cinzento intermediário; L: fascículo intermediário; M: vias curtas do fascículo anterior; N: trato de Türk; O: trato comissural; P: comissura branca ou anterior; R: comissura cinza ou posterior – a, substância de Rolando (lâmina II de Rexed); b, vértice do corno posterior; c, núcleo basal interno; d, núcleo basal externo; e, substância cinzenta ou gelatinosa central; f, núcleo cinzento intermediário; g, núcleo do trato anterolateral; h, núcleo motor externo; i, núcleo motor interno; j, núcleo cinzento comissural. (Fonte: Ramón y Cajal, 1899a, p. 284).</w:t>
                            </w:r>
                          </w:p>
                          <w:p>
                            <w:pPr>
                              <w:pStyle w:val="Normal"/>
                              <w:jc w:val="both"/>
                              <w:rPr>
                                <w:sz w:val="20"/>
                                <w:szCs w:val="20"/>
                              </w:rPr>
                            </w:pPr>
                            <w:r>
                              <w:rPr>
                                <w:sz w:val="20"/>
                                <w:szCs w:val="20"/>
                              </w:rPr>
                              <w:t xml:space="preserve">Com o objetivo de destacar a via piramidal e a via sensitiva, Ramón y Cajal ilustrou em vermelho a primeira e em azul a segunda.               </w:t>
                            </w:r>
                          </w:p>
                        </w:txbxContent>
                      </wps:txbx>
                      <wps:bodyPr anchor="t" lIns="92075" tIns="46355" rIns="92075" bIns="46355">
                        <a:noAutofit/>
                      </wps:bodyPr>
                    </wps:wsp>
                  </a:graphicData>
                </a:graphic>
              </wp:anchor>
            </w:drawing>
          </mc:Choice>
          <mc:Fallback>
            <w:pict>
              <v:rect fillcolor="#FFFFFF" style="position:absolute;rotation:0;width:418.5pt;height:146.2pt;mso-wrap-distance-left:9.05pt;mso-wrap-distance-right:9.05pt;mso-wrap-distance-top:0pt;mso-wrap-distance-bottom:0pt;margin-top:8.85pt;mso-position-vertical-relative:text;margin-left:4.2pt;mso-position-horizontal-relative:text">
                <v:textbox inset="0.100694444444444in,0.0506944444444444in,0.100694444444444in,0.0506944444444444in">
                  <w:txbxContent>
                    <w:p>
                      <w:pPr>
                        <w:pStyle w:val="Normal"/>
                        <w:jc w:val="both"/>
                        <w:rPr/>
                      </w:pPr>
                      <w:r>
                        <w:rPr>
                          <w:b/>
                          <w:sz w:val="20"/>
                          <w:szCs w:val="20"/>
                        </w:rPr>
                        <w:t>Figura 17:</w:t>
                      </w:r>
                      <w:r>
                        <w:rPr>
                          <w:sz w:val="20"/>
                          <w:szCs w:val="20"/>
                        </w:rPr>
                        <w:t xml:space="preserve"> Esquema apresentado por Ramón y Cajal da medula cervical humana, em que se observa a divisão de regiões da substância cinzenta e da substância branca. A: raízes anteriores; B: raiz posterior; C: fascículo de Burdach; D: fascículo de Goll; E: porção ventral do trato posterior; F: zona marginal de Lissauer; G: fuso piramidal cruzado; H: trato de Flechsig; I: fascículo de Gowers; J: sistema do corno posterior; K: foco cinzento intermediário; L: fascículo intermediário; M: vias curtas do fascículo anterior; N: trato de Türk; O: trato comissural; P: comissura branca ou anterior; R: comissura cinza ou posterior – a, substância de Rolando (lâmina II de Rexed); b, vértice do corno posterior; c, núcleo basal interno; d, núcleo basal externo; e, substância cinzenta ou gelatinosa central; f, núcleo cinzento intermediário; g, núcleo do trato anterolateral; h, núcleo motor externo; i, núcleo motor interno; j, núcleo cinzento comissural. (Fonte: Ramón y Cajal, 1899a, p. 284).</w:t>
                      </w:r>
                    </w:p>
                    <w:p>
                      <w:pPr>
                        <w:pStyle w:val="Normal"/>
                        <w:jc w:val="both"/>
                        <w:rPr>
                          <w:sz w:val="20"/>
                          <w:szCs w:val="20"/>
                        </w:rPr>
                      </w:pPr>
                      <w:r>
                        <w:rPr>
                          <w:sz w:val="20"/>
                          <w:szCs w:val="20"/>
                        </w:rPr>
                        <w:t xml:space="preserve">Com o objetivo de destacar a via piramidal e a via sensitiva, Ramón y Cajal ilustrou em vermelho a primeira e em azul a segunda.               </w:t>
                      </w:r>
                    </w:p>
                  </w:txbxContent>
                </v:textbox>
                <w10:wrap type="none"/>
              </v:rect>
            </w:pict>
          </mc:Fallback>
        </mc:AlternateContent>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tab/>
        <w:t>A região lombar se reconhece facilmente pela escassez da substância branca, pela falta e aspecto arredondado dos cornos, entre os quais a posterior é curta, quase semicircular, recordando por seu aspecto e largura, a disposição característica da época embrionária.</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Tanto na região lombar inferior como na cervical faltam, conforme afirmou Ramón y Cajal, a coluna de Clarke, porém, nestas regiões se mantém um território formado por pequenas células homólogas da coluna de Clarke, que Ramón y Cajal chamou de </w:t>
      </w:r>
      <w:r>
        <w:rPr>
          <w:rFonts w:cs="Times New Roman" w:ascii="Times New Roman" w:hAnsi="Times New Roman"/>
          <w:bCs/>
          <w:i/>
          <w:sz w:val="24"/>
          <w:szCs w:val="24"/>
        </w:rPr>
        <w:t>foco basal interno</w:t>
      </w:r>
      <w:r>
        <w:rPr>
          <w:rFonts w:cs="Times New Roman" w:ascii="Times New Roman" w:hAnsi="Times New Roman"/>
          <w:bCs/>
          <w:sz w:val="24"/>
          <w:szCs w:val="24"/>
        </w:rPr>
        <w:t xml:space="preserve"> (figura 17, c). Existe uma zona media, alargada desde o cordão posterior ao epêndima, de limites incertos, pouco desenvolvida no homem, porém, bem desenvolvida nos animais (principalmente cães e gatos) e que Ramón y Cajal nomeou de </w:t>
      </w:r>
      <w:r>
        <w:rPr>
          <w:rFonts w:cs="Times New Roman" w:ascii="Times New Roman" w:hAnsi="Times New Roman"/>
          <w:bCs/>
          <w:i/>
          <w:sz w:val="24"/>
          <w:szCs w:val="24"/>
        </w:rPr>
        <w:t>foco comissural posterior</w:t>
      </w:r>
      <w:r>
        <w:rPr>
          <w:rFonts w:cs="Times New Roman" w:ascii="Times New Roman" w:hAnsi="Times New Roman"/>
          <w:bCs/>
          <w:sz w:val="24"/>
          <w:szCs w:val="24"/>
        </w:rPr>
        <w:t xml:space="preserve">.     </w:t>
      </w:r>
    </w:p>
    <w:p>
      <w:pPr>
        <w:pStyle w:val="Corpodotexto"/>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Corpodotexto"/>
        <w:spacing w:lineRule="auto" w:line="360" w:before="0" w:after="0"/>
        <w:ind w:hanging="0"/>
        <w:rPr>
          <w:rFonts w:ascii="Times New Roman" w:hAnsi="Times New Roman" w:cs="Times New Roman"/>
          <w:b/>
          <w:b/>
          <w:bCs/>
          <w:sz w:val="24"/>
          <w:szCs w:val="24"/>
        </w:rPr>
      </w:pPr>
      <w:r>
        <w:rPr>
          <w:rFonts w:cs="Times New Roman" w:ascii="Times New Roman" w:hAnsi="Times New Roman"/>
          <w:b/>
          <w:bCs/>
          <w:sz w:val="24"/>
          <w:szCs w:val="24"/>
        </w:rPr>
        <w:t>Considerações fisiológicas sobre a medula espinhal baseadas na teoria neuronal</w:t>
      </w:r>
    </w:p>
    <w:p>
      <w:pPr>
        <w:pStyle w:val="Corpodotexto"/>
        <w:spacing w:lineRule="auto" w:line="360" w:before="0" w:after="0"/>
        <w:ind w:firstLine="360"/>
        <w:rPr>
          <w:rFonts w:ascii="Times New Roman" w:hAnsi="Times New Roman" w:cs="Times New Roman"/>
          <w:b/>
          <w:b/>
          <w:bCs/>
          <w:sz w:val="24"/>
          <w:szCs w:val="24"/>
        </w:rPr>
      </w:pPr>
      <w:r>
        <w:rPr>
          <w:rFonts w:cs="Times New Roman" w:ascii="Times New Roman" w:hAnsi="Times New Roman"/>
          <w:b/>
          <w:bCs/>
          <w:sz w:val="24"/>
          <w:szCs w:val="24"/>
        </w:rPr>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Para Ramón y Cajal, apesar de toda complexidade estrutural, a medula espinhal possui apenas a função de transporte das correntes sensitivas e motoras. A partir da descrição estrutural da medula espinhal apresentada por Ramón y Cajal no primeiro volume de sua obra magna </w:t>
      </w:r>
      <w:r>
        <w:rPr>
          <w:rFonts w:cs="Times New Roman" w:ascii="Times New Roman" w:hAnsi="Times New Roman"/>
          <w:bCs/>
          <w:i/>
          <w:sz w:val="24"/>
          <w:szCs w:val="24"/>
        </w:rPr>
        <w:t>histologia do sistema nervoso</w:t>
      </w:r>
      <w:r>
        <w:rPr>
          <w:rFonts w:cs="Times New Roman" w:ascii="Times New Roman" w:hAnsi="Times New Roman"/>
          <w:bCs/>
          <w:sz w:val="24"/>
          <w:szCs w:val="24"/>
        </w:rPr>
        <w:t xml:space="preserve">, o mesmo conclui que a medula não representa outra coisa além de um ponto de concorrência e articulação de quatro espécies de neurônios. Os neurônios são: (a) neurônio sensitivo primário, as células ganglionares raquidianas; (b) neurônios sensitivos secundários e terciários, ou seja, os corpúsculos funiculares diretos e cruzados da substância cinzenta medular; (c) neurônio motor primário ou corpúsculo radicular anterior; (d) neurônios motores secundários, representados tanto por elementos piramidais da zona motora do cérebro, formadores da via piramidal, como pelas células de Purkinje do cerebelo (as células dos gânglios centrais do cerebelo), que continuam com as fibras cerebelosas descendentes de Marchi.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Partindo do princípio de polarização dinâmica, Ramón y Cajal entende que o provável caminho das correntes nervosas na medula, apesar da complexa rede, é formado por neurônios que se decompõem em duas correntes ou canais, de direção constante e que convergem em um mesmo foco, o neurônio motor. Estes canais são o sensitivo ou periférico, com origem na pele, mucosas, músculos, tendões entre outros. Uma vez chegado o estímulo à medula espinhal pelas raízes posteriores, se divide em três, podendo alcançar as células motoras pelo que Ramón y Cajal chamou de </w:t>
      </w:r>
      <w:r>
        <w:rPr>
          <w:rFonts w:cs="Times New Roman" w:ascii="Times New Roman" w:hAnsi="Times New Roman"/>
          <w:bCs/>
          <w:i/>
          <w:sz w:val="24"/>
          <w:szCs w:val="24"/>
        </w:rPr>
        <w:t>atalho das células colaterais reflexo-motoras</w:t>
      </w:r>
      <w:r>
        <w:rPr>
          <w:rFonts w:cs="Times New Roman" w:ascii="Times New Roman" w:hAnsi="Times New Roman"/>
          <w:bCs/>
          <w:sz w:val="24"/>
          <w:szCs w:val="24"/>
        </w:rPr>
        <w:t xml:space="preserve"> (vias curtas ou diretas). O caminho mais longo é representado pelos elementos funiculares (vias medianas), ou pelo caminho mais longo que supõe a complicada cadeia representada pela seriação e articulação dos neurônios sensitivos primários, as células sensitivas centrais (nascidas no núcleo dos tratos de Burdach e de Goll), as células piramidais do cérebro com seus axônios descendentes progenitores da via piramidal.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A outra corrente é a </w:t>
      </w:r>
      <w:r>
        <w:rPr>
          <w:rFonts w:cs="Times New Roman" w:ascii="Times New Roman" w:hAnsi="Times New Roman"/>
          <w:bCs/>
          <w:i/>
          <w:sz w:val="24"/>
          <w:szCs w:val="24"/>
        </w:rPr>
        <w:t>motriz voluntária</w:t>
      </w:r>
      <w:r>
        <w:rPr>
          <w:rFonts w:cs="Times New Roman" w:ascii="Times New Roman" w:hAnsi="Times New Roman"/>
          <w:bCs/>
          <w:sz w:val="24"/>
          <w:szCs w:val="24"/>
        </w:rPr>
        <w:t xml:space="preserve"> (expressão cunhada por Ramón y Cajal), iniciada na zona motora do cérebro, ponto de terminação das fibras sensitivas centrais, podendo subir aos corpúsculos motores da medula por dois caminhos: o direto ou via curta, representado pelo sistema piramidal da medula formado por axônios das células piramidais do cérebro e o indireto ou via descendente cérebro-ponte-cerebelo-medular, formado pelos colaterais desta via piramidal, as células da ponte constitutivas do pedúnculo cerebeloso médio, os corpúsculos de Purkinje e os gânglios cerebelosos centrais, cujos axônios engendram a via descendente medular de Marchi. </w:t>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tab/>
        <w:t xml:space="preserve">Estas duas correntes principais não são em absoluto independentes. Continua a via sensitiva com a motora no nível do córtex cerebral, ponto mais culminante do arco excito-motor e lugar de onde se dá a percepção sensitiva e se forja o impulso motor. </w:t>
      </w:r>
    </w:p>
    <w:p>
      <w:pPr>
        <w:pStyle w:val="Corpodotexto"/>
        <w:spacing w:lineRule="auto" w:line="360" w:before="0" w:after="0"/>
        <w:ind w:firstLine="360"/>
        <w:rPr/>
      </w:pPr>
      <w:r>
        <w:rPr>
          <w:rFonts w:cs="Times New Roman" w:ascii="Times New Roman" w:hAnsi="Times New Roman"/>
          <w:bCs/>
          <w:sz w:val="24"/>
          <w:szCs w:val="24"/>
        </w:rPr>
        <w:tab/>
        <w:t>Ramón y Cajal conjectura a possibilidade de existência na pele de um aparato complexo, organizado para recoletar tanto as diversas intensidades como as qualidades variadas de um estímulo. Ele alude aos experimentos de Blich e Goldscheider</w:t>
      </w:r>
      <w:r>
        <w:rPr>
          <w:rStyle w:val="Caracteresdenotaderodap"/>
          <w:rStyle w:val="Ncoradanotaderodap"/>
          <w:rFonts w:cs="Times New Roman" w:ascii="Times New Roman" w:hAnsi="Times New Roman"/>
          <w:bCs/>
          <w:sz w:val="24"/>
          <w:szCs w:val="24"/>
        </w:rPr>
        <w:footnoteReference w:id="213"/>
      </w:r>
      <w:r>
        <w:rPr>
          <w:rFonts w:cs="Times New Roman" w:ascii="Times New Roman" w:hAnsi="Times New Roman"/>
          <w:bCs/>
          <w:sz w:val="24"/>
          <w:szCs w:val="24"/>
        </w:rPr>
        <w:t xml:space="preserve"> que provam ser a pele sensível a distintas modalidades de movimento. Para o calor, por exemplo, possuem duas variedades de fibras nervosas correspondentes a duas gradações (quente e frio).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Os experimentos de Blich e Goldscheider indicam também, segundo Ramón y Cajal, que o tegumento cutâneo contém fibras especiais destinadas a recoletar os estímulos dolorosos e outros consagrados às impressões táteis. Ramón y Cajal conclui que a estrutura em questão representa três sentidos correspondentes, as três qualidades fundamentais de movimento: calor ou movimento oscilatório dos átomos; choque mecânico não periódico, que tem certo aspecto, podendo ser comparado ao ruído da impressão acústica; e certo movimento fisicamente ignorado, mas conhecido por aspectos subjetivos, a impressão de dor. </w:t>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tab/>
        <w:t xml:space="preserve">Um problema inicial posto ao se examinar o mecanismo de impressão das terminações periféricas se refere a fixar os aparatos sensitivos correspondentes a cada modo de movimento. Dessa maneira, a questão que se colocava era quais seriam as terminações térmicas, táteis e as de dor? Ramón y Cajal afirmou que, em um primeiro momento, parece que a comparação da distribuição desses aparatos de terminação, com os pontos de pressão, calor, frio e dor, determinados pelos fisiologistas deveriam fornecer a chave do problema.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As conclusões, no entanto, eram débeis ainda. Uma hipótese provável é que se justifique pela natureza tátil de alguns corpúsculos da derme e epiderme (célula de Merkel, Meissner, Krause, Pacini, genitais e meniscos táteis de pêlos e epiderme).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Com relação às terminações térmicas e de dor, Ramón y Cajal considerava que as hipóteses se formem por exclusão devido a dificuldade do problema. Dessa forma, tais modalidades sensitivas ficariam a cargo das inúmeras ramificações intra-epidérmicas da pele e das mucosas. Um fator importante que sustentou essa interpretação se apoia no estudo da morfologia do aparato sensitivo terminal. Todos os aparatos sensitivos destinados a estímulos de pressão, tais como, os corpúsculos de Merkel, Pacini, Meissner entre outros, apresentam certa adaptação morfológica e de orientação favorável à coleção de estímulos (extensas superfícies de impressão por estiramento e enrolamento do condutor, orientação perpendicular dos ramos da arborização com relação ao sentido da pressão).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Seguindo o mesmo argumento apresentado para os receptores de pressão e pela ausência dessas adaptações morfológicas, Ramón y Cajal se inclinava a atribuir sensibilidade térmica e de dor as terminações nervosas intra-epidérmicas. Esta hipótese teve a seu favor, também, a ausência de todo aparato protetor e a superficialidade destas ramificações (</w:t>
      </w:r>
      <w:r>
        <w:rPr>
          <w:rFonts w:cs="Times New Roman" w:ascii="Times New Roman" w:hAnsi="Times New Roman"/>
          <w:bCs/>
          <w:i/>
          <w:sz w:val="24"/>
          <w:szCs w:val="24"/>
        </w:rPr>
        <w:t>na córnea quase se tocam em plena a superfície</w:t>
      </w:r>
      <w:r>
        <w:rPr>
          <w:rFonts w:cs="Times New Roman" w:ascii="Times New Roman" w:hAnsi="Times New Roman"/>
          <w:bCs/>
          <w:sz w:val="24"/>
          <w:szCs w:val="24"/>
        </w:rPr>
        <w:t xml:space="preserve"> diz Ramón y Cajal).</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Ao invés do que ocorre nos órgãos táteis, as terminações térmicas e de dor pareciam sair ao encontro do estímulo, orientando-se perpendicularmente à superfície exterior. Ramón y Cajal insistiu que nem a fisiologia nem a patologia forneceriam dados suficientes para o esclarecimento da função particular de cada elemento terminal. Deve-se deixar a cargo da fisiologia o cuidado de determinar a localização dos aparatos sensitivos correspondentes a estas impressões.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Outra hipótese disponível, e que Ramón y Cajal considerou razoável, era a de que as fibras sensíveis ou de dor nada mais são, em sua maior parte, que as térmicas superexcitadas, ou seja, estimuladas até a desorganização ou próximo disso (traumatismos, queimaduras, excitações elétricas fortes, compressões violentas por inflamação). Ramón y Cajal descreveu alguns argumentos a favor da segunda hipótese, em síntese o argumento propõe o seguinte: (a) para que os nervos de dor entrem em ação é necessário uma violenta excitação, o que não ocorre em nenhum aparato terminal já que todos funcionam na presença de estímulos moderados; (b) a causa exterior pode atuar sobre qualquer porção do trajeto do nervo, ainda que este corresponda ao do ramo interno ou radicular, o que parece indicar que não existe nenhum aparato terminal diferenciado para a captação dos estímulos de dor; (c) embora as observações anatomo-patológicas (ação de narcóticos, afecções medulares) indiquem que, em algumas situações, a dor pode ser suprimida, persistindo a sensibilidade tátil, não parece provado que a analgesia vem acompanhada sempre da persistência da sensibilidade térmica; (d) toda fibra sensorial, dinamicamente considerada, é um aparato analítico, ou seja, um instrumento organizado para escolher somente, em condições normais, um modo de movimento (onda luminosa, sonora, calor, movimento mecânico). Resultando muito estranho que tenha uma categoria de fibras sensoriais, as de dor, que em condições excepcionais, escolham todo tipo de excitações, com algumas extremamente intensas (excitação térmica, mecânica, elétrica, química, traumática); (e) todas as mucosas que, como a bucal, esofágica estomacal e retal, possuam sensibilidade a dor, a tem igualmente sensibilidade térmica; (f) segundo se sabe até o momento, afirmou Ramón y Cajal, toda fibra sensitiva energicamente estimulada por dor, qualquer que seja sua modalidade funcional (exemplos são os fusos de Kühne, aparatos de pressão em condições ordinárias e que produzem dor durante as câimbras), responde ao estímulo. </w:t>
      </w:r>
    </w:p>
    <w:p>
      <w:pPr>
        <w:pStyle w:val="Corpodotexto"/>
        <w:tabs>
          <w:tab w:val="clear" w:pos="708"/>
          <w:tab w:val="left" w:pos="720" w:leader="none"/>
        </w:tabs>
        <w:spacing w:lineRule="auto" w:line="360" w:before="0" w:after="0"/>
        <w:ind w:firstLine="360"/>
        <w:rPr/>
      </w:pPr>
      <w:r>
        <w:rPr>
          <w:rFonts w:cs="Times New Roman" w:ascii="Times New Roman" w:hAnsi="Times New Roman"/>
          <w:bCs/>
          <w:sz w:val="24"/>
          <w:szCs w:val="24"/>
        </w:rPr>
        <w:tab/>
        <w:t xml:space="preserve">Em síntese, Ramón y Cajal pensava ser razoável considerar que toda fibra sensitiva, nascida nos gânglios raquideos ou craniais, é suscetível de gerar duas impressões: a ordinária ou específica, correspondente a sua tonalidade particular, a qual é gerada por estímulos moderados e específicos; e a extraordinária, que Ramón y Cajal chamou </w:t>
      </w:r>
      <w:r>
        <w:rPr>
          <w:rFonts w:cs="Times New Roman" w:ascii="Times New Roman" w:hAnsi="Times New Roman"/>
          <w:bCs/>
          <w:i/>
          <w:sz w:val="24"/>
          <w:szCs w:val="24"/>
        </w:rPr>
        <w:t>impressão de desorganização</w:t>
      </w:r>
      <w:r>
        <w:rPr>
          <w:rFonts w:cs="Times New Roman" w:ascii="Times New Roman" w:hAnsi="Times New Roman"/>
          <w:bCs/>
          <w:sz w:val="24"/>
          <w:szCs w:val="24"/>
        </w:rPr>
        <w:t xml:space="preserve">, causada por toda classe de estímulos destrutores e que representa algo como um alarme com que se avisa à consciência, cuja desintegração físico-química se inicia. </w:t>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tab/>
        <w:t xml:space="preserve">A passagem da excitação sensitiva pelos gânglios raquideos foi descrita por Ramón y Cajal em função da origem do estímulo advindo da arborização terminal e que vai até os gânglios. Uma vez chegado à bifurcação da expansão principal dos corpúsculos monopolares, marcha diretamente ao ramo interno para penetrar na medula espinhal, segundo o caminho mais curto. O soma e a expansão principal não participariam, portanto, na condução. Ou participariam em grau menor que as prolongações consideradas. </w:t>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tab/>
        <w:t xml:space="preserve">A existência de várias classes de fibras sensitivas torna necessário a representação por uma célula monopolar especial que se encontre no gânglio raquídeo para cada modalidade distinta. </w:t>
      </w:r>
    </w:p>
    <w:p>
      <w:pPr>
        <w:pStyle w:val="Corpodotexto"/>
        <w:tabs>
          <w:tab w:val="clear" w:pos="708"/>
          <w:tab w:val="left" w:pos="540" w:leader="none"/>
          <w:tab w:val="left" w:pos="720" w:leader="none"/>
        </w:tabs>
        <w:spacing w:lineRule="auto" w:line="360" w:before="0" w:after="0"/>
        <w:ind w:firstLine="360"/>
        <w:rPr/>
      </w:pPr>
      <w:r>
        <w:rPr>
          <w:rFonts w:cs="Times New Roman" w:ascii="Times New Roman" w:hAnsi="Times New Roman"/>
          <w:bCs/>
          <w:sz w:val="24"/>
          <w:szCs w:val="24"/>
        </w:rPr>
        <w:tab/>
        <w:tab/>
        <w:t xml:space="preserve">A transmissão à medula de correntes recolhidas pelo corpo e o glomérulo da célula dos </w:t>
      </w:r>
      <w:r>
        <w:rPr>
          <w:rFonts w:cs="Times New Roman" w:ascii="Times New Roman" w:hAnsi="Times New Roman"/>
          <w:bCs/>
          <w:i/>
          <w:sz w:val="24"/>
          <w:szCs w:val="24"/>
        </w:rPr>
        <w:t>gânglios raquideos</w:t>
      </w:r>
      <w:r>
        <w:rPr>
          <w:rFonts w:cs="Times New Roman" w:ascii="Times New Roman" w:hAnsi="Times New Roman"/>
          <w:bCs/>
          <w:sz w:val="24"/>
          <w:szCs w:val="24"/>
        </w:rPr>
        <w:t xml:space="preserve"> pode ser interpretada pelo que se conhece sobre a corrente sensitiva de origem periférica que as raízes posteriores transportam à medula via outros impulsos recoletados pelo soma e glomérulo da expansão principal. </w:t>
      </w:r>
    </w:p>
    <w:p>
      <w:pPr>
        <w:pStyle w:val="Corpodotexto"/>
        <w:spacing w:lineRule="auto" w:line="360" w:before="0" w:after="0"/>
        <w:ind w:firstLine="360"/>
        <w:rPr/>
      </w:pPr>
      <w:r>
        <w:rPr>
          <w:rFonts w:cs="Times New Roman" w:ascii="Times New Roman" w:hAnsi="Times New Roman"/>
          <w:bCs/>
          <w:sz w:val="24"/>
          <w:szCs w:val="24"/>
        </w:rPr>
        <w:tab/>
        <w:t>A origem desses impulsos é apontada por Ramón y Cajal como podendo ter várias opções, no entanto, ainda desconhecidas. A suposição de que algumas das arborizações pericelulares a que foi feito referência, emanam de axônios brotados nos gânglios simpáticos, podendo-se conjecturar que mediante as mesmas, se estabeleceria um laço de união entre o sistema sensitivo inconsciente ou simpático e o cérebro medular ou consciente. Márquez</w:t>
      </w:r>
      <w:r>
        <w:rPr>
          <w:rStyle w:val="Caracteresdenotaderodap"/>
          <w:rStyle w:val="Ncoradanotaderodap"/>
          <w:rFonts w:cs="Times New Roman" w:ascii="Times New Roman" w:hAnsi="Times New Roman"/>
          <w:bCs/>
          <w:sz w:val="24"/>
          <w:szCs w:val="24"/>
        </w:rPr>
        <w:footnoteReference w:id="214"/>
      </w:r>
      <w:r>
        <w:rPr>
          <w:rFonts w:cs="Times New Roman" w:ascii="Times New Roman" w:hAnsi="Times New Roman"/>
          <w:bCs/>
          <w:sz w:val="24"/>
          <w:szCs w:val="24"/>
        </w:rPr>
        <w:t xml:space="preserve"> explica o mesmo fenômeno pela emenda estabelecida entre o simpático e as células sensitivas, as convulsões de origem visceral nos infantis. </w:t>
      </w:r>
    </w:p>
    <w:p>
      <w:pPr>
        <w:pStyle w:val="Corpodotexto"/>
        <w:tabs>
          <w:tab w:val="clear" w:pos="708"/>
          <w:tab w:val="left" w:pos="720" w:leader="none"/>
        </w:tabs>
        <w:spacing w:lineRule="auto" w:line="360" w:before="0" w:after="0"/>
        <w:ind w:firstLine="360"/>
        <w:rPr>
          <w:rFonts w:ascii="Times New Roman" w:hAnsi="Times New Roman" w:cs="Times New Roman"/>
          <w:bCs/>
          <w:sz w:val="24"/>
          <w:szCs w:val="24"/>
        </w:rPr>
      </w:pPr>
      <w:r>
        <w:rPr>
          <w:rFonts w:cs="Times New Roman" w:ascii="Times New Roman" w:hAnsi="Times New Roman"/>
          <w:bCs/>
          <w:sz w:val="24"/>
          <w:szCs w:val="24"/>
        </w:rPr>
        <w:tab/>
        <w:t xml:space="preserve">Experimentos de final do século XIX provaram a existência no gânglio simpático cervical, assim como no torácico e abdominal, de fibras centrípetas cuja excitação provocaria a ação dos seguintes centros: vaso motor do bulbo, depressor ou de suspensão dos movimentos cardíacos e o espinhal de Budge (medula lombar). Ramón y Cajal insiste ainda que, apesar dos resultados positivos nos experimentos fisiológicos, tais temas ainda carecem de comprovação anatômica.            </w:t>
      </w:r>
    </w:p>
    <w:p>
      <w:pPr>
        <w:pStyle w:val="Normal"/>
        <w:spacing w:lineRule="auto" w:line="360"/>
        <w:jc w:val="both"/>
        <w:rPr>
          <w:rFonts w:ascii="Times New Roman" w:hAnsi="Times New Roman" w:cs="Times New Roman"/>
          <w:bCs/>
          <w:sz w:val="24"/>
          <w:szCs w:val="24"/>
        </w:rPr>
      </w:pPr>
      <w:r>
        <w:rPr>
          <w:rFonts w:cs="Times New Roman"/>
          <w:bCs/>
          <w:sz w:val="24"/>
          <w:szCs w:val="24"/>
        </w:rPr>
      </w:r>
    </w:p>
    <w:p>
      <w:pPr>
        <w:pStyle w:val="Normal"/>
        <w:spacing w:lineRule="auto" w:line="360"/>
        <w:jc w:val="both"/>
        <w:rPr>
          <w:b/>
          <w:b/>
        </w:rPr>
      </w:pPr>
      <w:r>
        <w:rPr>
          <w:b/>
        </w:rPr>
        <w:t>A explicação dos atos reflexos conforme a teoria neuronal</w:t>
      </w:r>
    </w:p>
    <w:p>
      <w:pPr>
        <w:pStyle w:val="Normal"/>
        <w:spacing w:lineRule="auto" w:line="360"/>
        <w:jc w:val="both"/>
        <w:rPr>
          <w:b/>
          <w:b/>
        </w:rPr>
      </w:pPr>
      <w:r>
        <w:rPr>
          <w:b/>
        </w:rPr>
      </w:r>
    </w:p>
    <w:p>
      <w:pPr>
        <w:pStyle w:val="Normal"/>
        <w:tabs>
          <w:tab w:val="clear" w:pos="708"/>
          <w:tab w:val="left" w:pos="720" w:leader="none"/>
        </w:tabs>
        <w:spacing w:lineRule="auto" w:line="360"/>
        <w:ind w:firstLine="360"/>
        <w:jc w:val="both"/>
        <w:rPr/>
      </w:pPr>
      <w:r>
        <w:rPr/>
        <w:tab/>
        <w:t>O impulso nervoso que chega do gânglio pela raiz posterior e ganha o cordão dorsal, se divide em duas correntes, de igual ou desigual intensidade: a ascendente e a descendente. Como partem colaterais da haste dos ramos de bifurcação do radicular sensitivo, a onda nervosa se propagará ao longo destas para penetrar na substância cinzenta e será transmitida às células motoras e funiculares.</w:t>
      </w:r>
    </w:p>
    <w:p>
      <w:pPr>
        <w:pStyle w:val="Normal"/>
        <w:tabs>
          <w:tab w:val="clear" w:pos="708"/>
          <w:tab w:val="left" w:pos="720" w:leader="none"/>
        </w:tabs>
        <w:spacing w:lineRule="auto" w:line="360"/>
        <w:ind w:firstLine="360"/>
        <w:jc w:val="both"/>
        <w:rPr/>
      </w:pPr>
      <w:r>
        <w:rPr/>
        <w:tab/>
        <w:t xml:space="preserve">A corrente se propaga na ramificação do axônio como no caso da corrente sanguínea. Ramón y Cajal defende a necessidade de se formular uma regra para a compreensão da transmissão da onda no arco reflexo, já que a energia das ondas circulantes pelo axônio e colaterais é proporcional ao diâmetro dos condutores.          </w:t>
      </w:r>
    </w:p>
    <w:p>
      <w:pPr>
        <w:pStyle w:val="Normal"/>
        <w:tabs>
          <w:tab w:val="clear" w:pos="708"/>
          <w:tab w:val="left" w:pos="720" w:leader="none"/>
        </w:tabs>
        <w:spacing w:lineRule="auto" w:line="360"/>
        <w:ind w:firstLine="360"/>
        <w:jc w:val="both"/>
        <w:rPr/>
      </w:pPr>
      <w:r>
        <w:rPr/>
        <w:tab/>
        <w:t>Há motivos para suspeitar que a substância que medeia a arborização terminal dos colaterais, corpo e dendritos das células nervosas, não são tão boas condutoras como o protoplasma nervoso, mas que oferecem certa resistência, e que tal resistência pode ser observada no retardamento da passagem da onda nervosa, resistência que somente é vencida quando a tensão da corrente alcança na arborização nervosa um certo limiar. Isto explicaria porque o retardamento na marcha da corrente reflexa é tanto maior quanto mais neurônios entram na cadeia de condução. Cito Ramón y Cajal sobre os atos reflexos em geral:</w:t>
      </w:r>
    </w:p>
    <w:p>
      <w:pPr>
        <w:pStyle w:val="Normal"/>
        <w:tabs>
          <w:tab w:val="clear" w:pos="708"/>
          <w:tab w:val="left" w:pos="540" w:leader="none"/>
          <w:tab w:val="left" w:pos="720" w:leader="none"/>
        </w:tabs>
        <w:spacing w:lineRule="auto" w:line="360"/>
        <w:ind w:firstLine="360"/>
        <w:jc w:val="both"/>
        <w:rPr/>
      </w:pPr>
      <w:r>
        <w:rPr/>
      </w:r>
    </w:p>
    <w:p>
      <w:pPr>
        <w:pStyle w:val="Normal"/>
        <w:spacing w:lineRule="auto" w:line="360"/>
        <w:ind w:left="540" w:hanging="0"/>
        <w:jc w:val="both"/>
        <w:rPr/>
      </w:pPr>
      <w:r>
        <w:rPr>
          <w:i/>
        </w:rPr>
        <w:t>Chamam os fisiologistas atos reflexos aos movimentos involuntários coordenados ou não, provocados pelo estímulo das terminações sensitivas. Neste domínio da fisiologia, como em muitos outros, a nova doutrina estrutural da medula [Ramón y Cajal se refere à teoria neuronal] se mostra singularmente luminosa, permitindo compreender facilmente a marcha da corrente em toda classe de reflexos, assim como as leis empíricas que as regem, leis que representam, de certo modo, meras consequências dos princípios de morfologia e conexões dos neurônios medulo-ganglionares</w:t>
      </w:r>
      <w:r>
        <w:rPr>
          <w:rStyle w:val="Caracteresdenotaderodap"/>
          <w:rStyle w:val="Ncoradanotaderodap"/>
          <w:i/>
        </w:rPr>
        <w:footnoteReference w:id="215"/>
      </w:r>
      <w:r>
        <w:rPr>
          <w:i/>
        </w:rPr>
        <w:t>.</w:t>
      </w:r>
      <w:r>
        <w:rPr/>
        <w:t xml:space="preserve">  </w:t>
      </w:r>
    </w:p>
    <w:p>
      <w:pPr>
        <w:pStyle w:val="Normal"/>
        <w:tabs>
          <w:tab w:val="clear" w:pos="708"/>
          <w:tab w:val="left" w:pos="720" w:leader="none"/>
        </w:tabs>
        <w:spacing w:lineRule="auto" w:line="360"/>
        <w:ind w:left="540" w:hanging="0"/>
        <w:jc w:val="both"/>
        <w:rPr/>
      </w:pPr>
      <w:r>
        <w:rPr/>
      </w:r>
    </w:p>
    <w:p>
      <w:pPr>
        <w:pStyle w:val="Normal"/>
        <w:tabs>
          <w:tab w:val="clear" w:pos="708"/>
          <w:tab w:val="left" w:pos="720" w:leader="none"/>
        </w:tabs>
        <w:spacing w:lineRule="auto" w:line="360"/>
        <w:ind w:firstLine="360"/>
        <w:jc w:val="both"/>
        <w:rPr/>
      </w:pPr>
      <w:r>
        <w:rPr/>
        <w:tab/>
        <w:t xml:space="preserve">Ramón y Cajal menciona também o fato de ter sugerido em 1890 os primeiros esquemas referente ao caminho das correntes desde a raíz sensitiva à motora. Quando me refiro à ação reflexa, segundo a formulação de Ramón y Cajal, é importante destacar que há ações reflexas em níveis distintos. Cada nível ou ação reflexa se refere a um processo adaptativo e pode ser observado em distintos organismos na série animal, o que possibilita inventariar cada estrutura relacionada a cada modalidade de reflexo em termos evolutivos. O reflexo mais fundamental é o que Ramón y Cajal chamou de </w:t>
      </w:r>
      <w:r>
        <w:rPr>
          <w:i/>
        </w:rPr>
        <w:t>reflexo monolateral circunscrito</w:t>
      </w:r>
      <w:r>
        <w:rPr/>
        <w:t xml:space="preserve">. Esse reflexo ocorre em um músculo ou pequeno grupo de músculos por uma ligeira excitação de uma zona sensitiva circunscrita. O reflexo patelar, o abdominal (reto do abdômen), o cremastérico (o músculo cremaster se insere no escroto e age suspendendo o testículo), o pupilar, palpebral, são exemplos desse reflexo.    </w:t>
      </w:r>
    </w:p>
    <w:p>
      <w:pPr>
        <w:pStyle w:val="Normal"/>
        <w:tabs>
          <w:tab w:val="clear" w:pos="708"/>
          <w:tab w:val="left" w:pos="720" w:leader="none"/>
        </w:tabs>
        <w:spacing w:lineRule="auto" w:line="360"/>
        <w:ind w:firstLine="360"/>
        <w:jc w:val="both"/>
        <w:rPr/>
      </w:pPr>
      <w:r>
        <w:rPr/>
        <w:tab/>
        <w:t xml:space="preserve">Na produção destes reflexos estão envolvidos somente dois neurônios (sensitivo e motor), enlaçados pelos colaterais sensitivo-motores, que representam a via mais curta e ampla entre a pele e os músculos, pois, conforme afirmou Ramón y Cajal, estes ramos brotam não muito longe da bifurcação dos radiculares. A partir dessa explicação, Ramón y Cajal diz não ser estranho a rapidez desse tipo de reflexo. A excitação centrípeta, que se supõe de pouca intensidade, é absorvida quase por inteiro pelas colaterais longas, fibras robustas cuja espessura é maior que a dos ramos terminais ascendente e descendente. Destas células colaterais, a corrente aborda as células motoras, de onde se dividirá em corrente principal, que se propagará diretamente pelo axônio até o músculo correspondente, e a corrente acessória que desaguará a favor dos colaterais motores iniciais em outros corpúsculos motores do mesmo foco. </w:t>
      </w:r>
    </w:p>
    <w:p>
      <w:pPr>
        <w:pStyle w:val="Normal"/>
        <w:tabs>
          <w:tab w:val="clear" w:pos="708"/>
          <w:tab w:val="left" w:pos="720" w:leader="none"/>
        </w:tabs>
        <w:spacing w:lineRule="auto" w:line="360"/>
        <w:ind w:firstLine="360"/>
        <w:jc w:val="both"/>
        <w:rPr/>
      </w:pPr>
      <w:r>
        <w:rPr/>
        <w:tab/>
        <w:t xml:space="preserve">A terceira categoria de reflexo proposta por Ramón y Cajal se refere aos </w:t>
      </w:r>
      <w:r>
        <w:rPr>
          <w:i/>
        </w:rPr>
        <w:t>reflexos cruzados circunscritos e difusos</w:t>
      </w:r>
      <w:r>
        <w:rPr/>
        <w:t xml:space="preserve">. Quando o estímulo periférico alcança uma energia maior, o reflexo resulta bilateral, “interessando” aos mesmos músculos (lei de simetria). Se o reflexo bilateral é difuso, a corrente sensitiva aportada pelos radiculares se bifurca. Uma parte atua provavelmente nas células motoras de seu lado, por intermédio dos neurônios funiculares ascendentes e descendentes, e a outra passará ao longo das células comissurais até os neurônios motores do lado oposto. </w:t>
      </w:r>
    </w:p>
    <w:p>
      <w:pPr>
        <w:pStyle w:val="Normal"/>
        <w:tabs>
          <w:tab w:val="clear" w:pos="708"/>
          <w:tab w:val="left" w:pos="720" w:leader="none"/>
        </w:tabs>
        <w:spacing w:lineRule="auto" w:line="360"/>
        <w:ind w:firstLine="360"/>
        <w:jc w:val="both"/>
        <w:rPr/>
      </w:pPr>
      <w:r>
        <w:rPr/>
        <w:tab/>
        <w:t xml:space="preserve">Sobre os reflexos de grande longitude ascendente e descendente, Ramón y Cajal considerou que, quando a excitação sensitiva chega ao máximo, propaga-se o reflexo aos músculos da cabeça e das quatro extremidades, difundindo-se o movimento de preferência no sentido ascendente (lei de irradiação). Este reflexo se explica da mesma maneira que o anterior.          </w:t>
      </w:r>
    </w:p>
    <w:p>
      <w:pPr>
        <w:pStyle w:val="Normal"/>
        <w:tabs>
          <w:tab w:val="clear" w:pos="708"/>
          <w:tab w:val="left" w:pos="720" w:leader="none"/>
        </w:tabs>
        <w:spacing w:lineRule="auto" w:line="360"/>
        <w:ind w:firstLine="360"/>
        <w:jc w:val="both"/>
        <w:rPr/>
      </w:pPr>
      <w:r>
        <w:rPr/>
        <w:t xml:space="preserve"> </w:t>
      </w:r>
      <w:r>
        <w:rPr/>
        <w:tab/>
        <w:t>Os movimentos reflexos, particularmente os difusos, oferecem um caráter teleológico marcado, ou seja, representam ações coordenadas que conspiram de um modo harmônico à satisfação das necessidades da vida (exemplos são comportamentos de fuga, comer, defesa, homeostase etc). Cito Ramón y Cajal:</w:t>
      </w:r>
    </w:p>
    <w:p>
      <w:pPr>
        <w:pStyle w:val="Normal"/>
        <w:tabs>
          <w:tab w:val="clear" w:pos="708"/>
          <w:tab w:val="left" w:pos="540" w:leader="none"/>
        </w:tabs>
        <w:spacing w:lineRule="auto" w:line="360"/>
        <w:ind w:firstLine="360"/>
        <w:jc w:val="both"/>
        <w:rPr/>
      </w:pPr>
      <w:r>
        <w:rPr/>
      </w:r>
    </w:p>
    <w:p>
      <w:pPr>
        <w:pStyle w:val="Normal"/>
        <w:spacing w:lineRule="auto" w:line="360"/>
        <w:ind w:left="540" w:hanging="0"/>
        <w:jc w:val="both"/>
        <w:rPr/>
      </w:pPr>
      <w:r>
        <w:rPr>
          <w:i/>
        </w:rPr>
        <w:t>Esta perfeita congruência dos reflexos obriga-nos a supor que os neurônios funiculares ou sensitivos de segunda ou terceira ordem não estejam dispostos as acaso, mas sim que constituem sistemas divergentes que, partindo de um ou poucos neurônios sensitivos, poderiam levar a excitação recolhida por estas em um ponto circunscrito da pele até um considerável número de músculos</w:t>
      </w:r>
      <w:r>
        <w:rPr>
          <w:rStyle w:val="Caracteresdenotaderodap"/>
          <w:rStyle w:val="Ncoradanotaderodap"/>
          <w:i/>
        </w:rPr>
        <w:footnoteReference w:id="216"/>
      </w:r>
      <w:r>
        <w:rPr>
          <w:i/>
        </w:rPr>
        <w:t>.</w:t>
      </w:r>
      <w:r>
        <w:rPr/>
        <w:t xml:space="preserve">   </w:t>
      </w:r>
    </w:p>
    <w:p>
      <w:pPr>
        <w:pStyle w:val="Normal"/>
        <w:spacing w:lineRule="auto" w:line="360"/>
        <w:jc w:val="both"/>
        <w:rPr/>
      </w:pPr>
      <w:r>
        <w:rPr/>
      </w:r>
    </w:p>
    <w:p>
      <w:pPr>
        <w:pStyle w:val="Normal"/>
        <w:spacing w:lineRule="auto" w:line="360"/>
        <w:ind w:firstLine="360"/>
        <w:jc w:val="both"/>
        <w:rPr/>
      </w:pPr>
      <w:r>
        <w:rPr/>
        <w:t xml:space="preserve">    </w:t>
      </w:r>
      <w:r>
        <w:rPr/>
        <w:t>A espécie e grau de complicação da resposta motora se encontram automaticamente reguladas por quatro fatores, são eles: (1) a intensidade da excitação cutânea; (2) a espécie de fibra sensorial impressionada; (3) a quantidade de neurônios sensitivos “interessados” na recepção e; (4) o grau de excitabilidade ou de resistência das diversas vias pelas quais deve passar a onda nervosa.</w:t>
      </w:r>
    </w:p>
    <w:p>
      <w:pPr>
        <w:pStyle w:val="Normal"/>
        <w:tabs>
          <w:tab w:val="clear" w:pos="708"/>
          <w:tab w:val="left" w:pos="720" w:leader="none"/>
        </w:tabs>
        <w:spacing w:lineRule="auto" w:line="360"/>
        <w:ind w:firstLine="360"/>
        <w:jc w:val="both"/>
        <w:rPr/>
      </w:pPr>
      <w:r>
        <w:rPr/>
        <w:tab/>
        <w:t xml:space="preserve">Os reflexos até aqui examinados e que tiveram sua interpretação feita à luz da teoria neuronal, possuem focos medulares e bulbares, no entanto, há os centros reflexos superiores adjacentes no nível cortical, os quais são responsáveis por coordenar a ação dos centros inferiores, intervindo de maneira direta em todos os movimentos corporais. Para Ramón y Cajal, a existência desses centros corticais não tem nada que ver com a impossibilidade da medula espinal e o bulbo em realizar tais movimentos. Vejamos algumas de suas considerações sobre a origem dos reflexos e como se coloca essa questão. </w:t>
      </w:r>
    </w:p>
    <w:p>
      <w:pPr>
        <w:pStyle w:val="Normal"/>
        <w:tabs>
          <w:tab w:val="clear" w:pos="708"/>
          <w:tab w:val="left" w:pos="720" w:leader="none"/>
        </w:tabs>
        <w:spacing w:lineRule="auto" w:line="360"/>
        <w:ind w:firstLine="360"/>
        <w:jc w:val="both"/>
        <w:rPr/>
      </w:pPr>
      <w:r>
        <w:rPr/>
        <w:tab/>
        <w:t xml:space="preserve">Os reflexos se distinguem por sua origem em duas classes: reflexos instintivos ou inatos e reflexos adquiridos. À primeira categoria pertencem todos os atos coordenados que executam os animais sem prévia educação com essa facilidade criada por uma organização acabada e preestabelecida (pressão, deglutição, sucção, defecação, tosse, vômito, reflexo pupilar, reflexo de acomodação etc). Estes reflexos supõem enlaces seguros e amplos entre determinadas espécies de neurônio, provavelmente originados na época fetal ou nos primeiros meses de vida. </w:t>
      </w:r>
    </w:p>
    <w:p>
      <w:pPr>
        <w:pStyle w:val="Normal"/>
        <w:tabs>
          <w:tab w:val="clear" w:pos="708"/>
          <w:tab w:val="left" w:pos="720" w:leader="none"/>
        </w:tabs>
        <w:spacing w:lineRule="auto" w:line="360"/>
        <w:ind w:firstLine="360"/>
        <w:jc w:val="both"/>
        <w:rPr/>
      </w:pPr>
      <w:r>
        <w:rPr/>
        <w:tab/>
        <w:t>Sua invariabilidade e caráter hereditário obrigam-nos a pensar que são o resultado de uma longa história de adaptações plásticas do sistema nervoso às mais urgentes necessidades defensivas do organismo, adaptação que deve ter começado já nos primeiros passos da série filogenética.</w:t>
      </w:r>
    </w:p>
    <w:p>
      <w:pPr>
        <w:pStyle w:val="Normal"/>
        <w:tabs>
          <w:tab w:val="clear" w:pos="708"/>
          <w:tab w:val="left" w:pos="720" w:leader="none"/>
        </w:tabs>
        <w:spacing w:lineRule="auto" w:line="360"/>
        <w:ind w:firstLine="360"/>
        <w:jc w:val="both"/>
        <w:rPr/>
      </w:pPr>
      <w:r>
        <w:rPr/>
        <w:tab/>
        <w:t xml:space="preserve">Ramón y Cajal afirma ser uma verdade dada pela experiência, que todo impulso sensitivo recolhido na periferia é suscetível, quando alcança certa energia, de subir ao córtex (na região motora), de onde, mediante a atividade específica das células piramidais se converte em sensação. Dos caminhos seguidos ao longo do eixo cérebro-espinhal pelas diversas excitações (tátil, sentido muscular e tendinoso, térmica, de dor etc), somente se conhece de maneira apropriada os impulsos táteis. </w:t>
      </w:r>
    </w:p>
    <w:p>
      <w:pPr>
        <w:pStyle w:val="Normal"/>
        <w:tabs>
          <w:tab w:val="clear" w:pos="708"/>
          <w:tab w:val="left" w:pos="720" w:leader="none"/>
        </w:tabs>
        <w:spacing w:lineRule="auto" w:line="360"/>
        <w:ind w:firstLine="360"/>
        <w:jc w:val="both"/>
        <w:rPr/>
      </w:pPr>
      <w:r>
        <w:rPr/>
        <w:tab/>
        <w:t xml:space="preserve">O arco-reflexo cerebeloso constaria dos seguintes neurônios: sensitivo ou periférico, sensitivo de segunda ordem, ou célula da coluna de Clarke, motor de segunda ordem ou célula de Purkinje do cerebelo (gerador da via descendente de Marchi do cordão antero-lateral), e a célula motora de primeira ordem. Apesar de Ramón y Cajal não tratar aqui exclusivamente dos centros cerebelosos, afirma que em todo movimento reflexo é preciso a ação coordenadora do cerebelo, a qual se produz e mantém automaticamente, enquanto que, iniciada a contração muscular, são estimuladas as terminações nervosas dos fusos de Kühne. </w:t>
      </w:r>
    </w:p>
    <w:p>
      <w:pPr>
        <w:pStyle w:val="Normal"/>
        <w:tabs>
          <w:tab w:val="clear" w:pos="708"/>
          <w:tab w:val="left" w:pos="720" w:leader="none"/>
        </w:tabs>
        <w:spacing w:lineRule="auto" w:line="360"/>
        <w:ind w:firstLine="360"/>
        <w:jc w:val="both"/>
        <w:rPr/>
      </w:pPr>
      <w:r>
        <w:rPr/>
        <w:tab/>
        <w:t xml:space="preserve">É crença geral entre a comunidade de fisiologistas e patologistas no final do século XIX a concepção de que a excitação dolorosa marcha primeiramente do cordão posterior à substância cinzenta, e desta ao longo de um neurônio funicular, ao cordão lateral do lado oposto, cuja parte mais anterior formaria uma via ascendente prolongada até o cérebro. Essa é a explicação corrente em meados do final do século XIX para a corrente nervosa de dor ou termo-dolorosa. </w:t>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t>O Cinema construtivista russo e o conceito de condicionamento: a ampliação do conceito de reflexo para além do nível celular</w:t>
      </w:r>
    </w:p>
    <w:p>
      <w:pPr>
        <w:pStyle w:val="Normal"/>
        <w:spacing w:lineRule="auto" w:line="360"/>
        <w:jc w:val="both"/>
        <w:rPr>
          <w:b/>
          <w:b/>
          <w:szCs w:val="24"/>
        </w:rPr>
      </w:pPr>
      <w:r>
        <w:rPr>
          <w:b/>
          <w:szCs w:val="24"/>
        </w:rPr>
      </w:r>
    </w:p>
    <w:p>
      <w:pPr>
        <w:pStyle w:val="Normal"/>
        <w:spacing w:lineRule="auto" w:line="360"/>
        <w:ind w:firstLine="708"/>
        <w:jc w:val="both"/>
        <w:rPr/>
      </w:pPr>
      <w:r>
        <w:rPr>
          <w:bCs/>
        </w:rPr>
        <w:t xml:space="preserve">Nesse ensaio examinarei o filme </w:t>
      </w:r>
      <w:r>
        <w:rPr>
          <w:bCs/>
          <w:i/>
        </w:rPr>
        <w:t>“A Greve”</w:t>
      </w:r>
      <w:r>
        <w:rPr>
          <w:bCs/>
        </w:rPr>
        <w:t xml:space="preserve"> de Sergei Eisenstein (1898-1948), filme de 1925, a partir do conceito de condicionamento clássico (conceito de reflexo fisiológico aperfeiçoado por Ivan Pavlov) na proposta de Lev Kulechov. Os principais conceitos estéticos do cinema soviético na década de 1920 tem no conceito de condicionamento um conceito central da estética construtivista.</w:t>
      </w:r>
    </w:p>
    <w:p>
      <w:pPr>
        <w:pStyle w:val="Corpodotextorecuado"/>
        <w:spacing w:lineRule="auto" w:line="360"/>
        <w:ind w:left="0" w:firstLine="540"/>
        <w:jc w:val="both"/>
        <w:rPr/>
      </w:pPr>
      <w:r>
        <w:rPr/>
        <w:t xml:space="preserve">O cinema soviético da década de 1920 pouco se dissocia dos eventos no campo político e das artes plásticas. A análise dessa escola cinematográfica se configurou em uma das vanguardas europeias, junto com o Expressionismo Alemão e o Impressionismo Francês, entre outros, em “oposição” ao modelo de narrativa clássica estabelecida por David W. Griffith nos Estados Unidos. A presente análise ocorrerá em três momentos. </w:t>
      </w:r>
    </w:p>
    <w:p>
      <w:pPr>
        <w:pStyle w:val="Normal"/>
        <w:spacing w:lineRule="auto" w:line="360"/>
        <w:ind w:firstLine="680"/>
        <w:jc w:val="both"/>
        <w:rPr/>
      </w:pPr>
      <w:r>
        <w:rPr>
          <w:bCs/>
        </w:rPr>
        <w:t xml:space="preserve">     </w:t>
      </w:r>
      <w:r>
        <w:rPr/>
        <w:t xml:space="preserve">Em um primeiro momento vamos entender em que contexto surge o cinema soviético, em particular o “cinema intelectual” proposto por Eisenstein, bem como as teorias de condicionamento vigentes na época, principalmente as ideias preconizadas pelo Russo Ivan P. Pavlov (1849-1936). Em um segundo momento examinarei alguns movimentos artísticos de vanguarda e a maneira como ocorreu uma mistura entre o Futurismo do início do século XX surgido na Itália e o Construtivismo, configurando assim o que se conhece como Cinema construtivista russo. Finalizarei com a análise do filme </w:t>
      </w:r>
      <w:r>
        <w:rPr>
          <w:i/>
          <w:iCs/>
        </w:rPr>
        <w:t>A Greve</w:t>
      </w:r>
      <w:r>
        <w:rPr/>
        <w:t xml:space="preserve"> à luz da concepção da “montagem intelectual” e o efeito esperado de condicionamento dos espectadores. Considero esse o nível máximo de operacionalidade do conceito de condicionamento e um ótimo exemplo de como o conceito de reflexo é um conceito de grande amplitude, tanto heurística quanto temporal.  </w:t>
      </w:r>
    </w:p>
    <w:p>
      <w:pPr>
        <w:pStyle w:val="Citaes"/>
        <w:spacing w:lineRule="auto" w:line="360" w:before="0" w:after="0"/>
        <w:ind w:left="0" w:right="-40" w:firstLine="709"/>
        <w:jc w:val="both"/>
        <w:rPr>
          <w:rStyle w:val="Nfaseforte"/>
          <w:rFonts w:ascii="Times New Roman" w:hAnsi="Times New Roman" w:cs="Times New Roman"/>
          <w:b w:val="false"/>
          <w:b w:val="false"/>
          <w:bCs w:val="false"/>
          <w:color w:val="000000"/>
        </w:rPr>
      </w:pPr>
      <w:r>
        <w:rPr>
          <w:rStyle w:val="Nfaseforte"/>
          <w:rFonts w:cs="Times New Roman" w:ascii="Times New Roman" w:hAnsi="Times New Roman"/>
          <w:b w:val="false"/>
          <w:bCs w:val="false"/>
          <w:color w:val="000000"/>
        </w:rPr>
        <w:t>Em que contexto ocorreram os eventos em questão</w:t>
      </w:r>
      <w:r>
        <w:rPr>
          <w:rFonts w:cs="Times New Roman" w:ascii="Times New Roman" w:hAnsi="Times New Roman"/>
          <w:color w:val="000000"/>
          <w:shd w:fill="FFFFFF" w:val="clear"/>
        </w:rPr>
        <w:t>?</w:t>
      </w:r>
      <w:r>
        <w:rPr>
          <w:rStyle w:val="Nfaseforte"/>
          <w:rFonts w:cs="Times New Roman" w:ascii="Times New Roman" w:hAnsi="Times New Roman"/>
          <w:b w:val="false"/>
          <w:bCs w:val="false"/>
          <w:color w:val="000000"/>
        </w:rPr>
        <w:t xml:space="preserve"> Um cinema que expressasse a situação na então URSS após a revolução de 1917 era algo que já se antecedia nas peças encenadas no Teatro Operário do Proletkult, onde Eisenstein iniciou sua carreira no teatro. Lênin assinou um decreto nacionalizando o antigo cinema czarista no mês de Agosto de 1919 como a data de nascimento do cinema soviético. No período pré-guerra a maioria dos temas dos filmes era tirado da literatura e das histórias populares, mas  é possível reconhecer a influência estrangeira, principalmente da Pathé</w:t>
      </w:r>
      <w:r>
        <w:rPr>
          <w:rStyle w:val="Caracteresdenotaderodap"/>
          <w:rStyle w:val="Ncoradanotaderodap"/>
          <w:rFonts w:cs="Times New Roman" w:ascii="Times New Roman" w:hAnsi="Times New Roman"/>
          <w:color w:val="000000"/>
        </w:rPr>
        <w:footnoteReference w:id="217"/>
      </w:r>
      <w:r>
        <w:rPr>
          <w:rStyle w:val="Nfaseforte"/>
          <w:rFonts w:cs="Times New Roman" w:ascii="Times New Roman" w:hAnsi="Times New Roman"/>
          <w:b w:val="false"/>
          <w:bCs w:val="false"/>
          <w:color w:val="000000"/>
        </w:rPr>
        <w:t xml:space="preserve">, com a proximidade da guerra (Revolução de 1917) diminui gradativamente a influência estrangeira aumentando o número de produções nacionais. </w:t>
      </w:r>
    </w:p>
    <w:p>
      <w:pPr>
        <w:pStyle w:val="Citaes"/>
        <w:spacing w:lineRule="auto" w:line="360" w:before="0" w:after="0"/>
        <w:ind w:left="0" w:right="-40" w:firstLine="709"/>
        <w:jc w:val="both"/>
        <w:rPr/>
      </w:pPr>
      <w:r>
        <w:rPr>
          <w:rStyle w:val="Nfaseforte"/>
          <w:rFonts w:cs="Times New Roman" w:ascii="Times New Roman" w:hAnsi="Times New Roman"/>
          <w:b w:val="false"/>
          <w:bCs w:val="false"/>
          <w:color w:val="000000"/>
        </w:rPr>
        <w:t xml:space="preserve">O interesse por dramas mundanos com argumentos buscados nos filmes policiais, com desfechos macabros é cada vez mais procurado, bem como uma preocupação maior com a forma. </w:t>
      </w:r>
      <w:r>
        <w:rPr>
          <w:rFonts w:eastAsia="Times New Roman" w:cs="Times New Roman" w:ascii="Times New Roman" w:hAnsi="Times New Roman"/>
          <w:shd w:fill="FFFFFF" w:val="clear"/>
        </w:rPr>
        <w:t>Evgéni </w:t>
      </w:r>
      <w:r>
        <w:rPr>
          <w:rFonts w:eastAsia="Times New Roman" w:cs="Times New Roman" w:ascii="Times New Roman" w:hAnsi="Times New Roman"/>
          <w:bCs/>
          <w:shd w:fill="FFFFFF" w:val="clear"/>
        </w:rPr>
        <w:t>Bauer</w:t>
      </w:r>
      <w:r>
        <w:rPr>
          <w:rFonts w:eastAsia="Times New Roman" w:cs="Times New Roman" w:ascii="Times New Roman" w:hAnsi="Times New Roman"/>
          <w:shd w:fill="FFFFFF" w:val="clear"/>
        </w:rPr>
        <w:t> (1865-1917)</w:t>
      </w:r>
      <w:r>
        <w:rPr>
          <w:rStyle w:val="Nfaseforte"/>
          <w:rFonts w:cs="Times New Roman" w:ascii="Times New Roman" w:hAnsi="Times New Roman"/>
          <w:b w:val="false"/>
          <w:bCs w:val="false"/>
          <w:color w:val="000000"/>
        </w:rPr>
        <w:t xml:space="preserve"> era considerado o melhor cineasta da época, mas sua morte precoce impediu de iniciar uma brilhante carreira. Com a eclosão da Revolução de 1917 muitas salas de cinema fecham as portas e alguns grandes nomes do cinema da época migram para outros países, em particular a França. Entre os emigrados podemos destacar Volkov, Turjanski, Starevitch e Protozanov. O último seria o diretor do filme </w:t>
      </w:r>
      <w:r>
        <w:rPr>
          <w:rStyle w:val="Nfaseforte"/>
          <w:rFonts w:cs="Times New Roman" w:ascii="Times New Roman" w:hAnsi="Times New Roman"/>
          <w:b w:val="false"/>
          <w:bCs w:val="false"/>
          <w:i/>
          <w:iCs/>
          <w:color w:val="000000"/>
        </w:rPr>
        <w:t>Aelita</w:t>
      </w:r>
      <w:r>
        <w:rPr>
          <w:rStyle w:val="Nfaseforte"/>
          <w:rFonts w:cs="Times New Roman" w:ascii="Times New Roman" w:hAnsi="Times New Roman"/>
          <w:b w:val="false"/>
          <w:bCs w:val="false"/>
          <w:color w:val="000000"/>
        </w:rPr>
        <w:t xml:space="preserve"> de 1923, considerado por muitos como o filme que lançaria os germes do cinema revolucionário soviético consagrado posteriormente por Sergei Eisenstein e Dziga Vertov (1896-1954). </w:t>
      </w:r>
    </w:p>
    <w:p>
      <w:pPr>
        <w:pStyle w:val="Citaes"/>
        <w:spacing w:lineRule="auto" w:line="360" w:before="0" w:after="0"/>
        <w:ind w:left="0" w:right="-40" w:firstLine="709"/>
        <w:jc w:val="both"/>
        <w:rPr/>
      </w:pPr>
      <w:r>
        <w:rPr>
          <w:rStyle w:val="Nfaseforte"/>
          <w:rFonts w:cs="Times New Roman" w:ascii="Times New Roman" w:hAnsi="Times New Roman"/>
          <w:b w:val="false"/>
          <w:bCs w:val="false"/>
          <w:color w:val="000000"/>
        </w:rPr>
        <w:t xml:space="preserve">Partindo especificamente das obras de Eisenstein e Vertov podemos utilizar a concepção de um cinema não apenas revolucionário em termos de conteúdo, já que segundo o próprio Eisenstein o valor “subjetivo” e condicionante das imagens na montagem somente faria sentido se apresentados à determinada classe o qual eram destinadas, advinda de tal condição social; confirma-se a afirmação de que o cinema soviético do período é antes de qualquer concepção de forma, um cinema de classes feito para determinada classe, a classe operária russa do início do século XX. Constitui, porém, equivoco excluir das características revolucionárias do cinema de Eisenstein seus aspectos formais.  </w:t>
      </w:r>
    </w:p>
    <w:p>
      <w:pPr>
        <w:pStyle w:val="Citaes"/>
        <w:spacing w:lineRule="auto" w:line="360" w:before="0" w:after="0"/>
        <w:ind w:left="0" w:right="-40" w:firstLine="709"/>
        <w:jc w:val="both"/>
        <w:rPr/>
      </w:pPr>
      <w:r>
        <w:rPr>
          <w:rStyle w:val="Nfaseforte"/>
          <w:rFonts w:cs="Times New Roman" w:ascii="Times New Roman" w:hAnsi="Times New Roman"/>
          <w:b w:val="false"/>
          <w:bCs w:val="false"/>
          <w:color w:val="000000"/>
        </w:rPr>
        <w:t xml:space="preserve">Eisenstein preconizou uma montagem discursiva, dialética e reflexiva no sentido de não mais subordinar o argumento a narrativa linear clássica, característica em voga no cinema hollywooldiano. Teve como inspiração fontes como o materialismo histórico e o teatro japonês. A concepção da “montagem intelectual” parte da prerrogativa de que o princípio da justaposição de dois planos criam um novo significado, que não é expresso em termos visuais, mas sim em termos conceituais na mente do espectador, buscando no seu inconsciente o efeito emotivo esperado. Efeito esse que nada mais é do que os desdobramentos das teorias de condicionamento apresentadas por Pavlov e ressignificada por Lev V. Kulechov (1899-1970) sob o nome de </w:t>
      </w:r>
      <w:r>
        <w:rPr>
          <w:rStyle w:val="Nfaseforte"/>
          <w:rFonts w:cs="Times New Roman" w:ascii="Times New Roman" w:hAnsi="Times New Roman"/>
          <w:b w:val="false"/>
          <w:bCs w:val="false"/>
          <w:i/>
          <w:color w:val="000000"/>
        </w:rPr>
        <w:t>efeito Kulechov</w:t>
      </w:r>
      <w:r>
        <w:rPr>
          <w:rStyle w:val="Caracteresdenotaderodap"/>
          <w:rStyle w:val="Ncoradanotaderodap"/>
          <w:rFonts w:cs="Times New Roman" w:ascii="Times New Roman" w:hAnsi="Times New Roman"/>
          <w:i/>
          <w:color w:val="000000"/>
        </w:rPr>
        <w:footnoteReference w:id="218"/>
      </w:r>
      <w:r>
        <w:rPr>
          <w:rStyle w:val="Nfaseforte"/>
          <w:rFonts w:cs="Times New Roman" w:ascii="Times New Roman" w:hAnsi="Times New Roman"/>
          <w:b w:val="false"/>
          <w:bCs w:val="false"/>
          <w:color w:val="000000"/>
        </w:rPr>
        <w:t>.</w:t>
      </w:r>
      <w:r>
        <w:rPr>
          <w:rStyle w:val="Nfaseforte"/>
          <w:rFonts w:cs="Times New Roman" w:ascii="Times New Roman" w:hAnsi="Times New Roman"/>
          <w:b w:val="false"/>
          <w:bCs w:val="false"/>
          <w:i/>
          <w:color w:val="000000"/>
        </w:rPr>
        <w:t xml:space="preserve"> </w:t>
      </w:r>
      <w:r>
        <w:rPr>
          <w:rStyle w:val="Nfaseforte"/>
          <w:rFonts w:cs="Times New Roman" w:ascii="Times New Roman" w:hAnsi="Times New Roman"/>
          <w:b w:val="false"/>
          <w:bCs w:val="false"/>
          <w:color w:val="000000"/>
        </w:rPr>
        <w:t xml:space="preserve">Uma cena exemplar dessa ideia encontra-se na sequência do filme </w:t>
      </w:r>
      <w:r>
        <w:rPr>
          <w:rStyle w:val="Nfase"/>
          <w:rFonts w:cs="Times New Roman" w:ascii="Times New Roman" w:hAnsi="Times New Roman"/>
          <w:b w:val="false"/>
        </w:rPr>
        <w:t>A Greve</w:t>
      </w:r>
      <w:r>
        <w:rPr>
          <w:rStyle w:val="Nfaseforte"/>
          <w:rFonts w:cs="Times New Roman" w:ascii="Times New Roman" w:hAnsi="Times New Roman"/>
          <w:b w:val="false"/>
          <w:bCs w:val="false"/>
          <w:color w:val="000000"/>
        </w:rPr>
        <w:t xml:space="preserve"> (</w:t>
      </w:r>
      <w:r>
        <w:rPr>
          <w:rStyle w:val="Nfase"/>
          <w:rFonts w:cs="Times New Roman" w:ascii="Times New Roman" w:hAnsi="Times New Roman"/>
          <w:b w:val="false"/>
        </w:rPr>
        <w:t>Stachka,</w:t>
      </w:r>
      <w:r>
        <w:rPr>
          <w:rStyle w:val="Nfaseforte"/>
          <w:rFonts w:cs="Times New Roman" w:ascii="Times New Roman" w:hAnsi="Times New Roman"/>
          <w:b w:val="false"/>
          <w:bCs w:val="false"/>
          <w:color w:val="000000"/>
        </w:rPr>
        <w:t xml:space="preserve">1924) de Eisenstein onde são justapostos planos consecutivos que mostram cenas de um matadouro de bovinos e a repressão da polícia czarista aos grevistas. Vale lembrar aqui que não podemos falar de montagem paralela, já que a sequência do matadouro não apresenta em nenhum momento elementos que nos permitam identificar o tempo ou espaço que se desenrolaram os fatos, enquanto a perseguição aos grevistas ocorre no momento em que os fatos se desenrolam. Em uma montagem em que as sequências pudessem ser identificadas num mesmo tempo e espaço, trariam a falsa ideia de simples eventos simultâneos, eliminado o principal efeito de correlação entre os eventos buscados na montagem original. </w:t>
      </w:r>
    </w:p>
    <w:p>
      <w:pPr>
        <w:pStyle w:val="Citaes"/>
        <w:spacing w:lineRule="auto" w:line="360" w:before="0" w:after="0"/>
        <w:ind w:left="0" w:right="-40" w:firstLine="709"/>
        <w:jc w:val="both"/>
        <w:rPr/>
      </w:pPr>
      <w:r>
        <w:rPr>
          <w:rStyle w:val="Nfaseforte"/>
          <w:rFonts w:cs="Times New Roman" w:ascii="Times New Roman" w:hAnsi="Times New Roman"/>
          <w:b w:val="false"/>
          <w:bCs w:val="false"/>
          <w:color w:val="000000"/>
        </w:rPr>
        <w:t>O significado desejado não aparece de maneira plástica na tela, mas é obtido de modo abstrato no entendimento do espectador (trata-se de um efeito simbólico). Eisenstein não pretende com esse tipo de montagem fechar o debate, ao contrário, o espectador precisa se desenvolver enquanto consciência revolucionária (aqui pesam os condicionantes históricos do momento), se “inserindo” nas imagens. Vemos aqui uma prova de que o cinema soviético não se limita a ser um cinema de classe, mas sim, um cinema para as classes, e não qualquer classe, mas a classe operária soviética. Experimentemos imaginar qual seria a reação nesse mesmo período de um típico cidadão norte americano acostumado às comédias de Buster Keaton e Charles Chaplin ao assistir essa cena. Será que ele conseguiria transpor essa barreira das imagens ao ver a “bárbara” cena de um boi sendo degolado? Sem a identificação com esse clima revolucionário, podemos dizer que essas imagens teriam seu fim almejado? Provavelmente não. Eisenstein sabia que sua “</w:t>
      </w:r>
      <w:r>
        <w:rPr>
          <w:rStyle w:val="Nfaseforte"/>
          <w:rFonts w:cs="Times New Roman" w:ascii="Times New Roman" w:hAnsi="Times New Roman"/>
          <w:b w:val="false"/>
          <w:bCs w:val="false"/>
          <w:i/>
          <w:iCs/>
          <w:color w:val="000000"/>
        </w:rPr>
        <w:t>montagem de atrações”</w:t>
      </w:r>
      <w:r>
        <w:rPr>
          <w:rStyle w:val="Nfaseforte"/>
          <w:rFonts w:cs="Times New Roman" w:ascii="Times New Roman" w:hAnsi="Times New Roman"/>
          <w:b w:val="false"/>
          <w:bCs w:val="false"/>
          <w:color w:val="000000"/>
        </w:rPr>
        <w:t xml:space="preserve"> somente chegaria ao espectador russo porque existia nesse homem o germe do espírito revolucionário em potencial, ao menos essa era a crença.   </w:t>
      </w:r>
      <w:r>
        <w:rPr>
          <w:rStyle w:val="Nfaseforte"/>
          <w:rFonts w:cs="Times New Roman" w:ascii="Times New Roman" w:hAnsi="Times New Roman"/>
          <w:b w:val="false"/>
          <w:bCs w:val="false"/>
          <w:i/>
          <w:iCs/>
          <w:color w:val="000000"/>
        </w:rPr>
        <w:t xml:space="preserve">  </w:t>
      </w:r>
    </w:p>
    <w:p>
      <w:pPr>
        <w:pStyle w:val="Citaes"/>
        <w:spacing w:lineRule="auto" w:line="360" w:before="0" w:after="0"/>
        <w:ind w:left="0" w:right="-40" w:firstLine="709"/>
        <w:jc w:val="both"/>
        <w:rPr/>
      </w:pPr>
      <w:r>
        <w:rPr>
          <w:rStyle w:val="Nfaseforte"/>
          <w:rFonts w:cs="Times New Roman" w:ascii="Times New Roman" w:hAnsi="Times New Roman"/>
          <w:b w:val="false"/>
          <w:bCs w:val="false"/>
          <w:color w:val="000000"/>
        </w:rPr>
        <w:t xml:space="preserve">Temos aqui uma situação condicionante em termos gerais, mas que parte da prerrogativa de inserir esse motivo condutor (leitmotiv) na adesão ao pensamento revolucionário em um contexto específico e em um sujeito cujas condições lhe são propícias a tal aceitação.    </w:t>
      </w:r>
    </w:p>
    <w:p>
      <w:pPr>
        <w:pStyle w:val="Citaes"/>
        <w:spacing w:lineRule="auto" w:line="360" w:before="0" w:after="0"/>
        <w:ind w:left="0" w:right="-40" w:firstLine="708"/>
        <w:jc w:val="both"/>
        <w:rPr/>
      </w:pPr>
      <w:r>
        <w:rPr>
          <w:rStyle w:val="Nfaseforte"/>
          <w:rFonts w:cs="Times New Roman" w:ascii="Times New Roman" w:hAnsi="Times New Roman"/>
          <w:b w:val="false"/>
          <w:bCs w:val="false"/>
          <w:color w:val="000000"/>
        </w:rPr>
        <w:t xml:space="preserve">O cinema soviético deste período responde de maneira transformadora às questões do contexto histórico que enfrenta, não apenas na perspectiva das ideias, mas também da forma e estética. Devemos lembrar que o cinema soviético desse período, quando destituído da concepção da montagem como elemento estético/dialético regride a sua forma de mera propaganda política, receita bem aplicada por países como Itália e Alemanha, e que marcará o declínio, do ponto de vista estético, do cinema soviético nas décadas posteriores.  </w:t>
      </w:r>
      <w:r>
        <mc:AlternateContent>
          <mc:Choice Requires="wps">
            <w:drawing>
              <wp:anchor behindDoc="0" distT="0" distB="0" distL="114935" distR="114935" simplePos="0" locked="0" layoutInCell="0" allowOverlap="1" relativeHeight="50">
                <wp:simplePos x="0" y="0"/>
                <wp:positionH relativeFrom="column">
                  <wp:posOffset>733425</wp:posOffset>
                </wp:positionH>
                <wp:positionV relativeFrom="paragraph">
                  <wp:posOffset>2413635</wp:posOffset>
                </wp:positionV>
                <wp:extent cx="3999230" cy="341630"/>
                <wp:effectExtent l="0" t="0" r="0" b="0"/>
                <wp:wrapNone/>
                <wp:docPr id="51" name="Quadro16"/>
                <a:graphic xmlns:a="http://schemas.openxmlformats.org/drawingml/2006/main">
                  <a:graphicData uri="http://schemas.microsoft.com/office/word/2010/wordprocessingShape">
                    <wps:wsp>
                      <wps:cNvSpPr txBox="1"/>
                      <wps:spPr>
                        <a:xfrm>
                          <a:off x="0" y="0"/>
                          <a:ext cx="3999230" cy="341630"/>
                        </a:xfrm>
                        <a:prstGeom prst="rect"/>
                        <a:solidFill>
                          <a:srgbClr val="FFFFFF"/>
                        </a:solidFill>
                      </wps:spPr>
                      <wps:txbx>
                        <w:txbxContent>
                          <w:p>
                            <w:pPr>
                              <w:pStyle w:val="Normal"/>
                              <w:jc w:val="center"/>
                              <w:rPr/>
                            </w:pPr>
                            <w:r>
                              <w:rPr>
                                <w:bCs/>
                                <w:sz w:val="22"/>
                                <w:szCs w:val="22"/>
                              </w:rPr>
                              <w:t>Imagens do filme “</w:t>
                            </w:r>
                            <w:r>
                              <w:rPr>
                                <w:bCs/>
                                <w:i/>
                                <w:iCs/>
                                <w:sz w:val="22"/>
                                <w:szCs w:val="22"/>
                              </w:rPr>
                              <w:t>A Greve</w:t>
                            </w:r>
                            <w:r>
                              <w:rPr>
                                <w:bCs/>
                                <w:sz w:val="22"/>
                                <w:szCs w:val="22"/>
                              </w:rPr>
                              <w:t>”</w:t>
                            </w:r>
                          </w:p>
                        </w:txbxContent>
                      </wps:txbx>
                      <wps:bodyPr anchor="t" lIns="635" tIns="635" rIns="635" bIns="635">
                        <a:noAutofit/>
                      </wps:bodyPr>
                    </wps:wsp>
                  </a:graphicData>
                </a:graphic>
              </wp:anchor>
            </w:drawing>
          </mc:Choice>
          <mc:Fallback>
            <w:pict>
              <v:rect fillcolor="#FFFFFF" style="position:absolute;rotation:0;width:314.9pt;height:26.9pt;mso-wrap-distance-left:9.05pt;mso-wrap-distance-right:9.05pt;mso-wrap-distance-top:0pt;mso-wrap-distance-bottom:0pt;margin-top:190.05pt;mso-position-vertical-relative:text;margin-left:57.75pt;mso-position-horizontal-relative:text">
                <v:textbox inset="0.000694444444444444in,0.000694444444444444in,0.000694444444444444in,0.000694444444444444in">
                  <w:txbxContent>
                    <w:p>
                      <w:pPr>
                        <w:pStyle w:val="Normal"/>
                        <w:jc w:val="center"/>
                        <w:rPr/>
                      </w:pPr>
                      <w:r>
                        <w:rPr>
                          <w:bCs/>
                          <w:sz w:val="22"/>
                          <w:szCs w:val="22"/>
                        </w:rPr>
                        <w:t>Imagens do filme “</w:t>
                      </w:r>
                      <w:r>
                        <w:rPr>
                          <w:bCs/>
                          <w:i/>
                          <w:iCs/>
                          <w:sz w:val="22"/>
                          <w:szCs w:val="22"/>
                        </w:rPr>
                        <w:t>A Greve</w:t>
                      </w:r>
                      <w:r>
                        <w:rPr>
                          <w:bCs/>
                          <w:sz w:val="22"/>
                          <w:szCs w:val="22"/>
                        </w:rPr>
                        <w:t>”</w:t>
                      </w:r>
                    </w:p>
                  </w:txbxContent>
                </v:textbox>
                <w10:wrap type="none"/>
              </v:rect>
            </w:pict>
          </mc:Fallback>
        </mc:AlternateContent>
      </w:r>
    </w:p>
    <w:p>
      <w:pPr>
        <w:pStyle w:val="Citaes"/>
        <w:spacing w:lineRule="auto" w:line="360" w:before="0" w:after="0"/>
        <w:ind w:left="0" w:right="-40" w:hanging="0"/>
        <w:jc w:val="both"/>
        <w:rPr>
          <w:rStyle w:val="Nfaseforte"/>
          <w:rFonts w:ascii="Times New Roman" w:hAnsi="Times New Roman" w:cs="Times New Roman"/>
          <w:b w:val="false"/>
          <w:b w:val="false"/>
          <w:bCs w:val="false"/>
          <w:color w:val="000000"/>
        </w:rPr>
      </w:pPr>
      <w:r>
        <w:rPr/>
      </w:r>
    </w:p>
    <w:p>
      <w:pPr>
        <w:pStyle w:val="Citaes"/>
        <w:spacing w:lineRule="auto" w:line="360" w:before="0" w:after="0"/>
        <w:ind w:left="0" w:right="-40" w:hanging="0"/>
        <w:jc w:val="both"/>
        <w:rPr>
          <w:rFonts w:ascii="Times New Roman" w:hAnsi="Times New Roman" w:cs="Times New Roman"/>
          <w:b/>
          <w:b/>
        </w:rPr>
      </w:pPr>
      <w:r>
        <w:rPr>
          <w:rFonts w:cs="Times New Roman" w:ascii="Times New Roman" w:hAnsi="Times New Roman"/>
          <w:b/>
        </w:rPr>
        <w:t>Rússia, Ivan Pavlov e os reflexos condicionados</w:t>
      </w:r>
    </w:p>
    <w:p>
      <w:pPr>
        <w:pStyle w:val="Citaes"/>
        <w:spacing w:lineRule="auto" w:line="360" w:before="0" w:after="0"/>
        <w:ind w:left="0" w:right="-40" w:hanging="0"/>
        <w:jc w:val="both"/>
        <w:rPr>
          <w:rFonts w:ascii="Times New Roman" w:hAnsi="Times New Roman" w:cs="Times New Roman"/>
          <w:b/>
          <w:b/>
        </w:rPr>
      </w:pPr>
      <w:r>
        <w:rPr>
          <w:rFonts w:cs="Times New Roman" w:ascii="Times New Roman" w:hAnsi="Times New Roman"/>
          <w:b/>
        </w:rPr>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t>Como podemos entender o contexto social em que se encontrava a Rússia antes e depois da Revolução de 1917? A Rússia ainda não tinha tido sua (R)Evolução Industrial em pleno século XX, o que podemos considerar como sendo um dos fatores responsáveis pela miséria em que os camponeses se encontravam e o atraso no setor industrial russo. Se tivéssemos que pontuar alguns fatores responsáveis pela eclosão dos conflitos no ano de 1917 que convergiriam para a tomada do poder e o fim do governo do Czar Nicolau II em outubro do mesmo ano, diríamos que três fatores foram determinantes, são eles:</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r>
    </w:p>
    <w:p>
      <w:pPr>
        <w:pStyle w:val="Corpodotexto"/>
        <w:widowControl/>
        <w:numPr>
          <w:ilvl w:val="0"/>
          <w:numId w:val="2"/>
        </w:numPr>
        <w:tabs>
          <w:tab w:val="clear" w:pos="708"/>
          <w:tab w:val="left" w:pos="1428" w:leader="none"/>
        </w:tabs>
        <w:suppressAutoHyphens w:val="true"/>
        <w:spacing w:lineRule="auto" w:line="360" w:before="0" w:after="0"/>
        <w:rPr>
          <w:rFonts w:ascii="Times New Roman" w:hAnsi="Times New Roman" w:cs="Times New Roman"/>
          <w:sz w:val="24"/>
          <w:szCs w:val="24"/>
        </w:rPr>
      </w:pPr>
      <w:r>
        <w:rPr>
          <w:rFonts w:cs="Times New Roman" w:ascii="Times New Roman" w:hAnsi="Times New Roman"/>
          <w:sz w:val="24"/>
          <w:szCs w:val="24"/>
        </w:rPr>
        <w:t>A miséria da população, que chegava há índices alarmantes durante epidemias e invernos;</w:t>
      </w:r>
    </w:p>
    <w:p>
      <w:pPr>
        <w:pStyle w:val="Corpodotexto"/>
        <w:widowControl/>
        <w:numPr>
          <w:ilvl w:val="0"/>
          <w:numId w:val="2"/>
        </w:numPr>
        <w:tabs>
          <w:tab w:val="clear" w:pos="708"/>
          <w:tab w:val="left" w:pos="1428" w:leader="none"/>
        </w:tabs>
        <w:suppressAutoHyphens w:val="true"/>
        <w:spacing w:lineRule="auto" w:line="360" w:before="0" w:after="0"/>
        <w:rPr/>
      </w:pPr>
      <w:r>
        <w:rPr>
          <w:rFonts w:cs="Times New Roman" w:ascii="Times New Roman" w:hAnsi="Times New Roman"/>
          <w:sz w:val="24"/>
          <w:szCs w:val="24"/>
        </w:rPr>
        <w:t xml:space="preserve">A corrupção e descaso por parte do governo frente à situação enfrentada pela população, o que justifica a tensão em que o país se encontrava com greves e manifestos desde meados de 1904; </w:t>
      </w:r>
    </w:p>
    <w:p>
      <w:pPr>
        <w:pStyle w:val="Corpodotexto"/>
        <w:widowControl/>
        <w:numPr>
          <w:ilvl w:val="0"/>
          <w:numId w:val="2"/>
        </w:numPr>
        <w:tabs>
          <w:tab w:val="clear" w:pos="708"/>
          <w:tab w:val="left" w:pos="1428" w:leader="none"/>
        </w:tabs>
        <w:suppressAutoHyphens w:val="true"/>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O desenvolvimento das ideias socialistas e a errônea decisão de entrada na primeira guerra mundial frente ao momento delicado em que o país se encontrava, aumentando ainda mais a precária situação da população.      </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ind w:firstLine="708"/>
        <w:rPr/>
      </w:pPr>
      <w:r>
        <w:rPr>
          <w:rFonts w:cs="Times New Roman" w:ascii="Times New Roman" w:hAnsi="Times New Roman"/>
          <w:sz w:val="24"/>
          <w:szCs w:val="24"/>
        </w:rPr>
        <w:t xml:space="preserve">Após a revolução de outubro houve uma divisão em dois grupos socialistas, os </w:t>
      </w:r>
      <w:r>
        <w:rPr>
          <w:rFonts w:cs="Times New Roman" w:ascii="Times New Roman" w:hAnsi="Times New Roman"/>
          <w:i/>
          <w:iCs/>
          <w:sz w:val="24"/>
          <w:szCs w:val="24"/>
        </w:rPr>
        <w:t>mencheviques</w:t>
      </w:r>
      <w:r>
        <w:rPr>
          <w:rFonts w:cs="Times New Roman" w:ascii="Times New Roman" w:hAnsi="Times New Roman"/>
          <w:sz w:val="24"/>
          <w:szCs w:val="24"/>
        </w:rPr>
        <w:t xml:space="preserve">, que podemos classificar como um grupo socialista mais moderado que defendia a ideia de que a revolução proletária somente se daria com sucesso após o desenvolvimento econômico do país e nesse período a revolução deveria dar passos curtos não recusando o apoio financeiro da elite. O outro grupo eram os </w:t>
      </w:r>
      <w:r>
        <w:rPr>
          <w:rFonts w:cs="Times New Roman" w:ascii="Times New Roman" w:hAnsi="Times New Roman"/>
          <w:i/>
          <w:iCs/>
          <w:sz w:val="24"/>
          <w:szCs w:val="24"/>
        </w:rPr>
        <w:t>bolcheviques</w:t>
      </w:r>
      <w:r>
        <w:rPr>
          <w:rFonts w:cs="Times New Roman" w:ascii="Times New Roman" w:hAnsi="Times New Roman"/>
          <w:sz w:val="24"/>
          <w:szCs w:val="24"/>
        </w:rPr>
        <w:t xml:space="preserve">, que tinham na figura de Lênin seu principal líder. Os bolchevistas eram uma “ala” mais radical e defendiam a implantação imediata do socialismo, bem como o fim dos privilégios da elite imperialista, com a nacionalização das terras e o controle das fabricas pelos órgãos do partido, tinha-se estabelecido o que se convencionou chamar uma ditadura do proletariado. </w:t>
      </w:r>
    </w:p>
    <w:p>
      <w:pPr>
        <w:pStyle w:val="Corpodotexto"/>
        <w:spacing w:lineRule="auto" w:line="360"/>
        <w:ind w:firstLine="708"/>
        <w:rPr/>
      </w:pPr>
      <w:r>
        <w:rPr>
          <w:rFonts w:cs="Times New Roman" w:ascii="Times New Roman" w:hAnsi="Times New Roman"/>
          <w:sz w:val="24"/>
          <w:szCs w:val="24"/>
        </w:rPr>
        <w:t xml:space="preserve">O período que vai da revolução de 1917 até meados 1921 é um período muito difícil, marcado pela guerra civil e as sequelas econômicas da primeira guerra mundial, com a criação da Nova Política Econômica (NEP) a indústria retomou suas atividades e o comércio voltou as suas atividades. Ocorreram avanços no campo científico e tecnológico a partir da revolução de 1917 até o final da década de 1920. Diminui a jornada diária dos trabalhadores, ocorre redução nos índices de analfabetismo, há planejamento da indústria russa e da agricultura.  </w:t>
      </w:r>
    </w:p>
    <w:p>
      <w:pPr>
        <w:pStyle w:val="Corpodotexto"/>
        <w:spacing w:lineRule="auto" w:line="360"/>
        <w:ind w:firstLine="708"/>
        <w:rPr/>
      </w:pPr>
      <w:r>
        <w:rPr>
          <w:rFonts w:cs="Times New Roman" w:ascii="Times New Roman" w:hAnsi="Times New Roman"/>
          <w:sz w:val="24"/>
          <w:szCs w:val="24"/>
        </w:rPr>
        <w:t xml:space="preserve">É nesse contexto que Lev Kulechov inicia suas experiências no campo do cinema atribuindo à montagem a principal característica do cinema como arte revolucionária. O </w:t>
      </w:r>
      <w:r>
        <w:rPr>
          <w:rFonts w:cs="Times New Roman" w:ascii="Times New Roman" w:hAnsi="Times New Roman"/>
          <w:i/>
          <w:sz w:val="24"/>
          <w:szCs w:val="24"/>
        </w:rPr>
        <w:t>efeito Kulechov</w:t>
      </w:r>
      <w:r>
        <w:rPr>
          <w:rFonts w:cs="Times New Roman" w:ascii="Times New Roman" w:hAnsi="Times New Roman"/>
          <w:sz w:val="24"/>
          <w:szCs w:val="24"/>
        </w:rPr>
        <w:t xml:space="preserve"> como ficou conhecido é caracterizado pela justaposição de duas imagens de tal maneira que gere no espectador uma sensação correspondente, ou seja, o espectador passa de mera figura estática e testemunhal para parte integrante do processo fílmico. Essa interação trás uma carga ideológica tamanha que o espectador desenvolve uma consciência revolucionária em um processo altamente condicionante (essa era a expectativa). </w:t>
      </w:r>
    </w:p>
    <w:p>
      <w:pPr>
        <w:pStyle w:val="Corpodotexto"/>
        <w:spacing w:lineRule="auto" w:line="360"/>
        <w:ind w:firstLine="708"/>
        <w:rPr/>
      </w:pPr>
      <w:r>
        <w:rPr>
          <w:rFonts w:cs="Times New Roman" w:ascii="Times New Roman" w:hAnsi="Times New Roman"/>
          <w:sz w:val="24"/>
          <w:szCs w:val="24"/>
        </w:rPr>
        <w:t xml:space="preserve">Vamos entender o efeito Kulechov a partir de uma experiência feita pelo próprio Lev Kulechov. Imagine uma imagem de uma pessoa que apresente suas feições abatidas com pouca disposição e posteriormente temos a imagem de um prato de sopa, essa justaposição de imagens irá gerar no espectador uma associação entre o rosto e o prato de sopa induzindo quem vê a cena a supor que a pessoa do filme está faminta, ou seja, é um cinema em que é fundamental a abstração de quem assiste, deixando em aberto a conclusão das sequências em oposição à estrutura de narrativa clássica americana. </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t xml:space="preserve">Esse uso da montagem de maneira especifica foi uma importante ferramenta de condicionamento das massas. Kulechov obteve êxito fazendo uso do conceito de condicionamento, conceito esse que foi central nas teorias de outro russo, o Médico Ivan P. Pavlov. </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t xml:space="preserve">Pavlov nasceu em 14 de setembro de 1849 na cidade de Ryazan. Em 1867 entrou para a Universidade de Petersburgo e obteve o doutorado em Medicina em 1883. Em 1888 Pavlov descobriu os nervos secretórios do pâncreas. Em 1897 publicou seus trabalhos sobre as atividades das glândulas digestivas e em 1901 começa suas pesquisas sobre secreção salivar. Recebeu o prêmio Nobel em 1904 e foi eleito em 1928 membro honorário do Royal College of Physicians de Londres. </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t xml:space="preserve">Foi por intermédio de suas experiências com cães que Pavlov desenvolveu sua teoria dos reflexos condicionados. Segundo Pavlov o reflexo se dá através de seis elementos, a saber: Uma fonte de estimulação (música, cor, imagem etc), um órgão receptor (olho, ouvido, receptores olfativos etc), uma terminação nervosa, um centro nervoso, um nervo especifico (nervo efetor) responsável pela transmissão do impulso de resposta e por último um órgão que irá emitir a resposta (exemplo fígado ou estomago). Pavlov chama este sistema de estimulo-resposta de reflexão absoluta ou inata, pois, não são aprendidos e/ou ensinados, não sendo importantes no convívio externo, ou seja, são totalmente independentes de qualquer fator histórico ou social, mas Pavlov reconhece outra forma de reflexo, são os reflexos condicionados. </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t xml:space="preserve">Diferentemente do primeiro caso, os reflexos condicionados, segundo Pavlov, não são inatos a qualquer ser vivo e sim condicionados às experiências de cada organismo, em dependência com sua estrutura biológica interna. Ao ser apresentado um pedaço de carne, Pavlov percebeu que o cão salivava e após repetir o mesmo processo inúmeras vezes observou que ao toque da campainha o cão respondia (salivava) mesmo sem o prêmio (carne). O cão respondia sempre ao primeiro estimulo, mas isso não duraria incondicionalmente, após certo tempo o cão não mais responderia ao som da campainha, sem, no entanto receber o pedaço de carne. </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t>Pavlov enumerou quatro princípios que regem os reflexos condicionados, são eles:</w:t>
      </w:r>
    </w:p>
    <w:p>
      <w:pPr>
        <w:pStyle w:val="Corpodotexto"/>
        <w:widowControl/>
        <w:numPr>
          <w:ilvl w:val="0"/>
          <w:numId w:val="3"/>
        </w:numPr>
        <w:tabs>
          <w:tab w:val="clear" w:pos="708"/>
          <w:tab w:val="left" w:pos="720" w:leader="none"/>
        </w:tabs>
        <w:suppressAutoHyphens w:val="true"/>
        <w:spacing w:lineRule="auto" w:line="360" w:before="0" w:after="0"/>
        <w:rPr>
          <w:rFonts w:ascii="Times New Roman" w:hAnsi="Times New Roman" w:cs="Times New Roman"/>
          <w:sz w:val="24"/>
          <w:szCs w:val="24"/>
        </w:rPr>
      </w:pPr>
      <w:r>
        <w:rPr>
          <w:rFonts w:cs="Times New Roman" w:ascii="Times New Roman" w:hAnsi="Times New Roman"/>
          <w:sz w:val="24"/>
          <w:szCs w:val="24"/>
        </w:rPr>
        <w:t>A qualquer resposta condicionada temos associada uma repetição de um comportamento;</w:t>
      </w:r>
    </w:p>
    <w:p>
      <w:pPr>
        <w:pStyle w:val="Corpodotexto"/>
        <w:widowControl/>
        <w:numPr>
          <w:ilvl w:val="0"/>
          <w:numId w:val="3"/>
        </w:numPr>
        <w:tabs>
          <w:tab w:val="clear" w:pos="708"/>
          <w:tab w:val="left" w:pos="720" w:leader="none"/>
        </w:tabs>
        <w:suppressAutoHyphens w:val="true"/>
        <w:spacing w:lineRule="auto" w:line="360" w:before="0" w:after="0"/>
        <w:rPr/>
      </w:pPr>
      <w:r>
        <w:rPr>
          <w:rFonts w:cs="Times New Roman" w:ascii="Times New Roman" w:hAnsi="Times New Roman"/>
          <w:sz w:val="24"/>
          <w:szCs w:val="24"/>
        </w:rPr>
        <w:t>O primeiro princípio nos leva por indução ao segundo, que Pavlov chamou de “</w:t>
      </w:r>
      <w:r>
        <w:rPr>
          <w:rFonts w:cs="Times New Roman" w:ascii="Times New Roman" w:hAnsi="Times New Roman"/>
          <w:i/>
          <w:iCs/>
          <w:sz w:val="24"/>
          <w:szCs w:val="24"/>
        </w:rPr>
        <w:t>extinção do reflexo condicionado</w:t>
      </w:r>
      <w:r>
        <w:rPr>
          <w:rFonts w:cs="Times New Roman" w:ascii="Times New Roman" w:hAnsi="Times New Roman"/>
          <w:sz w:val="24"/>
          <w:szCs w:val="24"/>
        </w:rPr>
        <w:t>”, ou seja, após soar a campainha inúmeras vezes sem que o cão obtivesse o prêmio (carne) ele não mais salivou;</w:t>
      </w:r>
    </w:p>
    <w:p>
      <w:pPr>
        <w:pStyle w:val="Corpodotexto"/>
        <w:widowControl/>
        <w:numPr>
          <w:ilvl w:val="0"/>
          <w:numId w:val="3"/>
        </w:numPr>
        <w:tabs>
          <w:tab w:val="clear" w:pos="708"/>
          <w:tab w:val="left" w:pos="720" w:leader="none"/>
        </w:tabs>
        <w:suppressAutoHyphens w:val="true"/>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Ocorre o retardamento da resposta quando o estímulo e o prêmio estiverem cada vez mais divididos em um intervalo de tempo maior;</w:t>
      </w:r>
    </w:p>
    <w:p>
      <w:pPr>
        <w:pStyle w:val="Corpodotexto"/>
        <w:widowControl/>
        <w:numPr>
          <w:ilvl w:val="0"/>
          <w:numId w:val="3"/>
        </w:numPr>
        <w:tabs>
          <w:tab w:val="clear" w:pos="708"/>
          <w:tab w:val="left" w:pos="720" w:leader="none"/>
        </w:tabs>
        <w:suppressAutoHyphens w:val="true"/>
        <w:spacing w:lineRule="auto" w:line="360" w:before="0" w:after="0"/>
        <w:rPr/>
      </w:pPr>
      <w:r>
        <w:rPr>
          <w:rFonts w:cs="Times New Roman" w:ascii="Times New Roman" w:hAnsi="Times New Roman"/>
          <w:sz w:val="24"/>
          <w:szCs w:val="24"/>
        </w:rPr>
        <w:t xml:space="preserve">Pavlov chamou de condicionamento seletivo ao fato de que se soarem duas campainhas, mas apenas uma indicar a entrega da carne, o cão irá salivar no início as duas, mas após certo tempo começara a selecionar o som associando-o ao alimento. </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ind w:firstLine="708"/>
        <w:rPr/>
      </w:pPr>
      <w:r>
        <w:rPr>
          <w:rFonts w:cs="Times New Roman" w:ascii="Times New Roman" w:hAnsi="Times New Roman"/>
          <w:sz w:val="24"/>
          <w:szCs w:val="24"/>
        </w:rPr>
        <w:t xml:space="preserve">Pavlov acreditava que com sua teoria dos reflexos condicionados teria chegado ao conhecimento fundamental para o entendimento fisiológico dos comportamentos animais e do homem, incluindo seus níveis de cognição e comunicação, tais como, a linguagem e o pensamento racional, mesma crença que seu antecessor Sechenov também acreditava ter descoberto. Não a toa, no pronunciamento de entrega do Nobel, Pavlov menciona Sechenov como um precursor da linha de pesquisa que o havia consagrado.  </w:t>
      </w:r>
    </w:p>
    <w:p>
      <w:pPr>
        <w:pStyle w:val="Corpodotexto"/>
        <w:spacing w:lineRule="auto" w:line="360"/>
        <w:ind w:firstLine="708"/>
        <w:rPr/>
      </w:pPr>
      <w:r>
        <w:rPr>
          <w:rFonts w:cs="Times New Roman" w:ascii="Times New Roman" w:hAnsi="Times New Roman"/>
          <w:sz w:val="24"/>
          <w:szCs w:val="24"/>
        </w:rPr>
        <w:t>Voltemos ao cinema. Se lembrarmos da sequência do filme “</w:t>
      </w:r>
      <w:r>
        <w:rPr>
          <w:rFonts w:cs="Times New Roman" w:ascii="Times New Roman" w:hAnsi="Times New Roman"/>
          <w:i/>
          <w:iCs/>
          <w:sz w:val="24"/>
          <w:szCs w:val="24"/>
        </w:rPr>
        <w:t>A Greve</w:t>
      </w:r>
      <w:r>
        <w:rPr>
          <w:rFonts w:cs="Times New Roman" w:ascii="Times New Roman" w:hAnsi="Times New Roman"/>
          <w:sz w:val="24"/>
          <w:szCs w:val="24"/>
        </w:rPr>
        <w:t xml:space="preserve">” em que temos a justaposição de um matadouro e a repressão aos grevistas, podemos entender, à luz das teorias de reflexos condicionados de Pavlov, onde Kulechov foi buscar inspiração para sua teoria da montagem e que Eisenstein utilizaria tão bem. </w:t>
      </w:r>
    </w:p>
    <w:p>
      <w:pPr>
        <w:pStyle w:val="Corpodotexto"/>
        <w:spacing w:lineRule="auto" w:line="360"/>
        <w:ind w:firstLine="708"/>
        <w:rPr/>
      </w:pPr>
      <w:r>
        <w:rPr>
          <w:rFonts w:cs="Times New Roman" w:ascii="Times New Roman" w:hAnsi="Times New Roman"/>
          <w:sz w:val="24"/>
          <w:szCs w:val="24"/>
        </w:rPr>
        <w:t xml:space="preserve">Outro exemplo de montagem que expresse essa condição é uma sequência do filme </w:t>
      </w:r>
      <w:r>
        <w:rPr>
          <w:rFonts w:cs="Times New Roman" w:ascii="Times New Roman" w:hAnsi="Times New Roman"/>
          <w:i/>
          <w:iCs/>
          <w:sz w:val="24"/>
          <w:szCs w:val="24"/>
        </w:rPr>
        <w:t>A Greve</w:t>
      </w:r>
      <w:r>
        <w:rPr>
          <w:rFonts w:cs="Times New Roman" w:ascii="Times New Roman" w:hAnsi="Times New Roman"/>
          <w:sz w:val="24"/>
          <w:szCs w:val="24"/>
        </w:rPr>
        <w:t>, onde os superiores se reúnem para discutir as condições da greve, enquanto a população sofre a perseguição por parte das autoridades. Ao mesmo tempo em que um dos superiores espreme o limão para sua bebida, temos imagens justapostas da repressão aos grevistas e os dizeres “(...) para se obter o suco deve-se espremer bem....”</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drawing>
          <wp:inline distT="0" distB="0" distL="0" distR="0">
            <wp:extent cx="1806575" cy="1222375"/>
            <wp:effectExtent l="0" t="0" r="0" b="0"/>
            <wp:docPr id="52"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22" descr=""/>
                    <pic:cNvPicPr>
                      <a:picLocks noChangeAspect="1" noChangeArrowheads="1"/>
                    </pic:cNvPicPr>
                  </pic:nvPicPr>
                  <pic:blipFill>
                    <a:blip r:embed="rId28"/>
                    <a:stretch>
                      <a:fillRect/>
                    </a:stretch>
                  </pic:blipFill>
                  <pic:spPr bwMode="auto">
                    <a:xfrm>
                      <a:off x="0" y="0"/>
                      <a:ext cx="1806575" cy="1222375"/>
                    </a:xfrm>
                    <a:prstGeom prst="rect">
                      <a:avLst/>
                    </a:prstGeom>
                    <a:ln w="38100">
                      <a:solidFill>
                        <a:srgbClr val="000000"/>
                      </a:solidFill>
                    </a:ln>
                  </pic:spPr>
                </pic:pic>
              </a:graphicData>
            </a:graphic>
          </wp:inline>
        </w:drawing>
      </w:r>
      <w:r>
        <w:rPr>
          <w:rFonts w:cs="Times New Roman" w:ascii="Times New Roman" w:hAnsi="Times New Roman"/>
          <w:sz w:val="24"/>
          <w:szCs w:val="24"/>
        </w:rPr>
        <w:tab/>
        <w:tab/>
        <w:tab/>
      </w:r>
      <w:r>
        <w:rPr>
          <w:rFonts w:cs="Times New Roman" w:ascii="Times New Roman" w:hAnsi="Times New Roman"/>
          <w:sz w:val="24"/>
          <w:szCs w:val="24"/>
        </w:rPr>
        <w:drawing>
          <wp:inline distT="0" distB="0" distL="0" distR="0">
            <wp:extent cx="1809115" cy="1219835"/>
            <wp:effectExtent l="0" t="0" r="0" b="0"/>
            <wp:docPr id="53"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23" descr=""/>
                    <pic:cNvPicPr>
                      <a:picLocks noChangeAspect="1" noChangeArrowheads="1"/>
                    </pic:cNvPicPr>
                  </pic:nvPicPr>
                  <pic:blipFill>
                    <a:blip r:embed="rId29"/>
                    <a:stretch>
                      <a:fillRect/>
                    </a:stretch>
                  </pic:blipFill>
                  <pic:spPr bwMode="auto">
                    <a:xfrm>
                      <a:off x="0" y="0"/>
                      <a:ext cx="1809115" cy="1219835"/>
                    </a:xfrm>
                    <a:prstGeom prst="rect">
                      <a:avLst/>
                    </a:prstGeom>
                    <a:ln w="38100">
                      <a:solidFill>
                        <a:srgbClr val="000000"/>
                      </a:solidFill>
                    </a:ln>
                  </pic:spPr>
                </pic:pic>
              </a:graphicData>
            </a:graphic>
          </wp:inline>
        </w:drawing>
      </w:r>
    </w:p>
    <w:p>
      <w:pPr>
        <w:pStyle w:val="Corpodotexto"/>
        <w:spacing w:lineRule="auto" w:line="360" w:before="0" w:after="0"/>
        <w:jc w:val="center"/>
        <w:rPr>
          <w:rFonts w:ascii="Times New Roman" w:hAnsi="Times New Roman" w:cs="Times New Roman"/>
          <w:sz w:val="24"/>
          <w:szCs w:val="24"/>
        </w:rPr>
      </w:pPr>
      <w:r>
        <w:rPr>
          <w:rFonts w:cs="Times New Roman" w:ascii="Times New Roman" w:hAnsi="Times New Roman"/>
          <w:bCs/>
          <w:sz w:val="24"/>
          <w:szCs w:val="24"/>
        </w:rPr>
        <w:t xml:space="preserve">Imagens do filme </w:t>
      </w:r>
      <w:r>
        <w:rPr>
          <w:rFonts w:cs="Times New Roman" w:ascii="Times New Roman" w:hAnsi="Times New Roman"/>
          <w:i/>
          <w:iCs/>
          <w:sz w:val="24"/>
          <w:szCs w:val="24"/>
        </w:rPr>
        <w:t>A Greve</w:t>
      </w:r>
    </w:p>
    <w:p>
      <w:pPr>
        <w:pStyle w:val="Corpodotexto"/>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before="0" w:after="0"/>
        <w:rPr/>
      </w:pPr>
      <w:r>
        <w:rPr>
          <w:rFonts w:cs="Times New Roman" w:ascii="Times New Roman" w:hAnsi="Times New Roman"/>
          <w:sz w:val="24"/>
          <w:szCs w:val="24"/>
        </w:rPr>
        <w:tab/>
        <w:t>Um típico espectador russo da década de 1920 logo se identificaria com essas cenas, já que a exploração por parte das autoridades era uma realidade não muito distante da história desse povo, fazendo com que o ideal revolucionário fosse inflamado no inconsciente desse espectador. Podemos ver que o cinema soviético desse período encontra sustentação em um cinema político não só nos temas (conteúdo) como na sua forma, e um cinema de classes específico para uma classe com o intuito de despertar um ideal revolucionário nas pessoas.</w:t>
      </w:r>
    </w:p>
    <w:p>
      <w:pPr>
        <w:pStyle w:val="Corpodotexto"/>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before="0" w:after="0"/>
        <w:rPr>
          <w:rFonts w:ascii="Times New Roman" w:hAnsi="Times New Roman" w:cs="Times New Roman"/>
          <w:b/>
          <w:b/>
          <w:sz w:val="24"/>
          <w:szCs w:val="24"/>
        </w:rPr>
      </w:pPr>
      <w:r>
        <w:rPr>
          <w:rFonts w:cs="Times New Roman" w:ascii="Times New Roman" w:hAnsi="Times New Roman"/>
          <w:b/>
          <w:sz w:val="24"/>
          <w:szCs w:val="24"/>
        </w:rPr>
        <w:t>O Construtivismo russo</w:t>
      </w:r>
    </w:p>
    <w:p>
      <w:pPr>
        <w:pStyle w:val="Corpodotexto"/>
        <w:spacing w:lineRule="auto" w:line="360" w:before="0" w:after="0"/>
        <w:ind w:firstLine="708"/>
        <w:rPr>
          <w:rFonts w:ascii="Times New Roman" w:hAnsi="Times New Roman" w:cs="Times New Roman"/>
          <w:b/>
          <w:b/>
          <w:sz w:val="24"/>
          <w:szCs w:val="24"/>
        </w:rPr>
      </w:pPr>
      <w:r>
        <w:rPr>
          <w:rFonts w:cs="Times New Roman" w:ascii="Times New Roman" w:hAnsi="Times New Roman"/>
          <w:b/>
          <w:sz w:val="24"/>
          <w:szCs w:val="24"/>
        </w:rPr>
      </w:r>
    </w:p>
    <w:p>
      <w:pPr>
        <w:pStyle w:val="Corpodotexto"/>
        <w:spacing w:lineRule="auto" w:line="360" w:before="0" w:after="0"/>
        <w:ind w:firstLine="708"/>
        <w:rPr/>
      </w:pPr>
      <w:r>
        <w:rPr>
          <w:rFonts w:cs="Times New Roman" w:ascii="Times New Roman" w:hAnsi="Times New Roman"/>
          <w:sz w:val="24"/>
          <w:szCs w:val="24"/>
        </w:rPr>
        <w:t>O construtivismo russo, em particular o cinema, recebeu influência de vários movimentos da arte abstrata que se difundiram no mundo no início do Século XX, entre esses movimentos podemos destacar o Futurismo italiano, muito embora esse movimento estivesse muito associado a publicidade e aos centros urbanos da Europa de então junto ao desenvolvimento acelerado das cidades. Podemos observar esse “encantamento” com o desenvolvimento tecnológico em obras como “</w:t>
      </w:r>
      <w:r>
        <w:rPr>
          <w:rFonts w:cs="Times New Roman" w:ascii="Times New Roman" w:hAnsi="Times New Roman"/>
          <w:i/>
          <w:iCs/>
          <w:sz w:val="24"/>
          <w:szCs w:val="24"/>
        </w:rPr>
        <w:t>Studio di Luce</w:t>
      </w:r>
      <w:r>
        <w:rPr>
          <w:rFonts w:cs="Times New Roman" w:ascii="Times New Roman" w:hAnsi="Times New Roman"/>
          <w:sz w:val="24"/>
          <w:szCs w:val="24"/>
        </w:rPr>
        <w:t>” de Giacomo Balla (1871-1958).</w:t>
      </w:r>
    </w:p>
    <w:p>
      <w:pPr>
        <w:pStyle w:val="Corpodotexto"/>
        <w:spacing w:lineRule="auto" w:line="360"/>
        <w:ind w:firstLine="708"/>
        <w:rPr>
          <w:rFonts w:ascii="Times New Roman" w:hAnsi="Times New Roman" w:cs="Times New Roman"/>
          <w:sz w:val="24"/>
          <w:szCs w:val="24"/>
        </w:rPr>
      </w:pPr>
      <w:r>
        <w:drawing>
          <wp:anchor behindDoc="0" distT="0" distB="0" distL="0" distR="0" simplePos="0" locked="0" layoutInCell="0" allowOverlap="1" relativeHeight="49">
            <wp:simplePos x="0" y="0"/>
            <wp:positionH relativeFrom="column">
              <wp:posOffset>654685</wp:posOffset>
            </wp:positionH>
            <wp:positionV relativeFrom="paragraph">
              <wp:posOffset>226695</wp:posOffset>
            </wp:positionV>
            <wp:extent cx="1177925" cy="1393190"/>
            <wp:effectExtent l="0" t="0" r="0" b="0"/>
            <wp:wrapTopAndBottom/>
            <wp:docPr id="54"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24" descr=""/>
                    <pic:cNvPicPr>
                      <a:picLocks noChangeAspect="1" noChangeArrowheads="1"/>
                    </pic:cNvPicPr>
                  </pic:nvPicPr>
                  <pic:blipFill>
                    <a:blip r:embed="rId30"/>
                    <a:srcRect l="-18" t="-12" r="-18" b="-12"/>
                    <a:stretch>
                      <a:fillRect/>
                    </a:stretch>
                  </pic:blipFill>
                  <pic:spPr bwMode="auto">
                    <a:xfrm>
                      <a:off x="0" y="0"/>
                      <a:ext cx="1177925" cy="1393190"/>
                    </a:xfrm>
                    <a:prstGeom prst="rect">
                      <a:avLst/>
                    </a:prstGeom>
                  </pic:spPr>
                </pic:pic>
              </a:graphicData>
            </a:graphic>
          </wp:anchor>
        </w:drawing>
      </w:r>
      <w:r>
        <w:rPr>
          <w:rFonts w:cs="Times New Roman" w:ascii="Times New Roman" w:hAnsi="Times New Roman"/>
          <w:sz w:val="24"/>
          <w:szCs w:val="24"/>
        </w:rPr>
        <w:t xml:space="preserve">   </w:t>
      </w:r>
      <w:r>
        <w:rPr>
          <w:rFonts w:cs="Times New Roman" w:ascii="Times New Roman" w:hAnsi="Times New Roman"/>
          <w:sz w:val="24"/>
          <w:szCs w:val="24"/>
        </w:rPr>
        <w:t>Studio di Luce, 1909</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ind w:firstLine="708"/>
        <w:rPr/>
      </w:pPr>
      <w:r>
        <w:rPr>
          <w:rFonts w:cs="Times New Roman" w:ascii="Times New Roman" w:hAnsi="Times New Roman"/>
          <w:sz w:val="24"/>
          <w:szCs w:val="24"/>
        </w:rPr>
        <w:t>Há certa confusão quando se afirma que o Futurismo italiano não teria tido influência sobre a arte russa desse período, pois, enquanto os artistas italianos expressavam em suas obras os grandes centros urbanos da Europa, em particular a Itália, a arte russa desse período se restringia a obras que retratavam o campo, uma arte digamos mais rupestre. O que não devemos esquecer é que a Rússia da década de 1910 ainda não tinha tido seu desenvolvimento industrial e era basicamente um país de vasta atividade rural, com pouca concentração urbana. Um dos principais teóricos, o fundador do Futurismo italiano segundo alguns críticos, Filippo T. G. Marinetti (1876-1944) teria visitado a Rússia duas vezes, uma em 1914 e outra anterior a este ano. Apesar da resistência de alguns escritores e artistas plásticos Marinetti exerceu forte influência na arte russa junto ao Cubismo. Pode-se identificar essa influência nas obras do artista que transpôs o Futurismo e o Cubismo para emplacar a arte construtivista russa, Kasimir Malevitch (1878-1935). A seguir vejamos algumas de suas obras.</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t xml:space="preserve">  </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drawing>
          <wp:inline distT="0" distB="0" distL="0" distR="0">
            <wp:extent cx="1290955" cy="1431925"/>
            <wp:effectExtent l="0" t="0" r="0" b="0"/>
            <wp:docPr id="55"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25" descr=""/>
                    <pic:cNvPicPr>
                      <a:picLocks noChangeAspect="1" noChangeArrowheads="1"/>
                    </pic:cNvPicPr>
                  </pic:nvPicPr>
                  <pic:blipFill>
                    <a:blip r:embed="rId31"/>
                    <a:stretch>
                      <a:fillRect/>
                    </a:stretch>
                  </pic:blipFill>
                  <pic:spPr bwMode="auto">
                    <a:xfrm>
                      <a:off x="0" y="0"/>
                      <a:ext cx="1290955" cy="1431925"/>
                    </a:xfrm>
                    <a:prstGeom prst="rect">
                      <a:avLst/>
                    </a:prstGeom>
                    <a:ln w="38100">
                      <a:solidFill>
                        <a:srgbClr val="000000"/>
                      </a:solidFill>
                    </a:ln>
                  </pic:spPr>
                </pic:pic>
              </a:graphicData>
            </a:graphic>
          </wp:inline>
        </w:drawing>
      </w:r>
      <w:r>
        <w:rPr>
          <w:rFonts w:cs="Times New Roman" w:ascii="Times New Roman" w:hAnsi="Times New Roman"/>
          <w:sz w:val="24"/>
          <w:szCs w:val="24"/>
        </w:rPr>
        <w:drawing>
          <wp:inline distT="0" distB="0" distL="0" distR="0">
            <wp:extent cx="1454150" cy="1437640"/>
            <wp:effectExtent l="0" t="0" r="0" b="0"/>
            <wp:docPr id="56"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26" descr=""/>
                    <pic:cNvPicPr>
                      <a:picLocks noChangeAspect="1" noChangeArrowheads="1"/>
                    </pic:cNvPicPr>
                  </pic:nvPicPr>
                  <pic:blipFill>
                    <a:blip r:embed="rId32"/>
                    <a:stretch>
                      <a:fillRect/>
                    </a:stretch>
                  </pic:blipFill>
                  <pic:spPr bwMode="auto">
                    <a:xfrm>
                      <a:off x="0" y="0"/>
                      <a:ext cx="1454150" cy="1437640"/>
                    </a:xfrm>
                    <a:prstGeom prst="rect">
                      <a:avLst/>
                    </a:prstGeom>
                    <a:ln w="38100">
                      <a:solidFill>
                        <a:srgbClr val="000000"/>
                      </a:solidFill>
                    </a:ln>
                  </pic:spPr>
                </pic:pic>
              </a:graphicData>
            </a:graphic>
          </wp:inline>
        </w:drawing>
      </w:r>
      <w:r>
        <w:rPr>
          <w:rFonts w:cs="Times New Roman" w:ascii="Times New Roman" w:hAnsi="Times New Roman"/>
          <w:sz w:val="24"/>
          <w:szCs w:val="24"/>
        </w:rPr>
        <w:drawing>
          <wp:inline distT="0" distB="0" distL="0" distR="0">
            <wp:extent cx="1537335" cy="1451610"/>
            <wp:effectExtent l="0" t="0" r="0" b="0"/>
            <wp:docPr id="57"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27" descr=""/>
                    <pic:cNvPicPr>
                      <a:picLocks noChangeAspect="1" noChangeArrowheads="1"/>
                    </pic:cNvPicPr>
                  </pic:nvPicPr>
                  <pic:blipFill>
                    <a:blip r:embed="rId33"/>
                    <a:stretch>
                      <a:fillRect/>
                    </a:stretch>
                  </pic:blipFill>
                  <pic:spPr bwMode="auto">
                    <a:xfrm>
                      <a:off x="0" y="0"/>
                      <a:ext cx="1537335" cy="1451610"/>
                    </a:xfrm>
                    <a:prstGeom prst="rect">
                      <a:avLst/>
                    </a:prstGeom>
                    <a:ln w="38100">
                      <a:solidFill>
                        <a:srgbClr val="000000"/>
                      </a:solidFill>
                    </a:ln>
                  </pic:spPr>
                </pic:pic>
              </a:graphicData>
            </a:graphic>
          </wp:inline>
        </w:drawing>
      </w:r>
    </w:p>
    <w:p>
      <w:pPr>
        <w:pStyle w:val="Corpodotexto"/>
        <w:spacing w:lineRule="auto" w:line="360" w:before="0" w:after="0"/>
        <w:ind w:hanging="0"/>
        <w:rPr/>
      </w:pPr>
      <w:r>
        <w:rPr>
          <w:rFonts w:cs="Times New Roman" w:ascii="Times New Roman" w:hAnsi="Times New Roman"/>
          <w:sz w:val="24"/>
          <w:szCs w:val="24"/>
        </w:rPr>
        <w:t xml:space="preserve">       </w:t>
      </w:r>
      <w:r>
        <w:rPr>
          <w:rFonts w:cs="Times New Roman" w:ascii="Times New Roman" w:hAnsi="Times New Roman"/>
          <w:sz w:val="24"/>
          <w:szCs w:val="24"/>
        </w:rPr>
        <w:t>Um inglês em Moscou, 1914       Círculo Preto                  O Aviador</w:t>
      </w:r>
    </w:p>
    <w:p>
      <w:pPr>
        <w:pStyle w:val="Corpodotexto"/>
        <w:spacing w:lineRule="auto" w:line="360" w:before="0" w:after="0"/>
        <w:ind w:firstLine="708"/>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ind w:firstLine="708"/>
        <w:rPr/>
      </w:pPr>
      <w:r>
        <w:rPr>
          <w:rFonts w:cs="Times New Roman" w:ascii="Times New Roman" w:hAnsi="Times New Roman"/>
          <w:sz w:val="24"/>
          <w:szCs w:val="24"/>
        </w:rPr>
        <w:t xml:space="preserve">Percebe-se na obra de Malevitch o uso frequente de figuras geométricas, como herança do Cubismo e já destacando as características do Futurismo com os elementos da tecnologia, tais como a locomotiva na tela </w:t>
      </w:r>
      <w:r>
        <w:rPr>
          <w:rFonts w:cs="Times New Roman" w:ascii="Times New Roman" w:hAnsi="Times New Roman"/>
          <w:i/>
          <w:iCs/>
          <w:sz w:val="24"/>
          <w:szCs w:val="24"/>
        </w:rPr>
        <w:t>Um Inglês em Moscou</w:t>
      </w:r>
      <w:r>
        <w:rPr>
          <w:rFonts w:cs="Times New Roman" w:ascii="Times New Roman" w:hAnsi="Times New Roman"/>
          <w:sz w:val="24"/>
          <w:szCs w:val="24"/>
        </w:rPr>
        <w:t xml:space="preserve"> e o avião em </w:t>
      </w:r>
      <w:r>
        <w:rPr>
          <w:rFonts w:cs="Times New Roman" w:ascii="Times New Roman" w:hAnsi="Times New Roman"/>
          <w:i/>
          <w:iCs/>
          <w:sz w:val="24"/>
          <w:szCs w:val="24"/>
        </w:rPr>
        <w:t>O Aviador</w:t>
      </w:r>
      <w:r>
        <w:rPr>
          <w:rFonts w:cs="Times New Roman" w:ascii="Times New Roman" w:hAnsi="Times New Roman"/>
          <w:sz w:val="24"/>
          <w:szCs w:val="24"/>
        </w:rPr>
        <w:t>, quando comparadas com a arte produzida uma década anterior nas obras do Futurista-Cubista Russo Mikhail Larionov (1881-1964) vemos os pontos de convergência e influência que as duas escolas sofreram reciprocamente.</w:t>
      </w:r>
    </w:p>
    <w:p>
      <w:pPr>
        <w:pStyle w:val="Corpodotexto"/>
        <w:spacing w:lineRule="auto" w:line="360"/>
        <w:ind w:firstLine="708"/>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ind w:firstLine="708"/>
        <w:jc w:val="center"/>
        <w:rPr>
          <w:rStyle w:val="Nfaseforte"/>
          <w:rFonts w:ascii="Times New Roman" w:hAnsi="Times New Roman" w:cs="Times New Roman"/>
          <w:b w:val="false"/>
          <w:b w:val="false"/>
          <w:bCs w:val="false"/>
          <w:color w:val="000000"/>
          <w:sz w:val="24"/>
          <w:szCs w:val="24"/>
          <w:lang w:val="en"/>
        </w:rPr>
      </w:pPr>
      <w:r>
        <w:rPr>
          <w:rFonts w:cs="Times New Roman" w:ascii="Times New Roman" w:hAnsi="Times New Roman"/>
          <w:sz w:val="24"/>
          <w:szCs w:val="24"/>
          <w:lang w:val="en"/>
        </w:rPr>
        <w:drawing>
          <wp:inline distT="0" distB="0" distL="0" distR="0">
            <wp:extent cx="1549400" cy="1863090"/>
            <wp:effectExtent l="0" t="0" r="0" b="0"/>
            <wp:docPr id="58"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28" descr=""/>
                    <pic:cNvPicPr>
                      <a:picLocks noChangeAspect="1" noChangeArrowheads="1"/>
                    </pic:cNvPicPr>
                  </pic:nvPicPr>
                  <pic:blipFill>
                    <a:blip r:embed="rId34"/>
                    <a:stretch>
                      <a:fillRect/>
                    </a:stretch>
                  </pic:blipFill>
                  <pic:spPr bwMode="auto">
                    <a:xfrm>
                      <a:off x="0" y="0"/>
                      <a:ext cx="1549400" cy="1863090"/>
                    </a:xfrm>
                    <a:prstGeom prst="rect">
                      <a:avLst/>
                    </a:prstGeom>
                    <a:ln w="38100">
                      <a:solidFill>
                        <a:srgbClr val="000000"/>
                      </a:solidFill>
                    </a:ln>
                  </pic:spPr>
                </pic:pic>
              </a:graphicData>
            </a:graphic>
          </wp:inline>
        </w:drawing>
      </w:r>
      <w:r>
        <w:rPr>
          <w:rFonts w:cs="Times New Roman" w:ascii="Times New Roman" w:hAnsi="Times New Roman"/>
          <w:sz w:val="24"/>
          <w:szCs w:val="24"/>
          <w:lang w:val="en"/>
        </w:rPr>
        <w:drawing>
          <wp:inline distT="0" distB="0" distL="0" distR="0">
            <wp:extent cx="1779270" cy="1862455"/>
            <wp:effectExtent l="0" t="0" r="0" b="0"/>
            <wp:docPr id="59"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29" descr=""/>
                    <pic:cNvPicPr>
                      <a:picLocks noChangeAspect="1" noChangeArrowheads="1"/>
                    </pic:cNvPicPr>
                  </pic:nvPicPr>
                  <pic:blipFill>
                    <a:blip r:embed="rId35"/>
                    <a:stretch>
                      <a:fillRect/>
                    </a:stretch>
                  </pic:blipFill>
                  <pic:spPr bwMode="auto">
                    <a:xfrm>
                      <a:off x="0" y="0"/>
                      <a:ext cx="1779270" cy="1862455"/>
                    </a:xfrm>
                    <a:prstGeom prst="rect">
                      <a:avLst/>
                    </a:prstGeom>
                    <a:ln w="38100">
                      <a:solidFill>
                        <a:srgbClr val="000000"/>
                      </a:solidFill>
                    </a:ln>
                  </pic:spPr>
                </pic:pic>
              </a:graphicData>
            </a:graphic>
          </wp:inline>
        </w:drawing>
      </w:r>
    </w:p>
    <w:p>
      <w:pPr>
        <w:pStyle w:val="Normal"/>
        <w:spacing w:lineRule="auto" w:line="360"/>
        <w:jc w:val="both"/>
        <w:rPr/>
      </w:pPr>
      <w:r>
        <w:rPr>
          <w:rStyle w:val="Nfaseforte"/>
          <w:b w:val="false"/>
          <w:bCs w:val="false"/>
          <w:color w:val="000000"/>
        </w:rPr>
        <w:t xml:space="preserve">                                     </w:t>
      </w:r>
      <w:r>
        <w:rPr>
          <w:rStyle w:val="Nfaseforte"/>
          <w:b w:val="false"/>
          <w:bCs w:val="false"/>
          <w:color w:val="000000"/>
        </w:rPr>
        <w:t>Le soldat, 1908     Nature morte à l'Ecrevisse, 1907</w:t>
      </w:r>
    </w:p>
    <w:p>
      <w:pPr>
        <w:pStyle w:val="Normal"/>
        <w:spacing w:lineRule="auto" w:line="360"/>
        <w:ind w:firstLine="708"/>
        <w:jc w:val="both"/>
        <w:rPr>
          <w:rStyle w:val="Nfaseforte"/>
          <w:b w:val="false"/>
          <w:b w:val="false"/>
          <w:bCs w:val="false"/>
          <w:color w:val="000000"/>
        </w:rPr>
      </w:pPr>
      <w:r>
        <w:rPr/>
      </w:r>
    </w:p>
    <w:p>
      <w:pPr>
        <w:pStyle w:val="Normal"/>
        <w:spacing w:lineRule="auto" w:line="360"/>
        <w:ind w:firstLine="708"/>
        <w:jc w:val="both"/>
        <w:rPr/>
      </w:pPr>
      <w:r>
        <w:rPr>
          <w:rStyle w:val="Nfaseforte"/>
          <w:b w:val="false"/>
          <w:bCs w:val="false"/>
          <w:color w:val="000000"/>
        </w:rPr>
        <w:t xml:space="preserve">Podemos observar a diferença tanto da obra de Malevitch em relação à obra de Larionov como comparada à tela futurista </w:t>
      </w:r>
      <w:r>
        <w:rPr>
          <w:rStyle w:val="Nfaseforte"/>
          <w:b w:val="false"/>
          <w:bCs w:val="false"/>
          <w:i/>
          <w:iCs/>
          <w:color w:val="000000"/>
        </w:rPr>
        <w:t>Studio di Luce</w:t>
      </w:r>
      <w:r>
        <w:rPr>
          <w:rStyle w:val="Nfaseforte"/>
          <w:b w:val="false"/>
          <w:bCs w:val="false"/>
          <w:color w:val="000000"/>
        </w:rPr>
        <w:t>, portanto, não é de maneira alguma incorreto dizer que o construtivismo nasceu das influências desses movimentos, mas adquiriu características próprias em um contexto único que era a Rússia pós-revolução de 1917.</w:t>
      </w:r>
    </w:p>
    <w:p>
      <w:pPr>
        <w:pStyle w:val="Normal"/>
        <w:spacing w:lineRule="auto" w:line="360"/>
        <w:ind w:firstLine="708"/>
        <w:jc w:val="both"/>
        <w:rPr/>
      </w:pPr>
      <w:r>
        <w:rPr>
          <w:rStyle w:val="Nfaseforte"/>
          <w:b w:val="false"/>
          <w:bCs w:val="false"/>
          <w:color w:val="000000"/>
        </w:rPr>
        <w:t>Uma boa maneira de definir aproximadamente de forma clara o ideal construtivista é a partir da ideia de que o conhecimento é algo inacabado, não algo determinado e definido. Uma espécie de enunciado geral desse movimento artístico que apresentava o conhecimento como algo dinâmico que se constrói, bem como uma construção material de algo. É um erro atribuir ao construtivismo uma subordinação às figuras geométricas, bem como, associá-lo tão somente a concepções de arquitetura e engenharia. O Construtivismo consiste em fazer aprender, repetir e ensinar o que já esta pronto através da interação do artista com o meio social que o comporta. A aproximação dessas ideias com o conceito de condicionamento ampliado aos comportamentos sociais</w:t>
      </w:r>
      <w:r>
        <w:rPr>
          <w:rStyle w:val="Caracteresdenotaderodap"/>
          <w:rStyle w:val="Ncoradanotaderodap"/>
          <w:color w:val="000000"/>
        </w:rPr>
        <w:footnoteReference w:id="219"/>
      </w:r>
      <w:r>
        <w:rPr>
          <w:rStyle w:val="Nfaseforte"/>
          <w:b w:val="false"/>
          <w:bCs w:val="false"/>
          <w:color w:val="000000"/>
        </w:rPr>
        <w:t xml:space="preserve"> permitiu um olhar sobre o cinema construtivista russo do ponto de vista de uma abordagem dos conceitos envolvidos na relação entre ciência e arte (cinema), tendo o conceito de reflexo como conceito organizador dessas estruturas discursivas (aqui na roupagem da teoria do condicionamento clássico). </w:t>
      </w:r>
    </w:p>
    <w:p>
      <w:pPr>
        <w:pStyle w:val="Corpodotexto"/>
        <w:spacing w:lineRule="auto" w:line="360"/>
        <w:rPr>
          <w:rStyle w:val="Nfaseforte"/>
          <w:rFonts w:ascii="Times New Roman" w:hAnsi="Times New Roman" w:cs="Times New Roman"/>
          <w:b w:val="false"/>
          <w:b w:val="false"/>
          <w:bCs w:val="false"/>
          <w:color w:val="000000"/>
          <w:sz w:val="24"/>
          <w:szCs w:val="24"/>
        </w:rPr>
      </w:pPr>
      <w:r>
        <w:rPr/>
      </w:r>
    </w:p>
    <w:p>
      <w:pPr>
        <w:pStyle w:val="Corpodotexto"/>
        <w:spacing w:lineRule="auto" w:line="360"/>
        <w:rPr>
          <w:rFonts w:ascii="Times New Roman" w:hAnsi="Times New Roman" w:cs="Times New Roman"/>
          <w:b/>
          <w:b/>
          <w:sz w:val="24"/>
          <w:szCs w:val="24"/>
        </w:rPr>
      </w:pPr>
      <w:r>
        <w:rPr>
          <w:rFonts w:cs="Times New Roman" w:ascii="Times New Roman" w:hAnsi="Times New Roman"/>
          <w:b/>
          <w:sz w:val="24"/>
          <w:szCs w:val="24"/>
        </w:rPr>
        <w:t xml:space="preserve">O papel do conceito de condicionamento na composição cinematográfica: O caso do filme </w:t>
      </w:r>
      <w:r>
        <w:rPr>
          <w:rFonts w:cs="Times New Roman" w:ascii="Times New Roman" w:hAnsi="Times New Roman"/>
          <w:b/>
          <w:i/>
          <w:sz w:val="24"/>
          <w:szCs w:val="24"/>
        </w:rPr>
        <w:t>A Greve</w:t>
      </w:r>
    </w:p>
    <w:p>
      <w:pPr>
        <w:pStyle w:val="Corpodotexto"/>
        <w:spacing w:lineRule="auto" w:line="360"/>
        <w:rPr>
          <w:rFonts w:ascii="Times New Roman" w:hAnsi="Times New Roman" w:cs="Times New Roman"/>
          <w:b/>
          <w:b/>
          <w:sz w:val="24"/>
          <w:szCs w:val="24"/>
        </w:rPr>
      </w:pPr>
      <w:r>
        <w:rPr>
          <w:rFonts w:cs="Times New Roman" w:ascii="Times New Roman" w:hAnsi="Times New Roman"/>
          <w:b/>
          <w:sz w:val="24"/>
          <w:szCs w:val="24"/>
        </w:rPr>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tab/>
        <w:t xml:space="preserve">Em linhas gerais, o filme recria uma greve ocorrida em 1912 na Rússia Czarista, o que ocasionou o conflito entre tropas do governo e a população. Apesar de o filme ser baseado em fatos reais, Eisenstein expõe pela primeira vez sua “montagem de atrações” criando um viés na maneira de recontar uma história. O filme apresenta muito das características do cinema de Eisenstein que o consagrariam posteriormente em </w:t>
      </w:r>
      <w:r>
        <w:rPr>
          <w:rFonts w:cs="Times New Roman" w:ascii="Times New Roman" w:hAnsi="Times New Roman"/>
          <w:i/>
          <w:iCs/>
          <w:sz w:val="24"/>
          <w:szCs w:val="24"/>
        </w:rPr>
        <w:t>O Encouraçado Potemkin,</w:t>
      </w:r>
      <w:r>
        <w:rPr>
          <w:rFonts w:cs="Times New Roman" w:ascii="Times New Roman" w:hAnsi="Times New Roman"/>
          <w:iCs/>
          <w:sz w:val="24"/>
          <w:szCs w:val="24"/>
        </w:rPr>
        <w:t xml:space="preserve"> produzido um ano depois</w:t>
      </w:r>
      <w:r>
        <w:rPr>
          <w:rFonts w:cs="Times New Roman" w:ascii="Times New Roman" w:hAnsi="Times New Roman"/>
          <w:sz w:val="24"/>
          <w:szCs w:val="24"/>
        </w:rPr>
        <w:t xml:space="preserve">. </w:t>
      </w:r>
    </w:p>
    <w:p>
      <w:pPr>
        <w:pStyle w:val="Corpodotexto"/>
        <w:spacing w:lineRule="auto" w:line="360" w:before="0" w:after="0"/>
        <w:ind w:firstLine="708"/>
        <w:rPr/>
      </w:pPr>
      <w:r>
        <w:rPr>
          <w:rFonts w:cs="Times New Roman" w:ascii="Times New Roman" w:hAnsi="Times New Roman"/>
          <w:sz w:val="24"/>
          <w:szCs w:val="24"/>
        </w:rPr>
        <w:t>O filme é produzido em seis partes. Minha analise não necessariamente se dividirá em seis etapas, juntando algumas quando necessário.</w:t>
      </w:r>
    </w:p>
    <w:p>
      <w:pPr>
        <w:pStyle w:val="Corpodotexto"/>
        <w:spacing w:lineRule="auto" w:line="360" w:before="0" w:after="0"/>
        <w:rPr/>
      </w:pPr>
      <w:r>
        <w:rPr>
          <w:rFonts w:cs="Times New Roman" w:ascii="Times New Roman" w:hAnsi="Times New Roman"/>
          <w:sz w:val="24"/>
          <w:szCs w:val="24"/>
        </w:rPr>
        <w:t xml:space="preserve"> </w:t>
      </w:r>
      <w:r>
        <w:rPr>
          <w:rFonts w:cs="Times New Roman" w:ascii="Times New Roman" w:hAnsi="Times New Roman"/>
          <w:sz w:val="24"/>
          <w:szCs w:val="24"/>
        </w:rPr>
        <w:tab/>
        <w:t xml:space="preserve">Logo no início aparece uma vista em plano geral da fábrica e em seguida a apresentação do diretor da fábrica de maneira bem estilizada como a figura do capitalista gordo e fanfarrão, mais parecido com um bufão das famosas óperas bufas, o mesmo encontra-se em sua sala, de onde dirige com mão de ferro toda a fábrica. Em seguida temos uma visão geral da fábrica com a câmera em plongée (vista de cima para baixo) e começam a aparecer as primeiras figuras geométricas, tais como o círculo, em indicação ao movimento da fábrica, como se representasse engrenagens de um relógio. </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tab/>
        <w:t xml:space="preserve">Na primeira parte do filme, após a introdução com uso de intertítulos com uma frase de Lenin, podemos ver a preocupação didática de Eisenstein na montagem. Embora seu cinema seja chamado de uma “montagem de atrações”, ou seja, apesar da estética construtivista, não exclui a caraterística artística da obra enquanto uma linguagem de vanguarda cinematográfica. </w:t>
      </w:r>
    </w:p>
    <w:p>
      <w:pPr>
        <w:pStyle w:val="Corpodotexto"/>
        <w:spacing w:lineRule="auto" w:line="360" w:before="0" w:after="0"/>
        <w:rPr/>
      </w:pPr>
      <w:r>
        <w:rPr>
          <w:rFonts w:cs="Times New Roman" w:ascii="Times New Roman" w:hAnsi="Times New Roman"/>
          <w:sz w:val="24"/>
          <w:szCs w:val="24"/>
        </w:rPr>
        <w:tab/>
        <w:t xml:space="preserve">Os trabalhadores encontram-se basicamente três vezes no começo do filme para falarem sobre as condições que lhe são impostas no trabalho, um desses momentos é de grande beleza plástica, o momento em que a câmera esta posicionada em contra-plongée, enquanto nos outros dois encontros os trabalhadores estão em localidades acima do solo; é como se Eisenstein quisesse confirmar as palavras iniciais de Lenin de que a força do movimento revolucionário está na organicidade da união entre os trabalhadores, em nenhum dos três casos a câmera esta de frente para os trabalhadores. </w:t>
      </w:r>
    </w:p>
    <w:p>
      <w:pPr>
        <w:pStyle w:val="Corpodotexto"/>
        <w:spacing w:lineRule="auto" w:line="360" w:before="0" w:after="0"/>
        <w:rPr/>
      </w:pPr>
      <w:r>
        <w:rPr>
          <w:rFonts w:cs="Times New Roman" w:ascii="Times New Roman" w:hAnsi="Times New Roman"/>
          <w:sz w:val="24"/>
          <w:szCs w:val="24"/>
        </w:rPr>
        <w:tab/>
        <w:t>Após a suspeita dos supervisores da fábrica de que os trabalhadores estavam tramando algo, vemos o comando da fábrica entrar em contato com seus superiores e Eisenstein nos mostra que a escala hierárquica acaba em um oficial do governo. São chamados os espiões, que são apresentados de maneira a serem comparados a animais em função de suas características próprias. Vale lembrar que Eisenstein manteve algumas influências de outras escolas cinematográficas, no momento em que o espião conhecido como “A Raposa” é apresentado vemos o recurso da trucagem, criado por George Meliés. O que parecia uma situação de simples encontros em que os funcionários da fábrica reclamavam de sua situação vai se tornando um estado de completa tensão e, de maneira orgânica, os trabalhadores vão se unindo, esta característica do cinema Eisensteiniano se consolida com o filme seguinte de Eisenstein “</w:t>
      </w:r>
      <w:r>
        <w:rPr>
          <w:rFonts w:cs="Times New Roman" w:ascii="Times New Roman" w:hAnsi="Times New Roman"/>
          <w:i/>
          <w:iCs/>
          <w:sz w:val="24"/>
          <w:szCs w:val="24"/>
        </w:rPr>
        <w:t>O Encouraçado Potemkin</w:t>
      </w:r>
      <w:r>
        <w:rPr>
          <w:rFonts w:cs="Times New Roman" w:ascii="Times New Roman" w:hAnsi="Times New Roman"/>
          <w:sz w:val="24"/>
          <w:szCs w:val="24"/>
        </w:rPr>
        <w:t>” de 1925.</w:t>
      </w:r>
    </w:p>
    <w:p>
      <w:pPr>
        <w:pStyle w:val="Corpodotexto"/>
        <w:spacing w:lineRule="auto" w:line="360" w:before="0" w:after="0"/>
        <w:rPr>
          <w:rFonts w:ascii="Times New Roman" w:hAnsi="Times New Roman" w:cs="Times New Roman"/>
          <w:sz w:val="24"/>
          <w:szCs w:val="24"/>
        </w:rPr>
      </w:pPr>
      <w:r>
        <w:rPr>
          <w:rFonts w:cs="Times New Roman" w:ascii="Times New Roman" w:hAnsi="Times New Roman"/>
          <w:sz w:val="24"/>
          <w:szCs w:val="24"/>
        </w:rPr>
        <w:tab/>
        <w:t>As “reuniões” entre os trabalhadores continuam e nos 20 minutos iniciais do filme a atividade revolucionária se consolida através da panfletagem e dos meios de comunicação.</w:t>
        <w:tab/>
        <w:t>Eisenstein faz um plano em que mostra o ferramental básico com que os trabalhadores se organizam e no momento em que ocorre o roubo do micrômetro (equipamento de medição) ocorre uma inflexão na narrativa. Nos filmes de Eisenstein as classes operárias são frequentemente identificadas através das ferramentas e objetos aos quais tem acesso. A questão da técnica é fundamental como identificação e se relaciona diretamente a juízos de valor entre as personagens.</w:t>
      </w:r>
    </w:p>
    <w:p>
      <w:pPr>
        <w:pStyle w:val="Corpodotexto"/>
        <w:spacing w:lineRule="auto" w:line="360" w:before="0" w:after="0"/>
        <w:rPr/>
      </w:pPr>
      <w:r>
        <w:rPr>
          <w:rFonts w:cs="Times New Roman" w:ascii="Times New Roman" w:hAnsi="Times New Roman"/>
          <w:sz w:val="24"/>
          <w:szCs w:val="24"/>
        </w:rPr>
        <w:tab/>
        <w:t>Vemos nos intertítulos o valor do micrômetro em relação ao salário do trabalhador, representa três semanas de trabalho, dessa forma ficamos sabendo que o valor de um micrômetro é relativamente barato, o que nos deixa a opção de que os trabalhadores é que tinham salários muito baixos. Após a acusação de roubo por parte do gerente, o funcionário entra em desespero e comete suicídio.</w:t>
      </w:r>
    </w:p>
    <w:p>
      <w:pPr>
        <w:pStyle w:val="Corpodotexto"/>
        <w:spacing w:lineRule="auto" w:line="360" w:before="0" w:after="0"/>
        <w:rPr/>
      </w:pPr>
      <w:r>
        <w:rPr>
          <w:rFonts w:cs="Times New Roman" w:ascii="Times New Roman" w:hAnsi="Times New Roman"/>
          <w:sz w:val="24"/>
          <w:szCs w:val="24"/>
        </w:rPr>
        <w:tab/>
        <w:t xml:space="preserve">No momento do suicídio do funcionário (Yakov Strongen), não há nenhum som,  temos aqui o leitmotiv (motivo condutor ou motivo de ligação) se formando, que fará com que os funcionários se rebelem, dando início a greve. Podemos perceber que apesar do funcionário suicida ser identificado pelo nome, ele acaba representando na trama apenas a figura de um mártir, não temos a caracterização individual dos personagens, mas sim o coletivo. O que Eisenstein quer ressaltar é o organicismo do movimento e não a contribuição individual dos trabalhadores, ou seja, a revolução somente será realidade quando houver uma consciência revolucionária coletiva. Partimos aqui de uma situação particular (microcosmo) para extrapolarmos o ideal revolucionário em uma situação macroscópica. Importante que a composição da narrativa (toda ela) pressupõe a legitimidade do conceito de condicionamento para os eventos sociais, mas a mesma é inserida no conteúdo (argumento) do filme como uma condição natural da organicidade das massas. Há, dessa forma, duas instâncias em que o conceito de condicionamento opera no filme: (1) na formação da consciência revolucionária do espectador ao assistir o filme e (2) na legitimidade do processo de organização coletiva que serve de argumento ao filme. </w:t>
      </w:r>
    </w:p>
    <w:p>
      <w:pPr>
        <w:pStyle w:val="Corpodotexto"/>
        <w:spacing w:lineRule="auto" w:line="360" w:before="0" w:after="0"/>
        <w:rPr/>
      </w:pPr>
      <w:r>
        <w:rPr>
          <w:rFonts w:cs="Times New Roman" w:ascii="Times New Roman" w:hAnsi="Times New Roman"/>
          <w:sz w:val="24"/>
          <w:szCs w:val="24"/>
        </w:rPr>
        <w:tab/>
        <w:t xml:space="preserve">A multidão quando se encontra nas ruas não mais é composta apenas por funcionários da fábrica, já temos a adesão de mulheres e crianças, não se configura mais em um movimento de grevistas, mas encontra-se a população contra a repressão do governo. A população prende o gerente e o supervisor e arremessa-os de uma ladeira em uma poça de lama, tem-se a ridicularização de ambos no momento em que mesmo na lama o gerente mostra a preocupação em se pentear, numa clara alusão ao estado superficial e fútil em que se mostram os que estão no poder. </w:t>
      </w:r>
    </w:p>
    <w:p>
      <w:pPr>
        <w:pStyle w:val="Corpodotexto"/>
        <w:spacing w:lineRule="auto" w:line="360" w:before="0" w:after="0"/>
        <w:ind w:firstLine="708"/>
        <w:rPr/>
      </w:pPr>
      <w:r>
        <w:rPr>
          <w:rFonts w:cs="Times New Roman" w:ascii="Times New Roman" w:hAnsi="Times New Roman"/>
          <w:sz w:val="24"/>
          <w:szCs w:val="24"/>
        </w:rPr>
        <w:t xml:space="preserve">Inicia-se a terceira parte novamente com o uso do efeito Kuleshov, aparecem as imagens de vários animais em harmonia e a imagem dos trabalhadores com suas famílias, mostrando o estado de paz e tranquilidade em que se encontram. Eisenstein apresenta de maneira bem didática todo o processo revolucionário, conforme dito anteriormente, destituído de sua forma estética, o coloca como material de propaganda politica de um Estado autoritário. </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tab/>
        <w:t>Ainda na terceira parte, os trabalhadores se reúnem para fazer suas exigências, enquanto isso, os responsáveis pela fábrica se reúnem para discutir o problema. Temos aqui outra cena intrigante, em que há justaposição de imagens em que um dos diretores espreme um limão e afirma que para ter o suco deve-se espremer bem, justapostas a essas imagens é mostrada a população sendo reprimida pelas forças do governo.</w:t>
      </w:r>
    </w:p>
    <w:p>
      <w:pPr>
        <w:pStyle w:val="Corpodotexto"/>
        <w:spacing w:lineRule="auto" w:line="360" w:before="0" w:after="0"/>
        <w:rPr/>
      </w:pPr>
      <w:r>
        <w:rPr>
          <w:rFonts w:cs="Times New Roman" w:ascii="Times New Roman" w:hAnsi="Times New Roman"/>
          <w:sz w:val="24"/>
          <w:szCs w:val="24"/>
        </w:rPr>
        <w:tab/>
        <w:t>A situação dos trabalhadores piora. A fome toma conta das famílias. A revolução não deve parar, a greve apenas lançou o germe de algo maior. Apresenta-se a ideia de uma reformulação na estrutura familiar, a sequência em que a mulher entrega suas joias ao homem não representa apenas uma entrega pontual, mas sim, junto a cena em que vemos a criança satisfazendo sua fome comendo a bolsa dada pelo pai, mostra que tanto a mulher como os filhos devem se entregar ao sacrifício da revolução proletária.</w:t>
      </w:r>
    </w:p>
    <w:p>
      <w:pPr>
        <w:pStyle w:val="Corpodotexto"/>
        <w:spacing w:lineRule="auto" w:line="360" w:before="0" w:after="0"/>
        <w:rPr/>
      </w:pPr>
      <w:r>
        <w:rPr>
          <w:rFonts w:cs="Times New Roman" w:ascii="Times New Roman" w:hAnsi="Times New Roman"/>
          <w:sz w:val="24"/>
          <w:szCs w:val="24"/>
        </w:rPr>
        <w:tab/>
        <w:t>As investigações prosseguem para descobrir os agitadores e principais lideres do movimento. Segue-se a recusa dos industriais em satisfazer as exigências dos trabalhadores, o que confirma a ideia de que Eisenstein não quis retratar um caso específico de greve e sim justificar que naquele momento a revolução se fazia mais do que necessária e imprescindível. Observa-se também na quarta parte do filme uma clara demonstração de uma herança expressionista. O momento em que, à noite, os espiões se encontram com seu superior para relatar as buscas. Vemos cada um dos espiões saírem das sombras, assim como os vilões dos filmes expressionistas, Eisenstein mostra que a atividade do governo é sempre às sombras, tramando contra a população nas “trevas”.</w:t>
      </w:r>
    </w:p>
    <w:p>
      <w:pPr>
        <w:pStyle w:val="Corpodotexto"/>
        <w:spacing w:lineRule="auto" w:line="360" w:before="0" w:after="0"/>
        <w:ind w:firstLine="708"/>
        <w:rPr>
          <w:rFonts w:ascii="Times New Roman" w:hAnsi="Times New Roman" w:cs="Times New Roman"/>
          <w:sz w:val="24"/>
          <w:szCs w:val="24"/>
        </w:rPr>
      </w:pPr>
      <w:r>
        <w:rPr>
          <w:rFonts w:cs="Times New Roman" w:ascii="Times New Roman" w:hAnsi="Times New Roman"/>
          <w:sz w:val="24"/>
          <w:szCs w:val="24"/>
        </w:rPr>
        <w:t xml:space="preserve">Há uma sequência no final da quarta parte em que, enquanto a população passa fome, vemos duas crianças dançando em uma mesa farta de comida e bebida. Retrato mais do que fiel à situação da maioria da população russa do início do século XX. Por intermédio das informações coletadas pelos espiões o governo prepara a retaliação dos grevistas. Há nesse momento a necessidade de expor o governo de maneira autoritária e covarde, mostrando que mesmo estando aquém do poderio militar do governo, a população lutará até o fim.   </w:t>
      </w:r>
    </w:p>
    <w:p>
      <w:pPr>
        <w:pStyle w:val="Corpodotexto"/>
        <w:spacing w:lineRule="auto" w:line="360" w:before="0" w:after="0"/>
        <w:rPr/>
      </w:pPr>
      <w:r>
        <w:rPr>
          <w:rFonts w:cs="Times New Roman" w:ascii="Times New Roman" w:hAnsi="Times New Roman"/>
          <w:sz w:val="24"/>
          <w:szCs w:val="24"/>
        </w:rPr>
        <w:tab/>
        <w:t xml:space="preserve">Consideramos a sequência do ataque à população através do uso de mangueiras uma das melhores cenas do filme. Eisenstein não mostra em nenhum momento, na verdade uma única vez e muito rapidamente, o rosto dos soldados. São anônimos, identificáveis apenas por suas botas e uniformes, representam a opressão do governo Czarista contra a população, numa atitude de covardia e traição ao seu povo. Eisenstein irá resgatar isso muito bem no </w:t>
      </w:r>
      <w:r>
        <w:rPr>
          <w:rFonts w:cs="Times New Roman" w:ascii="Times New Roman" w:hAnsi="Times New Roman"/>
          <w:i/>
          <w:sz w:val="24"/>
          <w:szCs w:val="24"/>
        </w:rPr>
        <w:t>O Encouraçado Potemkin</w:t>
      </w:r>
      <w:r>
        <w:rPr>
          <w:rFonts w:cs="Times New Roman" w:ascii="Times New Roman" w:hAnsi="Times New Roman"/>
          <w:sz w:val="24"/>
          <w:szCs w:val="24"/>
        </w:rPr>
        <w:t xml:space="preserve"> na famosa cena da escadaria de Odessa.    </w:t>
        <w:tab/>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tab/>
        <w:t xml:space="preserve">A sequência do ataque com as mangueiras nos remete à famosa tela de Francisco Goya </w:t>
      </w:r>
      <w:r>
        <w:rPr>
          <w:rFonts w:cs="Times New Roman" w:ascii="Times New Roman" w:hAnsi="Times New Roman"/>
          <w:i/>
          <w:sz w:val="24"/>
          <w:szCs w:val="24"/>
        </w:rPr>
        <w:t>O três de Maio de 1808 em Madrid: Os fuzilamentos na montanha do Príncipe Pio</w:t>
      </w:r>
      <w:r>
        <w:rPr>
          <w:rFonts w:cs="Times New Roman" w:ascii="Times New Roman" w:hAnsi="Times New Roman"/>
          <w:sz w:val="24"/>
          <w:szCs w:val="24"/>
        </w:rPr>
        <w:t xml:space="preserve">; perceba que em ambas as imagens, em seus respectivos contextos, não há rostos dos opressores em clara alusão ao Estado como responsável. </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drawing>
          <wp:inline distT="0" distB="0" distL="0" distR="0">
            <wp:extent cx="2024380" cy="1362710"/>
            <wp:effectExtent l="0" t="0" r="0" b="0"/>
            <wp:docPr id="60"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a30" descr=""/>
                    <pic:cNvPicPr>
                      <a:picLocks noChangeAspect="1" noChangeArrowheads="1"/>
                    </pic:cNvPicPr>
                  </pic:nvPicPr>
                  <pic:blipFill>
                    <a:blip r:embed="rId36"/>
                    <a:stretch>
                      <a:fillRect/>
                    </a:stretch>
                  </pic:blipFill>
                  <pic:spPr bwMode="auto">
                    <a:xfrm>
                      <a:off x="0" y="0"/>
                      <a:ext cx="2024380" cy="1362710"/>
                    </a:xfrm>
                    <a:prstGeom prst="rect">
                      <a:avLst/>
                    </a:prstGeom>
                    <a:ln w="38100">
                      <a:solidFill>
                        <a:srgbClr val="000000"/>
                      </a:solidFill>
                    </a:ln>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1857375" cy="1412240"/>
            <wp:effectExtent l="0" t="0" r="0" b="0"/>
            <wp:docPr id="61"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a31" descr=""/>
                    <pic:cNvPicPr>
                      <a:picLocks noChangeAspect="1" noChangeArrowheads="1"/>
                    </pic:cNvPicPr>
                  </pic:nvPicPr>
                  <pic:blipFill>
                    <a:blip r:embed="rId37"/>
                    <a:stretch>
                      <a:fillRect/>
                    </a:stretch>
                  </pic:blipFill>
                  <pic:spPr bwMode="auto">
                    <a:xfrm>
                      <a:off x="0" y="0"/>
                      <a:ext cx="1857375" cy="1412240"/>
                    </a:xfrm>
                    <a:prstGeom prst="rect">
                      <a:avLst/>
                    </a:prstGeom>
                    <a:ln w="38100">
                      <a:solidFill>
                        <a:srgbClr val="000000"/>
                      </a:solidFill>
                    </a:ln>
                  </pic:spPr>
                </pic:pic>
              </a:graphicData>
            </a:graphic>
          </wp:inline>
        </w:drawing>
      </w:r>
    </w:p>
    <w:p>
      <w:pPr>
        <w:pStyle w:val="Corpodotexto"/>
        <w:spacing w:lineRule="auto" w:line="360"/>
        <w:rPr/>
      </w:pPr>
      <w:r>
        <w:rPr>
          <w:rFonts w:cs="Times New Roman" w:ascii="Times New Roman" w:hAnsi="Times New Roman"/>
          <w:sz w:val="24"/>
          <w:szCs w:val="24"/>
        </w:rPr>
        <w:t xml:space="preserve">         </w:t>
      </w:r>
      <w:r>
        <w:rPr>
          <w:rFonts w:cs="Times New Roman" w:ascii="Times New Roman" w:hAnsi="Times New Roman"/>
          <w:sz w:val="24"/>
          <w:szCs w:val="24"/>
        </w:rPr>
        <w:t xml:space="preserve">Cena de </w:t>
      </w:r>
      <w:r>
        <w:rPr>
          <w:rFonts w:cs="Times New Roman" w:ascii="Times New Roman" w:hAnsi="Times New Roman"/>
          <w:i/>
          <w:sz w:val="24"/>
          <w:szCs w:val="24"/>
        </w:rPr>
        <w:t>A Greve</w:t>
      </w:r>
      <w:r>
        <w:rPr>
          <w:rFonts w:cs="Times New Roman" w:ascii="Times New Roman" w:hAnsi="Times New Roman"/>
          <w:sz w:val="24"/>
          <w:szCs w:val="24"/>
        </w:rPr>
        <w:t xml:space="preserve">                           Os fuzilamentos na montanha do Príncipe Pio</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t xml:space="preserve">     </w:t>
      </w:r>
    </w:p>
    <w:p>
      <w:pPr>
        <w:pStyle w:val="Corpodotexto"/>
        <w:spacing w:lineRule="auto" w:line="360"/>
        <w:rPr/>
      </w:pPr>
      <w:r>
        <w:rPr>
          <w:rFonts w:cs="Times New Roman" w:ascii="Times New Roman" w:hAnsi="Times New Roman"/>
          <w:sz w:val="24"/>
          <w:szCs w:val="24"/>
        </w:rPr>
        <w:tab/>
        <w:t xml:space="preserve">Na sexta e última parte do filme o governo envia mais tropas ao local temendo maiores agitações e o que vemos é um verdadeiro massacre, que Eisenstein conduz com maestria e total domínio das técnicas de montagem, assim como, posteriormente vemos o uso da montagem em seu ápice na cena da escadaria de Odessa no filme </w:t>
      </w:r>
      <w:r>
        <w:rPr>
          <w:rFonts w:cs="Times New Roman" w:ascii="Times New Roman" w:hAnsi="Times New Roman"/>
          <w:i/>
          <w:sz w:val="24"/>
          <w:szCs w:val="24"/>
        </w:rPr>
        <w:t>O Encouraçado Potemkin</w:t>
      </w:r>
      <w:r>
        <w:rPr>
          <w:rFonts w:cs="Times New Roman" w:ascii="Times New Roman" w:hAnsi="Times New Roman"/>
          <w:sz w:val="24"/>
          <w:szCs w:val="24"/>
        </w:rPr>
        <w:t xml:space="preserve">. </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tab/>
        <w:t>No ataque ao prédio onde estão os trabalhadores ocorre uma das cenas mais importantes da segunda parte do filme. Enquanto as tropas agem com total selvageria contra as pessoas, um soldado arremessa, sem nenhum motivo aparente, uma criança do terraço. Com a morte da criança temos a justaposição de imagens dos principais lideres do governo e da fábrica rindo. Essa cena representa a traição máxima ao povo pelo governo Czarista, a criança cruelmente assassinada representa não só a população oprimida como as gerações futuras. Nesse momento temos também a cena em que o tinteiro cai sobre o mapa da Rússia e a tinta começa a escorrer como se fosse um mar de sangue a banhar todo o país.</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jc w:val="center"/>
        <w:rPr>
          <w:rFonts w:ascii="Times New Roman" w:hAnsi="Times New Roman" w:cs="Times New Roman"/>
          <w:sz w:val="24"/>
          <w:szCs w:val="24"/>
        </w:rPr>
      </w:pPr>
      <w:r>
        <w:rPr>
          <w:rFonts w:cs="Times New Roman" w:ascii="Times New Roman" w:hAnsi="Times New Roman"/>
          <w:sz w:val="24"/>
          <w:szCs w:val="24"/>
        </w:rPr>
        <w:drawing>
          <wp:inline distT="0" distB="0" distL="0" distR="0">
            <wp:extent cx="2616835" cy="1692910"/>
            <wp:effectExtent l="0" t="0" r="0" b="0"/>
            <wp:docPr id="62" name="Figura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a32" descr=""/>
                    <pic:cNvPicPr>
                      <a:picLocks noChangeAspect="1" noChangeArrowheads="1"/>
                    </pic:cNvPicPr>
                  </pic:nvPicPr>
                  <pic:blipFill>
                    <a:blip r:embed="rId38"/>
                    <a:stretch>
                      <a:fillRect/>
                    </a:stretch>
                  </pic:blipFill>
                  <pic:spPr bwMode="auto">
                    <a:xfrm>
                      <a:off x="0" y="0"/>
                      <a:ext cx="2616835" cy="1692910"/>
                    </a:xfrm>
                    <a:prstGeom prst="rect">
                      <a:avLst/>
                    </a:prstGeom>
                    <a:ln w="38100">
                      <a:solidFill>
                        <a:srgbClr val="000000"/>
                      </a:solidFill>
                    </a:ln>
                  </pic:spPr>
                </pic:pic>
              </a:graphicData>
            </a:graphic>
          </wp:inline>
        </w:drawing>
      </w:r>
    </w:p>
    <w:p>
      <w:pPr>
        <w:pStyle w:val="Corpodotexto"/>
        <w:spacing w:lineRule="auto" w:line="360"/>
        <w:rPr/>
      </w:pPr>
      <w:r>
        <w:rPr>
          <w:rFonts w:cs="Times New Roman" w:ascii="Times New Roman" w:hAnsi="Times New Roman"/>
          <w:sz w:val="24"/>
          <w:szCs w:val="24"/>
        </w:rPr>
        <w:t xml:space="preserve">                                        </w:t>
      </w:r>
      <w:r>
        <w:rPr>
          <w:rFonts w:cs="Times New Roman" w:ascii="Times New Roman" w:hAnsi="Times New Roman"/>
          <w:sz w:val="24"/>
          <w:szCs w:val="24"/>
        </w:rPr>
        <w:t xml:space="preserve">A criança sendo arremessada      </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drawing>
          <wp:inline distT="0" distB="0" distL="0" distR="0">
            <wp:extent cx="2120265" cy="1358900"/>
            <wp:effectExtent l="0" t="0" r="0" b="0"/>
            <wp:docPr id="63"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33" descr=""/>
                    <pic:cNvPicPr>
                      <a:picLocks noChangeAspect="1" noChangeArrowheads="1"/>
                    </pic:cNvPicPr>
                  </pic:nvPicPr>
                  <pic:blipFill>
                    <a:blip r:embed="rId39"/>
                    <a:stretch>
                      <a:fillRect/>
                    </a:stretch>
                  </pic:blipFill>
                  <pic:spPr bwMode="auto">
                    <a:xfrm>
                      <a:off x="0" y="0"/>
                      <a:ext cx="2120265" cy="1358900"/>
                    </a:xfrm>
                    <a:prstGeom prst="rect">
                      <a:avLst/>
                    </a:prstGeom>
                    <a:ln w="38100">
                      <a:solidFill>
                        <a:srgbClr val="000000"/>
                      </a:solidFill>
                    </a:ln>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drawing>
          <wp:inline distT="0" distB="0" distL="0" distR="0">
            <wp:extent cx="2217420" cy="1341120"/>
            <wp:effectExtent l="0" t="0" r="0" b="0"/>
            <wp:docPr id="64" name="Figura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a34" descr=""/>
                    <pic:cNvPicPr>
                      <a:picLocks noChangeAspect="1" noChangeArrowheads="1"/>
                    </pic:cNvPicPr>
                  </pic:nvPicPr>
                  <pic:blipFill>
                    <a:blip r:embed="rId40"/>
                    <a:stretch>
                      <a:fillRect/>
                    </a:stretch>
                  </pic:blipFill>
                  <pic:spPr bwMode="auto">
                    <a:xfrm>
                      <a:off x="0" y="0"/>
                      <a:ext cx="2217420" cy="1341120"/>
                    </a:xfrm>
                    <a:prstGeom prst="rect">
                      <a:avLst/>
                    </a:prstGeom>
                    <a:ln w="38100">
                      <a:solidFill>
                        <a:srgbClr val="000000"/>
                      </a:solidFill>
                    </a:ln>
                  </pic:spPr>
                </pic:pic>
              </a:graphicData>
            </a:graphic>
          </wp:inline>
        </w:drawing>
      </w:r>
    </w:p>
    <w:p>
      <w:pPr>
        <w:pStyle w:val="Corpodotexto"/>
        <w:spacing w:lineRule="auto" w:line="360"/>
        <w:rPr/>
      </w:pPr>
      <w:r>
        <w:rPr>
          <w:rFonts w:cs="Times New Roman" w:ascii="Times New Roman" w:hAnsi="Times New Roman"/>
          <w:sz w:val="24"/>
          <w:szCs w:val="24"/>
        </w:rPr>
        <w:t xml:space="preserve">                                       </w:t>
      </w:r>
      <w:r>
        <w:rPr>
          <w:rFonts w:cs="Times New Roman" w:ascii="Times New Roman" w:hAnsi="Times New Roman"/>
          <w:sz w:val="24"/>
          <w:szCs w:val="24"/>
        </w:rPr>
        <w:t>Tinta escorrendo sobre o mapa</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r>
    </w:p>
    <w:p>
      <w:pPr>
        <w:pStyle w:val="Corpodotexto"/>
        <w:spacing w:lineRule="auto" w:line="360"/>
        <w:ind w:firstLine="708"/>
        <w:rPr/>
      </w:pPr>
      <w:r>
        <w:rPr>
          <w:rFonts w:cs="Times New Roman" w:ascii="Times New Roman" w:hAnsi="Times New Roman"/>
          <w:sz w:val="24"/>
          <w:szCs w:val="24"/>
        </w:rPr>
        <w:t xml:space="preserve">A criança acaba assumindo também o papel de mártir da revolução e o episódio deve assumir um papel de destaque no ideário revolucionário. Embora Eisenstein seja um cineasta autoral, vemos em seu primeiro filme que o construtivismo russo da década de 1920 era antes de tudo, um cinema político que tinha como principal meta interagir com as condições sociais em que o país se encontrava. A carga ideológica do cinema de Eisenstein assume proporções maiores em seus filmes seguintes, mas não sendo mais condicionante que seu primeiro filme. O filme lançou as bases para sua “montagem de atrações”. O conceito de condicionamento assumiu, nesse caso examinado, papel central na maneira como foi concebido o cinema pelos primeiros cineastas soviéticos. Dada a carga ideológica que esse cinema obteve em suas bases, constituiu caso único na história do cinema. O conceito de condicionamento, transposto para o cinema por Kulechov e posteriormente por outros cineastas, representou um exemplo de apropriação e importação de um conceito de ampla envergadura (ver ensaio sobre o conceito de reflexo) na história da ciência e de importância impar na história da Fisiologia.    </w:t>
      </w:r>
    </w:p>
    <w:p>
      <w:pPr>
        <w:pStyle w:val="Corpodotexto"/>
        <w:spacing w:lineRule="auto" w:line="360"/>
        <w:rPr>
          <w:rFonts w:ascii="Times New Roman" w:hAnsi="Times New Roman" w:cs="Times New Roman"/>
          <w:sz w:val="24"/>
          <w:szCs w:val="24"/>
        </w:rPr>
      </w:pPr>
      <w:r>
        <w:rPr>
          <w:rFonts w:cs="Times New Roman" w:ascii="Times New Roman" w:hAnsi="Times New Roman"/>
          <w:sz w:val="24"/>
          <w:szCs w:val="24"/>
        </w:rPr>
      </w:r>
    </w:p>
    <w:p>
      <w:pPr>
        <w:pStyle w:val="Corpodetexto21"/>
        <w:spacing w:lineRule="auto" w:line="360"/>
        <w:rPr>
          <w:rFonts w:ascii="Times New Roman" w:hAnsi="Times New Roman" w:cs="Times New Roman"/>
          <w:b/>
          <w:b/>
          <w:sz w:val="24"/>
          <w:szCs w:val="24"/>
        </w:rPr>
      </w:pPr>
      <w:r>
        <w:rPr>
          <w:rFonts w:cs="Times New Roman"/>
          <w:b/>
          <w:sz w:val="24"/>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Corpodetexto21"/>
        <w:spacing w:lineRule="auto" w:line="360"/>
        <w:rPr>
          <w:b/>
          <w:b/>
          <w:szCs w:val="24"/>
        </w:rPr>
      </w:pPr>
      <w:r>
        <w:rPr>
          <w:b/>
          <w:szCs w:val="24"/>
        </w:rPr>
      </w:r>
    </w:p>
    <w:p>
      <w:pPr>
        <w:pStyle w:val="Ttulo2"/>
        <w:spacing w:lineRule="auto" w:line="360"/>
        <w:rPr>
          <w:rFonts w:ascii="Times New Roman" w:hAnsi="Times New Roman" w:cs="Times New Roman"/>
          <w:i w:val="false"/>
          <w:i w:val="false"/>
          <w:sz w:val="24"/>
          <w:szCs w:val="24"/>
        </w:rPr>
      </w:pPr>
      <w:r>
        <w:rPr>
          <w:rFonts w:cs="Times New Roman" w:ascii="Times New Roman" w:hAnsi="Times New Roman"/>
          <w:i w:val="false"/>
          <w:sz w:val="24"/>
          <w:szCs w:val="24"/>
        </w:rPr>
        <w:t>Bibliografia</w:t>
      </w:r>
    </w:p>
    <w:p>
      <w:pPr>
        <w:pStyle w:val="Normal"/>
        <w:spacing w:lineRule="auto" w:line="360"/>
        <w:rPr>
          <w:rFonts w:ascii="Times New Roman" w:hAnsi="Times New Roman" w:cs="Times New Roman"/>
          <w:i/>
          <w:i/>
          <w:sz w:val="24"/>
          <w:szCs w:val="24"/>
        </w:rPr>
      </w:pPr>
      <w:r>
        <w:rPr>
          <w:rFonts w:cs="Times New Roman"/>
          <w:i/>
          <w:sz w:val="24"/>
          <w:szCs w:val="24"/>
        </w:rPr>
      </w:r>
    </w:p>
    <w:p>
      <w:pPr>
        <w:pStyle w:val="Normal"/>
        <w:spacing w:lineRule="auto" w:line="360"/>
        <w:jc w:val="both"/>
        <w:rPr/>
      </w:pPr>
      <w:r>
        <w:rPr>
          <w:rFonts w:eastAsia="Calibri"/>
        </w:rPr>
        <w:t xml:space="preserve">ALLEN, D. L. </w:t>
      </w:r>
      <w:r>
        <w:rPr>
          <w:rFonts w:eastAsia="Calibri"/>
          <w:b/>
          <w:i/>
        </w:rPr>
        <w:t>No mundo da ficção científica</w:t>
      </w:r>
      <w:r>
        <w:rPr>
          <w:rFonts w:eastAsia="Calibri"/>
        </w:rPr>
        <w:t>. São Paulo: Summus, 1974.</w:t>
      </w:r>
    </w:p>
    <w:p>
      <w:pPr>
        <w:pStyle w:val="Normal"/>
        <w:spacing w:lineRule="auto" w:line="360"/>
        <w:jc w:val="both"/>
        <w:rPr/>
      </w:pPr>
      <w:r>
        <w:rPr/>
        <w:t xml:space="preserve">ALMEIDA, M. J. </w:t>
      </w:r>
      <w:r>
        <w:rPr>
          <w:b/>
          <w:i/>
        </w:rPr>
        <w:t>Imagens e sons: A nova cultura oral</w:t>
      </w:r>
      <w:r>
        <w:rPr/>
        <w:t xml:space="preserve">. São Paulo: Cortez, 2004.  </w:t>
      </w:r>
    </w:p>
    <w:p>
      <w:pPr>
        <w:pStyle w:val="Normal"/>
        <w:spacing w:lineRule="auto" w:line="360"/>
        <w:jc w:val="both"/>
        <w:rPr/>
      </w:pPr>
      <w:r>
        <w:rPr/>
        <w:t xml:space="preserve">AMARAL, A. A. </w:t>
      </w:r>
      <w:r>
        <w:rPr>
          <w:b/>
          <w:i/>
        </w:rPr>
        <w:t>O dilema da desfunção da arte</w:t>
      </w:r>
      <w:r>
        <w:rPr/>
        <w:t xml:space="preserve">. In: </w:t>
      </w:r>
      <w:r>
        <w:rPr>
          <w:b/>
          <w:i/>
        </w:rPr>
        <w:t>Arte para que?</w:t>
      </w:r>
      <w:r>
        <w:rPr/>
        <w:t xml:space="preserve"> São Paulo: Studio </w:t>
        <w:tab/>
        <w:t>Nobel, 2003. pp. 03-29.</w:t>
      </w:r>
    </w:p>
    <w:p>
      <w:pPr>
        <w:pStyle w:val="Normal"/>
        <w:spacing w:lineRule="auto" w:line="360"/>
        <w:jc w:val="both"/>
        <w:rPr>
          <w:b/>
          <w:b/>
          <w:bCs/>
        </w:rPr>
      </w:pPr>
      <w:r>
        <w:rPr>
          <w:bCs/>
        </w:rPr>
        <w:t xml:space="preserve">ANDREW, D. J. </w:t>
      </w:r>
      <w:r>
        <w:rPr>
          <w:b/>
          <w:i/>
          <w:iCs/>
        </w:rPr>
        <w:t>As principais teorias do cinema: uma introdução</w:t>
      </w:r>
      <w:r>
        <w:rPr>
          <w:bCs/>
        </w:rPr>
        <w:t xml:space="preserve">. Rio de Janeiro: </w:t>
        <w:tab/>
        <w:t>Jorge Zahar, 2002.</w:t>
      </w:r>
    </w:p>
    <w:p>
      <w:pPr>
        <w:pStyle w:val="Normal"/>
        <w:spacing w:lineRule="auto" w:line="360"/>
        <w:jc w:val="both"/>
        <w:rPr/>
      </w:pPr>
      <w:r>
        <w:rPr>
          <w:caps/>
        </w:rPr>
        <w:t>Armus</w:t>
      </w:r>
      <w:r>
        <w:rPr>
          <w:lang w:val="es-ES_tradnl"/>
        </w:rPr>
        <w:t xml:space="preserve">, D. </w:t>
      </w:r>
      <w:r>
        <w:rPr>
          <w:b/>
          <w:i/>
          <w:lang w:val="es-ES_tradnl"/>
        </w:rPr>
        <w:t>La ciudad Higiénica entre Europa y Latinoamérica</w:t>
      </w:r>
      <w:r>
        <w:rPr>
          <w:lang w:val="es-ES_tradnl"/>
        </w:rPr>
        <w:t xml:space="preserve">. In: Lafuente et al. </w:t>
        <w:tab/>
      </w:r>
      <w:r>
        <w:rPr>
          <w:b/>
          <w:i/>
          <w:lang w:val="es-ES_tradnl"/>
        </w:rPr>
        <w:t>Mundialización de la ciência y cultura nacional</w:t>
      </w:r>
      <w:r>
        <w:rPr>
          <w:lang w:val="es-ES_tradnl"/>
        </w:rPr>
        <w:t xml:space="preserve">. </w:t>
      </w:r>
      <w:r>
        <w:rPr/>
        <w:t xml:space="preserve">Universidad Autônoma de </w:t>
        <w:tab/>
        <w:t xml:space="preserve">Madrid: Doce Calles, 1998. (pp. 587-596).  </w:t>
      </w:r>
    </w:p>
    <w:p>
      <w:pPr>
        <w:pStyle w:val="Normal"/>
        <w:spacing w:lineRule="auto" w:line="360"/>
        <w:jc w:val="both"/>
        <w:rPr/>
      </w:pPr>
      <w:r>
        <w:rPr>
          <w:rFonts w:eastAsia="Calibri"/>
        </w:rPr>
        <w:t xml:space="preserve">ASIMOV, Isaac. </w:t>
      </w:r>
      <w:r>
        <w:rPr>
          <w:rFonts w:eastAsia="Calibri"/>
          <w:b/>
          <w:i/>
        </w:rPr>
        <w:t>No mundo da ficção científica</w:t>
      </w:r>
      <w:r>
        <w:rPr>
          <w:rFonts w:eastAsia="Calibri"/>
        </w:rPr>
        <w:t>. São Paulo: Francisco Alves, 1984.</w:t>
      </w:r>
    </w:p>
    <w:p>
      <w:pPr>
        <w:pStyle w:val="Normal"/>
        <w:spacing w:lineRule="auto" w:line="360"/>
        <w:jc w:val="both"/>
        <w:rPr/>
      </w:pPr>
      <w:r>
        <w:rPr>
          <w:rFonts w:eastAsia="Calibri"/>
          <w:lang w:val="en-US"/>
        </w:rPr>
        <w:t xml:space="preserve">ASIMOV, Isaac et al (ed.). </w:t>
      </w:r>
      <w:r>
        <w:rPr>
          <w:rFonts w:eastAsia="Calibri"/>
          <w:b/>
          <w:i/>
        </w:rPr>
        <w:t>Máquinas que pensam</w:t>
      </w:r>
      <w:r>
        <w:rPr>
          <w:rFonts w:eastAsia="Calibri"/>
        </w:rPr>
        <w:t>. Porto Alegre: L&amp;PM, 1983.</w:t>
      </w:r>
    </w:p>
    <w:p>
      <w:pPr>
        <w:pStyle w:val="Normal"/>
        <w:spacing w:lineRule="auto" w:line="360"/>
        <w:jc w:val="both"/>
        <w:rPr/>
      </w:pPr>
      <w:r>
        <w:rPr/>
        <w:t xml:space="preserve">AUMONT, J. </w:t>
      </w:r>
      <w:r>
        <w:rPr>
          <w:b/>
          <w:i/>
        </w:rPr>
        <w:t>A imagem</w:t>
      </w:r>
      <w:r>
        <w:rPr/>
        <w:t xml:space="preserve">. Campinas, SP: Papirus, 1993. </w:t>
      </w:r>
    </w:p>
    <w:p>
      <w:pPr>
        <w:pStyle w:val="Normal"/>
        <w:spacing w:lineRule="auto" w:line="360"/>
        <w:jc w:val="both"/>
        <w:rPr/>
      </w:pPr>
      <w:r>
        <w:rPr/>
        <w:t xml:space="preserve">QUILICI, C. S. </w:t>
      </w:r>
      <w:r>
        <w:rPr>
          <w:b/>
          <w:i/>
        </w:rPr>
        <w:t>Antonin Artaud: teatro e ritual</w:t>
      </w:r>
      <w:r>
        <w:rPr>
          <w:b/>
        </w:rPr>
        <w:t xml:space="preserve">. </w:t>
      </w:r>
      <w:r>
        <w:rPr/>
        <w:t>São Paulo</w:t>
      </w:r>
      <w:r>
        <w:rPr>
          <w:b/>
        </w:rPr>
        <w:t xml:space="preserve">: </w:t>
      </w:r>
      <w:r>
        <w:rPr/>
        <w:t xml:space="preserve">Annablume; </w:t>
        <w:tab/>
        <w:t>Fapesp, 2004.</w:t>
      </w:r>
      <w:r>
        <w:rPr>
          <w:b/>
        </w:rPr>
        <w:t xml:space="preserve"> </w:t>
      </w:r>
    </w:p>
    <w:p>
      <w:pPr>
        <w:pStyle w:val="Normal"/>
        <w:spacing w:lineRule="auto" w:line="360"/>
        <w:jc w:val="both"/>
        <w:rPr/>
      </w:pPr>
      <w:r>
        <w:rPr>
          <w:lang w:val="es-ES_tradnl"/>
        </w:rPr>
        <w:t xml:space="preserve">BALÁZS, B. </w:t>
      </w:r>
      <w:r>
        <w:rPr>
          <w:b/>
          <w:i/>
          <w:iCs/>
          <w:lang w:val="es-ES_tradnl"/>
        </w:rPr>
        <w:t>El Film: Evolución y Esencia de uma arte nuevo</w:t>
      </w:r>
      <w:r>
        <w:rPr>
          <w:i/>
          <w:iCs/>
          <w:lang w:val="es-ES_tradnl"/>
        </w:rPr>
        <w:t xml:space="preserve">. </w:t>
      </w:r>
      <w:r>
        <w:rPr>
          <w:lang w:val="es-ES_tradnl"/>
        </w:rPr>
        <w:t xml:space="preserve">(Bueno Aires: </w:t>
        <w:tab/>
        <w:t xml:space="preserve">Ediciones Losange, 1955. </w:t>
      </w:r>
    </w:p>
    <w:p>
      <w:pPr>
        <w:pStyle w:val="Normal"/>
        <w:spacing w:lineRule="auto" w:line="360"/>
        <w:jc w:val="both"/>
        <w:rPr/>
      </w:pPr>
      <w:r>
        <w:rPr/>
        <w:t xml:space="preserve">___________. </w:t>
      </w:r>
      <w:r>
        <w:rPr>
          <w:b/>
          <w:i/>
        </w:rPr>
        <w:t>A face do homem</w:t>
      </w:r>
      <w:r>
        <w:rPr/>
        <w:t xml:space="preserve">. In: GEADA, Eduardo (Org.). </w:t>
      </w:r>
      <w:r>
        <w:rPr>
          <w:b/>
          <w:i/>
          <w:iCs/>
        </w:rPr>
        <w:t>Estéticas do cinema</w:t>
      </w:r>
      <w:r>
        <w:rPr/>
        <w:t xml:space="preserve">. </w:t>
        <w:tab/>
      </w:r>
      <w:r>
        <w:rPr>
          <w:color w:val="000000"/>
        </w:rPr>
        <w:t>Lisboa: publicações Dom Quixote, 1985</w:t>
      </w:r>
      <w:r>
        <w:rPr/>
        <w:t xml:space="preserve">. pp. 51-58. </w:t>
      </w:r>
    </w:p>
    <w:p>
      <w:pPr>
        <w:pStyle w:val="Normal"/>
        <w:spacing w:lineRule="auto" w:line="360"/>
        <w:jc w:val="both"/>
        <w:rPr/>
      </w:pPr>
      <w:r>
        <w:rPr/>
        <w:t xml:space="preserve">BARBOSA, C. A. S. </w:t>
      </w:r>
      <w:r>
        <w:rPr>
          <w:b/>
          <w:i/>
        </w:rPr>
        <w:t>A fotografia a serviço de Clio</w:t>
      </w:r>
      <w:r>
        <w:rPr/>
        <w:t>. São Paulo: editora UNESP, 2006.</w:t>
      </w:r>
    </w:p>
    <w:p>
      <w:pPr>
        <w:pStyle w:val="Normal"/>
        <w:spacing w:lineRule="auto" w:line="360"/>
        <w:jc w:val="both"/>
        <w:rPr/>
      </w:pPr>
      <w:r>
        <w:rPr/>
        <w:t xml:space="preserve">BENJAMIN, W. </w:t>
      </w:r>
      <w:r>
        <w:rPr>
          <w:b/>
          <w:i/>
        </w:rPr>
        <w:t>Charles Baudelaire: um lírico no auge do capitalismo</w:t>
      </w:r>
      <w:r>
        <w:rPr/>
        <w:t xml:space="preserve">. São Paulo: </w:t>
        <w:tab/>
        <w:t>Brasiliense, 2000. pp. 114-131.</w:t>
      </w:r>
    </w:p>
    <w:p>
      <w:pPr>
        <w:pStyle w:val="Normal"/>
        <w:spacing w:lineRule="auto" w:line="360"/>
        <w:jc w:val="both"/>
        <w:rPr/>
      </w:pPr>
      <w:r>
        <w:rPr/>
        <w:t>_______________.</w:t>
      </w:r>
      <w:r>
        <w:rPr>
          <w:b/>
          <w:i/>
        </w:rPr>
        <w:t xml:space="preserve"> A obra de arte na era de sua reprodutibilidade técnica</w:t>
      </w:r>
      <w:r>
        <w:rPr>
          <w:b/>
        </w:rPr>
        <w:t xml:space="preserve">. In: </w:t>
      </w:r>
      <w:r>
        <w:rPr>
          <w:b/>
          <w:i/>
        </w:rPr>
        <w:t xml:space="preserve">Obras </w:t>
        <w:tab/>
        <w:t>escolhidas: magia e técnica, arte e política</w:t>
      </w:r>
      <w:r>
        <w:rPr/>
        <w:t xml:space="preserve">. São Paulo: Brasiliense, 1996. pp. </w:t>
        <w:tab/>
        <w:t>165-196.</w:t>
      </w:r>
    </w:p>
    <w:p>
      <w:pPr>
        <w:pStyle w:val="Normal"/>
        <w:spacing w:lineRule="auto" w:line="360"/>
        <w:jc w:val="both"/>
        <w:rPr/>
      </w:pPr>
      <w:r>
        <w:rPr/>
        <w:t xml:space="preserve">BERGSON, H. </w:t>
      </w:r>
      <w:r>
        <w:rPr>
          <w:b/>
          <w:i/>
        </w:rPr>
        <w:t>Duração e simultaneidade</w:t>
      </w:r>
      <w:r>
        <w:rPr/>
        <w:t>. São Paulo, Martins Fontes, 2006.</w:t>
      </w:r>
    </w:p>
    <w:p>
      <w:pPr>
        <w:pStyle w:val="Normal"/>
        <w:spacing w:lineRule="auto" w:line="360"/>
        <w:jc w:val="both"/>
        <w:rPr/>
      </w:pPr>
      <w:r>
        <w:rPr/>
        <w:t xml:space="preserve">_____________. </w:t>
      </w:r>
      <w:r>
        <w:rPr>
          <w:b/>
          <w:i/>
        </w:rPr>
        <w:t>Matéria e Memória</w:t>
      </w:r>
      <w:r>
        <w:rPr/>
        <w:t>. São Paulo, Martins Fontes, 2006.</w:t>
      </w:r>
    </w:p>
    <w:p>
      <w:pPr>
        <w:pStyle w:val="Normal"/>
        <w:jc w:val="both"/>
        <w:rPr/>
      </w:pPr>
      <w:r>
        <w:rPr>
          <w:lang w:val="en-US"/>
        </w:rPr>
        <w:t xml:space="preserve">BORING, E. G. </w:t>
      </w:r>
      <w:r>
        <w:rPr>
          <w:b/>
          <w:i/>
          <w:lang w:val="en-US"/>
        </w:rPr>
        <w:t>A history of experimental psychology</w:t>
      </w:r>
      <w:r>
        <w:rPr>
          <w:lang w:val="en-US"/>
        </w:rPr>
        <w:t xml:space="preserve">. </w:t>
      </w:r>
      <w:r>
        <w:rPr/>
        <w:t xml:space="preserve">New York: Century </w:t>
        <w:tab/>
        <w:t>Company, 1929.</w:t>
      </w:r>
    </w:p>
    <w:p>
      <w:pPr>
        <w:pStyle w:val="Normal"/>
        <w:spacing w:lineRule="auto" w:line="360"/>
        <w:jc w:val="both"/>
        <w:rPr/>
      </w:pPr>
      <w:r>
        <w:rPr/>
        <w:t xml:space="preserve">BORING, E. G.; HERRNSTEIN, R. J. (Orgs.). </w:t>
      </w:r>
      <w:r>
        <w:rPr>
          <w:b/>
          <w:i/>
        </w:rPr>
        <w:t xml:space="preserve">Textos básicos de história da </w:t>
        <w:tab/>
        <w:t>Psicologia</w:t>
      </w:r>
      <w:r>
        <w:rPr/>
        <w:t xml:space="preserve">. </w:t>
      </w:r>
      <w:r>
        <w:rPr>
          <w:lang w:val="en-US"/>
        </w:rPr>
        <w:t>São Paulo: Editora Herder, 1971.</w:t>
      </w:r>
    </w:p>
    <w:p>
      <w:pPr>
        <w:pStyle w:val="Normal"/>
        <w:spacing w:lineRule="auto" w:line="360"/>
        <w:jc w:val="both"/>
        <w:rPr>
          <w:rFonts w:eastAsia="Calibri"/>
        </w:rPr>
      </w:pPr>
      <w:r>
        <w:rPr/>
        <w:t xml:space="preserve">BOSI, A. </w:t>
      </w:r>
      <w:r>
        <w:rPr>
          <w:b/>
          <w:i/>
        </w:rPr>
        <w:t>Dialética da Colonização</w:t>
      </w:r>
      <w:r>
        <w:rPr/>
        <w:t>. 3ª edição. São Paulo: Companhia das letras, 1992.</w:t>
      </w:r>
    </w:p>
    <w:p>
      <w:pPr>
        <w:pStyle w:val="Normal"/>
        <w:spacing w:lineRule="auto" w:line="360"/>
        <w:jc w:val="both"/>
        <w:rPr/>
      </w:pPr>
      <w:r>
        <w:rPr>
          <w:rFonts w:eastAsia="Calibri"/>
          <w:lang w:val="en-US"/>
        </w:rPr>
        <w:t xml:space="preserve">BRAILSFORD, H. N. </w:t>
      </w:r>
      <w:r>
        <w:rPr>
          <w:rFonts w:eastAsia="Calibri"/>
          <w:b/>
          <w:i/>
          <w:lang w:val="en-US"/>
        </w:rPr>
        <w:t>Shelley, Godwin, and their circle</w:t>
      </w:r>
      <w:r>
        <w:rPr>
          <w:rFonts w:eastAsia="Calibri"/>
          <w:lang w:val="en-US"/>
        </w:rPr>
        <w:t xml:space="preserve">. </w:t>
      </w:r>
      <w:r>
        <w:rPr>
          <w:rFonts w:eastAsia="Calibri"/>
        </w:rPr>
        <w:t xml:space="preserve">London: Oxford University </w:t>
        <w:tab/>
        <w:t xml:space="preserve">Press, 1949. </w:t>
      </w:r>
    </w:p>
    <w:p>
      <w:pPr>
        <w:pStyle w:val="Normal"/>
        <w:spacing w:lineRule="auto" w:line="360"/>
        <w:jc w:val="both"/>
        <w:rPr/>
      </w:pPr>
      <w:r>
        <w:rPr>
          <w:caps/>
        </w:rPr>
        <w:t>Bresciani,</w:t>
      </w:r>
      <w:r>
        <w:rPr/>
        <w:t xml:space="preserve"> M. S. M. </w:t>
      </w:r>
      <w:r>
        <w:rPr>
          <w:b/>
          <w:bCs/>
          <w:i/>
          <w:iCs/>
        </w:rPr>
        <w:t>Londres e Paris no Século XIX: O espetáculo da pobreza</w:t>
      </w:r>
      <w:r>
        <w:rPr/>
        <w:t xml:space="preserve">. São </w:t>
        <w:tab/>
        <w:t>Paulo: Brasiliense, 2008.</w:t>
      </w:r>
    </w:p>
    <w:p>
      <w:pPr>
        <w:pStyle w:val="Normal"/>
        <w:spacing w:lineRule="auto" w:line="360"/>
        <w:jc w:val="both"/>
        <w:rPr>
          <w:rFonts w:eastAsia="Calibri"/>
        </w:rPr>
      </w:pPr>
      <w:r>
        <w:rPr/>
        <w:t xml:space="preserve">BUCHNER, G. </w:t>
      </w:r>
      <w:r>
        <w:rPr>
          <w:b/>
          <w:i/>
        </w:rPr>
        <w:t>A morte de Danton</w:t>
      </w:r>
      <w:r>
        <w:rPr>
          <w:i/>
        </w:rPr>
        <w:t xml:space="preserve">. </w:t>
      </w:r>
      <w:r>
        <w:rPr/>
        <w:t>Rio de Janeiro: Ediouro.</w:t>
      </w:r>
    </w:p>
    <w:p>
      <w:pPr>
        <w:pStyle w:val="Normal"/>
        <w:spacing w:lineRule="auto" w:line="360"/>
        <w:jc w:val="both"/>
        <w:rPr/>
      </w:pPr>
      <w:r>
        <w:rPr>
          <w:rFonts w:eastAsia="Calibri"/>
        </w:rPr>
        <w:t xml:space="preserve">BUTTERFIELD, H. </w:t>
      </w:r>
      <w:r>
        <w:rPr>
          <w:rFonts w:eastAsia="Calibri"/>
          <w:b/>
          <w:i/>
        </w:rPr>
        <w:t>As origens da ciência moderna</w:t>
      </w:r>
      <w:r>
        <w:rPr>
          <w:rFonts w:eastAsia="Calibri"/>
        </w:rPr>
        <w:t xml:space="preserve">. Rio de Janeiro: edições 70, </w:t>
        <w:tab/>
        <w:t>1992.</w:t>
      </w:r>
    </w:p>
    <w:p>
      <w:pPr>
        <w:pStyle w:val="Normal"/>
        <w:spacing w:lineRule="auto" w:line="360"/>
        <w:jc w:val="both"/>
        <w:rPr/>
      </w:pPr>
      <w:r>
        <w:rPr>
          <w:lang w:val="es-ES_tradnl"/>
        </w:rPr>
        <w:t xml:space="preserve">CANDIDO, A. R. et al. </w:t>
      </w:r>
      <w:r>
        <w:rPr>
          <w:b/>
          <w:i/>
        </w:rPr>
        <w:t>A personagem de ficção</w:t>
      </w:r>
      <w:r>
        <w:rPr/>
        <w:t xml:space="preserve">. São Paulo: Perspectiva, 1976. </w:t>
      </w:r>
    </w:p>
    <w:p>
      <w:pPr>
        <w:pStyle w:val="Normal"/>
        <w:spacing w:lineRule="auto" w:line="360"/>
        <w:jc w:val="both"/>
        <w:rPr/>
      </w:pPr>
      <w:r>
        <w:rPr>
          <w:lang w:val="en-US"/>
        </w:rPr>
        <w:t xml:space="preserve">CANGUILHEM. </w:t>
      </w:r>
      <w:r>
        <w:rPr/>
        <w:t xml:space="preserve">G. </w:t>
      </w:r>
      <w:r>
        <w:rPr>
          <w:b/>
          <w:i/>
        </w:rPr>
        <w:t>La formation du concept de réflexe aux xvii</w:t>
      </w:r>
      <w:r>
        <w:rPr>
          <w:b/>
          <w:i/>
          <w:vertAlign w:val="superscript"/>
        </w:rPr>
        <w:t>e</w:t>
      </w:r>
      <w:r>
        <w:rPr>
          <w:b/>
          <w:i/>
        </w:rPr>
        <w:t xml:space="preserve"> et xviii</w:t>
      </w:r>
      <w:r>
        <w:rPr>
          <w:b/>
          <w:i/>
          <w:vertAlign w:val="superscript"/>
        </w:rPr>
        <w:t>e</w:t>
      </w:r>
      <w:r>
        <w:rPr>
          <w:b/>
          <w:i/>
        </w:rPr>
        <w:t xml:space="preserve"> siècles</w:t>
      </w:r>
      <w:r>
        <w:rPr/>
        <w:t xml:space="preserve">. </w:t>
        <w:tab/>
        <w:t xml:space="preserve">Paris: Presses Universitaires de France, 1955. </w:t>
      </w:r>
    </w:p>
    <w:p>
      <w:pPr>
        <w:pStyle w:val="Normal"/>
        <w:spacing w:lineRule="auto" w:line="360"/>
        <w:jc w:val="both"/>
        <w:rPr/>
      </w:pPr>
      <w:r>
        <w:rPr>
          <w:lang w:val="en-US"/>
        </w:rPr>
        <w:t xml:space="preserve">_______. </w:t>
      </w:r>
      <w:r>
        <w:rPr>
          <w:b/>
          <w:i/>
          <w:lang w:val="en-US"/>
        </w:rPr>
        <w:t>The concept of reflex</w:t>
      </w:r>
      <w:r>
        <w:rPr>
          <w:lang w:val="en-US"/>
        </w:rPr>
        <w:t xml:space="preserve">. In: Delaporte, F. (Ed.). </w:t>
      </w:r>
      <w:r>
        <w:rPr>
          <w:b/>
          <w:i/>
          <w:lang w:val="en-US"/>
        </w:rPr>
        <w:t xml:space="preserve">A vital rationalist: selected </w:t>
        <w:tab/>
        <w:t>wrintings from Georges Canguilhem</w:t>
      </w:r>
      <w:r>
        <w:rPr>
          <w:lang w:val="en-US"/>
        </w:rPr>
        <w:t xml:space="preserve">. New York: Zone Books, 2000. </w:t>
      </w:r>
    </w:p>
    <w:p>
      <w:pPr>
        <w:pStyle w:val="Normal"/>
        <w:spacing w:lineRule="auto" w:line="360"/>
        <w:jc w:val="both"/>
        <w:rPr/>
      </w:pPr>
      <w:r>
        <w:rPr/>
        <w:t xml:space="preserve">_______. </w:t>
      </w:r>
      <w:r>
        <w:rPr>
          <w:b/>
          <w:i/>
        </w:rPr>
        <w:t>O conceito de reflexo no século XIX</w:t>
      </w:r>
      <w:r>
        <w:rPr/>
        <w:t xml:space="preserve">. In: _____. </w:t>
      </w:r>
      <w:r>
        <w:rPr>
          <w:b/>
          <w:i/>
        </w:rPr>
        <w:t xml:space="preserve">Estudos de história e de </w:t>
        <w:tab/>
        <w:t>filosofia das ciências</w:t>
      </w:r>
      <w:r>
        <w:rPr/>
        <w:t xml:space="preserve">. Rio de Janeiro: Forense, 2012. </w:t>
      </w:r>
    </w:p>
    <w:p>
      <w:pPr>
        <w:pStyle w:val="Normal"/>
        <w:spacing w:lineRule="auto" w:line="360"/>
        <w:jc w:val="both"/>
        <w:rPr/>
      </w:pPr>
      <w:r>
        <w:rPr>
          <w:caps/>
        </w:rPr>
        <w:t>Čapek,</w:t>
      </w:r>
      <w:r>
        <w:rPr/>
        <w:t xml:space="preserve"> K. </w:t>
      </w:r>
      <w:r>
        <w:rPr>
          <w:b/>
          <w:i/>
        </w:rPr>
        <w:t>Histórias apócrifas</w:t>
      </w:r>
      <w:r>
        <w:rPr/>
        <w:t>. Tradução por Aleksandar Jovanovic. Rio de Janeiro: editora 34, 1994.</w:t>
      </w:r>
    </w:p>
    <w:p>
      <w:pPr>
        <w:pStyle w:val="Normal"/>
        <w:spacing w:lineRule="auto" w:line="360"/>
        <w:jc w:val="both"/>
        <w:rPr/>
      </w:pPr>
      <w:r>
        <w:rPr/>
        <w:t xml:space="preserve">CARROLL, N. </w:t>
      </w:r>
      <w:r>
        <w:rPr>
          <w:b/>
          <w:i/>
        </w:rPr>
        <w:t>A filosofia do horror ou paradoxos do coração</w:t>
      </w:r>
      <w:r>
        <w:rPr/>
        <w:t xml:space="preserve">. Campinas: Papirus, </w:t>
        <w:tab/>
        <w:t>1999.</w:t>
      </w:r>
    </w:p>
    <w:p>
      <w:pPr>
        <w:pStyle w:val="Normal"/>
        <w:spacing w:lineRule="auto" w:line="360"/>
        <w:jc w:val="both"/>
        <w:rPr/>
      </w:pPr>
      <w:r>
        <w:rPr/>
        <w:t xml:space="preserve">CARSON, S.L. </w:t>
      </w:r>
      <w:r>
        <w:rPr>
          <w:b/>
          <w:i/>
        </w:rPr>
        <w:t>Robespierre</w:t>
      </w:r>
      <w:r>
        <w:rPr/>
        <w:t>. São Paulo: Nova Cultural, 1988.</w:t>
      </w:r>
    </w:p>
    <w:p>
      <w:pPr>
        <w:pStyle w:val="Normal"/>
        <w:spacing w:lineRule="auto" w:line="360"/>
        <w:jc w:val="both"/>
        <w:rPr>
          <w:caps/>
          <w:lang w:val="en-US"/>
        </w:rPr>
      </w:pPr>
      <w:r>
        <w:rPr>
          <w:lang w:val="en-US"/>
        </w:rPr>
        <w:t xml:space="preserve">CARLSON, E. T.; SIMPSON, M. M. </w:t>
      </w:r>
      <w:r>
        <w:rPr>
          <w:b/>
          <w:i/>
          <w:lang w:val="en-US"/>
        </w:rPr>
        <w:t xml:space="preserve">Models of the nervous system in eighteenth </w:t>
        <w:tab/>
        <w:t>century psychiatry</w:t>
      </w:r>
      <w:r>
        <w:rPr>
          <w:lang w:val="en-US"/>
        </w:rPr>
        <w:t xml:space="preserve">. </w:t>
      </w:r>
      <w:r>
        <w:rPr/>
        <w:t>Bulletin of the History of Med</w:t>
      </w:r>
      <w:r>
        <w:rPr>
          <w:lang w:val="en-US"/>
        </w:rPr>
        <w:t>icine. Vol. 43, March-</w:t>
        <w:tab/>
        <w:t xml:space="preserve">April, </w:t>
        <w:tab/>
        <w:t>n. 2, 1969. pp. 101-115.</w:t>
      </w:r>
    </w:p>
    <w:p>
      <w:pPr>
        <w:pStyle w:val="Normal"/>
        <w:spacing w:lineRule="auto" w:line="360"/>
        <w:jc w:val="both"/>
        <w:rPr>
          <w:lang w:val="en-US"/>
        </w:rPr>
      </w:pPr>
      <w:r>
        <w:rPr>
          <w:caps/>
          <w:lang w:val="en-US"/>
        </w:rPr>
        <w:t>Chalmers,</w:t>
      </w:r>
      <w:r>
        <w:rPr>
          <w:lang w:val="en-US"/>
        </w:rPr>
        <w:t xml:space="preserve"> A.F. </w:t>
      </w:r>
      <w:r>
        <w:rPr>
          <w:b/>
          <w:i/>
          <w:lang w:val="en-US"/>
        </w:rPr>
        <w:t>What is this thing called Science?</w:t>
      </w:r>
      <w:r>
        <w:rPr>
          <w:lang w:val="en-US"/>
        </w:rPr>
        <w:t xml:space="preserve"> </w:t>
      </w:r>
      <w:r>
        <w:rPr>
          <w:lang w:val="en"/>
        </w:rPr>
        <w:t xml:space="preserve">University of Queensland Press, </w:t>
        <w:tab/>
        <w:t>Open University Press: 3 ª edição revista, Hackett, 1999.</w:t>
      </w:r>
    </w:p>
    <w:p>
      <w:pPr>
        <w:pStyle w:val="Normal"/>
        <w:spacing w:lineRule="auto" w:line="360"/>
        <w:jc w:val="both"/>
        <w:rPr/>
      </w:pPr>
      <w:r>
        <w:rPr>
          <w:lang w:val="en-US"/>
        </w:rPr>
        <w:t xml:space="preserve">CHARNEY, L. ; Schwartz, V. R. (orgs.). </w:t>
      </w:r>
      <w:r>
        <w:rPr>
          <w:b/>
          <w:i/>
        </w:rPr>
        <w:t>O cinema e a invenção da vida moderna</w:t>
      </w:r>
      <w:r>
        <w:rPr/>
        <w:t xml:space="preserve">. </w:t>
      </w:r>
      <w:r>
        <w:rPr>
          <w:lang w:val="en-US"/>
        </w:rPr>
        <w:t xml:space="preserve">São </w:t>
        <w:tab/>
        <w:t>Paulo:</w:t>
        <w:tab/>
        <w:t xml:space="preserve">Cosac&amp;Naify, 2004.  </w:t>
      </w:r>
    </w:p>
    <w:p>
      <w:pPr>
        <w:pStyle w:val="Normal"/>
        <w:spacing w:lineRule="auto" w:line="360"/>
        <w:jc w:val="both"/>
        <w:rPr/>
      </w:pPr>
      <w:r>
        <w:rPr>
          <w:rFonts w:eastAsia="Calibri"/>
          <w:lang w:val="en-US"/>
        </w:rPr>
        <w:t xml:space="preserve">COOPER, M. </w:t>
      </w:r>
      <w:r>
        <w:rPr>
          <w:rFonts w:eastAsia="Calibri"/>
          <w:b/>
          <w:i/>
          <w:lang w:val="en-US"/>
        </w:rPr>
        <w:t>The teratological tradition in science and literature</w:t>
      </w:r>
      <w:r>
        <w:rPr>
          <w:rFonts w:eastAsia="Calibri"/>
          <w:lang w:val="en-US"/>
        </w:rPr>
        <w:t xml:space="preserve">. In: Knellwolf, C. </w:t>
        <w:tab/>
        <w:t xml:space="preserve">&amp; Goodall, J. Frankenstein's science: Experimentation and discovery in </w:t>
        <w:tab/>
        <w:t xml:space="preserve">Romantic culture, 1780-1830. </w:t>
      </w:r>
      <w:r>
        <w:rPr>
          <w:rFonts w:eastAsia="Calibri"/>
        </w:rPr>
        <w:t>Aldershot: Ashgate, 2008. (pp. 87-97).</w:t>
      </w:r>
    </w:p>
    <w:p>
      <w:pPr>
        <w:pStyle w:val="Normal"/>
        <w:spacing w:lineRule="auto" w:line="360"/>
        <w:jc w:val="both"/>
        <w:rPr>
          <w:caps/>
        </w:rPr>
      </w:pPr>
      <w:r>
        <w:rPr/>
        <w:t xml:space="preserve">DARNTON, R. </w:t>
      </w:r>
      <w:r>
        <w:rPr>
          <w:b/>
          <w:i/>
        </w:rPr>
        <w:t>Danton: O processo da Revolução</w:t>
      </w:r>
      <w:r>
        <w:rPr>
          <w:i/>
        </w:rPr>
        <w:t xml:space="preserve">. </w:t>
      </w:r>
      <w:r>
        <w:rPr>
          <w:i/>
          <w:lang w:val="en-US"/>
        </w:rPr>
        <w:t xml:space="preserve">In: CARNES, Mark C. (org.). </w:t>
        <w:tab/>
      </w:r>
      <w:r>
        <w:rPr>
          <w:i/>
        </w:rPr>
        <w:t xml:space="preserve">Passado Imperfeito: A história no cinema. </w:t>
      </w:r>
      <w:r>
        <w:rPr/>
        <w:t xml:space="preserve">(Rio de Janeiro: Record, 1997. pp. </w:t>
        <w:tab/>
        <w:t>104-109).</w:t>
      </w:r>
    </w:p>
    <w:p>
      <w:pPr>
        <w:pStyle w:val="Normal"/>
        <w:spacing w:lineRule="auto" w:line="360"/>
        <w:jc w:val="both"/>
        <w:rPr/>
      </w:pPr>
      <w:r>
        <w:rPr>
          <w:caps/>
        </w:rPr>
        <w:t>Delumeau,</w:t>
      </w:r>
      <w:r>
        <w:rPr/>
        <w:t xml:space="preserve"> J. </w:t>
      </w:r>
      <w:r>
        <w:rPr>
          <w:b/>
          <w:i/>
        </w:rPr>
        <w:t>História do medo no Ocidente: 1300-1800</w:t>
      </w:r>
      <w:r>
        <w:rPr/>
        <w:t xml:space="preserve">. São Paulo: Companhia </w:t>
        <w:tab/>
        <w:t xml:space="preserve">das Letras, 1989. </w:t>
      </w:r>
    </w:p>
    <w:p>
      <w:pPr>
        <w:pStyle w:val="Normal"/>
        <w:spacing w:lineRule="auto" w:line="360"/>
        <w:jc w:val="both"/>
        <w:rPr/>
      </w:pPr>
      <w:r>
        <w:rPr/>
        <w:t xml:space="preserve">DELEUZE, G. </w:t>
      </w:r>
      <w:r>
        <w:rPr>
          <w:b/>
          <w:i/>
          <w:iCs/>
        </w:rPr>
        <w:t>Cinema 1:Imagem-movimento</w:t>
      </w:r>
      <w:r>
        <w:rPr>
          <w:i/>
          <w:iCs/>
        </w:rPr>
        <w:t>.</w:t>
      </w:r>
      <w:r>
        <w:rPr/>
        <w:t xml:space="preserve"> São Paulo, Brasiliense, 1985.</w:t>
      </w:r>
    </w:p>
    <w:p>
      <w:pPr>
        <w:pStyle w:val="Normal"/>
        <w:spacing w:lineRule="auto" w:line="360"/>
        <w:jc w:val="both"/>
        <w:rPr/>
      </w:pPr>
      <w:r>
        <w:rPr/>
        <w:t xml:space="preserve">_____________. </w:t>
      </w:r>
      <w:r>
        <w:rPr>
          <w:b/>
          <w:i/>
          <w:iCs/>
        </w:rPr>
        <w:t>Cinema 2:Imagem-tempo</w:t>
      </w:r>
      <w:r>
        <w:rPr/>
        <w:t>. São Paulo, Brasiliense, 1990.</w:t>
      </w:r>
    </w:p>
    <w:p>
      <w:pPr>
        <w:pStyle w:val="Normal"/>
        <w:spacing w:lineRule="auto" w:line="360"/>
        <w:jc w:val="both"/>
        <w:rPr/>
      </w:pPr>
      <w:r>
        <w:rPr>
          <w:rFonts w:eastAsia="Calibri"/>
          <w:lang w:val="en-US"/>
        </w:rPr>
        <w:t xml:space="preserve">DENNETT, Daniel. </w:t>
      </w:r>
      <w:r>
        <w:rPr>
          <w:rFonts w:eastAsia="Calibri"/>
          <w:b/>
          <w:i/>
          <w:lang w:val="en-US"/>
        </w:rPr>
        <w:t>Content and consciousness</w:t>
      </w:r>
      <w:r>
        <w:rPr>
          <w:rFonts w:eastAsia="Calibri"/>
          <w:lang w:val="en-US"/>
        </w:rPr>
        <w:t xml:space="preserve">. New York: Routledge &amp; Kegan Paul, </w:t>
        <w:tab/>
        <w:t xml:space="preserve">1993 [1969]. </w:t>
      </w:r>
    </w:p>
    <w:p>
      <w:pPr>
        <w:pStyle w:val="Normal"/>
        <w:spacing w:lineRule="auto" w:line="360"/>
        <w:jc w:val="both"/>
        <w:rPr/>
      </w:pPr>
      <w:r>
        <w:rPr>
          <w:rFonts w:eastAsia="Calibri"/>
        </w:rPr>
        <w:t xml:space="preserve">______. </w:t>
      </w:r>
      <w:r>
        <w:rPr>
          <w:rFonts w:eastAsia="Calibri"/>
          <w:b/>
          <w:i/>
        </w:rPr>
        <w:t>Brainstorms: escritos filosóficos sobre a mente e a Psicologia</w:t>
      </w:r>
      <w:r>
        <w:rPr>
          <w:rFonts w:eastAsia="Calibri"/>
        </w:rPr>
        <w:t xml:space="preserve">. </w:t>
      </w:r>
      <w:r>
        <w:rPr>
          <w:rFonts w:eastAsia="Calibri"/>
          <w:lang w:val="en-US"/>
        </w:rPr>
        <w:t xml:space="preserve">São Paulo: </w:t>
        <w:tab/>
        <w:t>Editora UNESP, 2006 [1981].</w:t>
      </w:r>
    </w:p>
    <w:p>
      <w:pPr>
        <w:pStyle w:val="Normal"/>
        <w:spacing w:lineRule="auto" w:line="360"/>
        <w:jc w:val="both"/>
        <w:rPr/>
      </w:pPr>
      <w:r>
        <w:rPr>
          <w:rFonts w:eastAsia="Calibri"/>
          <w:lang w:val="en-US"/>
        </w:rPr>
        <w:t xml:space="preserve">______. </w:t>
      </w:r>
      <w:r>
        <w:rPr>
          <w:rFonts w:eastAsia="Calibri"/>
          <w:b/>
          <w:i/>
          <w:lang w:val="en-US"/>
        </w:rPr>
        <w:t>The intentional stance</w:t>
      </w:r>
      <w:r>
        <w:rPr>
          <w:rFonts w:eastAsia="Calibri"/>
          <w:lang w:val="en-US"/>
        </w:rPr>
        <w:t>. Cambridge: MIT Press, 1987.</w:t>
      </w:r>
    </w:p>
    <w:p>
      <w:pPr>
        <w:pStyle w:val="Normal"/>
        <w:spacing w:lineRule="auto" w:line="360"/>
        <w:jc w:val="both"/>
        <w:rPr>
          <w:lang w:val="en-US"/>
        </w:rPr>
      </w:pPr>
      <w:r>
        <w:rPr>
          <w:rFonts w:eastAsia="Calibri"/>
          <w:lang w:val="en-US"/>
        </w:rPr>
        <w:t xml:space="preserve">______. </w:t>
      </w:r>
      <w:r>
        <w:rPr>
          <w:rFonts w:eastAsia="Calibri"/>
          <w:b/>
          <w:i/>
          <w:lang w:val="en-US"/>
        </w:rPr>
        <w:t>Consciousness explained</w:t>
      </w:r>
      <w:r>
        <w:rPr>
          <w:rFonts w:eastAsia="Calibri"/>
          <w:lang w:val="en-US"/>
        </w:rPr>
        <w:t>. Boston: Brown and Co, 1991.</w:t>
      </w:r>
    </w:p>
    <w:p>
      <w:pPr>
        <w:pStyle w:val="Normal"/>
        <w:spacing w:lineRule="auto" w:line="360"/>
        <w:jc w:val="both"/>
        <w:rPr/>
      </w:pPr>
      <w:r>
        <w:rPr>
          <w:rFonts w:eastAsia="Calibri"/>
        </w:rPr>
        <w:t xml:space="preserve">DREYFUS, Hubert L. </w:t>
      </w:r>
      <w:r>
        <w:rPr>
          <w:rFonts w:eastAsia="Calibri"/>
          <w:b/>
          <w:i/>
        </w:rPr>
        <w:t>O que os computadores não podem fazer</w:t>
      </w:r>
      <w:r>
        <w:rPr>
          <w:rFonts w:eastAsia="Calibri"/>
        </w:rPr>
        <w:t xml:space="preserve">. São Paulo: Casa do </w:t>
        <w:tab/>
        <w:t>livro eldorado, 1975.</w:t>
      </w:r>
    </w:p>
    <w:p>
      <w:pPr>
        <w:pStyle w:val="Normal"/>
        <w:spacing w:lineRule="auto" w:line="360"/>
        <w:jc w:val="both"/>
        <w:rPr/>
      </w:pPr>
      <w:r>
        <w:rPr/>
        <w:t xml:space="preserve">DUBUGRAS, M. T. B. </w:t>
      </w:r>
      <w:r>
        <w:rPr>
          <w:b/>
          <w:i/>
        </w:rPr>
        <w:t>A caracterização dos personagens de psiquiatras nos filmes</w:t>
      </w:r>
      <w:r>
        <w:rPr>
          <w:b/>
        </w:rPr>
        <w:t xml:space="preserve">. </w:t>
        <w:tab/>
      </w:r>
      <w:r>
        <w:rPr>
          <w:lang w:val="en-US"/>
        </w:rPr>
        <w:t xml:space="preserve">[Analysis of character of psychiatrists in the silence of the lambs, the madness of </w:t>
        <w:tab/>
        <w:t xml:space="preserve">king George, blue sky, shine; as good as it gets; good will hunting, girl, </w:t>
        <w:tab/>
        <w:t xml:space="preserve">interrupted; a beautiful mind]. </w:t>
      </w:r>
      <w:r>
        <w:rPr/>
        <w:t xml:space="preserve">São Paulo: s.n, 2004. [191]. -Universidade </w:t>
        <w:tab/>
        <w:t>Federal de São Paulo. Escola Paulista de Medicina.</w:t>
      </w:r>
    </w:p>
    <w:p>
      <w:pPr>
        <w:pStyle w:val="Normal"/>
        <w:autoSpaceDE w:val="false"/>
        <w:spacing w:lineRule="auto" w:line="360"/>
        <w:jc w:val="both"/>
        <w:rPr/>
      </w:pPr>
      <w:r>
        <w:rPr/>
        <w:t xml:space="preserve">DWYER, F. </w:t>
      </w:r>
      <w:r>
        <w:rPr>
          <w:b/>
          <w:i/>
        </w:rPr>
        <w:t>Danton</w:t>
      </w:r>
      <w:r>
        <w:rPr/>
        <w:t>. São Paulo: Nova Cultural, 1987.</w:t>
      </w:r>
    </w:p>
    <w:p>
      <w:pPr>
        <w:pStyle w:val="Normal"/>
        <w:autoSpaceDE w:val="false"/>
        <w:spacing w:lineRule="auto" w:line="360"/>
        <w:jc w:val="both"/>
        <w:rPr/>
      </w:pPr>
      <w:r>
        <w:rPr/>
        <w:t xml:space="preserve">EISENSTEIN, S. </w:t>
      </w:r>
      <w:r>
        <w:rPr>
          <w:b/>
          <w:i/>
          <w:iCs/>
        </w:rPr>
        <w:t>O sentido do filme</w:t>
      </w:r>
      <w:r>
        <w:rPr/>
        <w:t xml:space="preserve">. Rio de Janeiro: Jorge Zahar Editor, 2002. </w:t>
      </w:r>
    </w:p>
    <w:p>
      <w:pPr>
        <w:pStyle w:val="Normal"/>
        <w:autoSpaceDE w:val="false"/>
        <w:spacing w:lineRule="auto" w:line="360"/>
        <w:jc w:val="both"/>
        <w:rPr/>
      </w:pPr>
      <w:r>
        <w:rPr/>
        <w:t xml:space="preserve">________. </w:t>
      </w:r>
      <w:r>
        <w:rPr>
          <w:b/>
          <w:i/>
        </w:rPr>
        <w:t>A forma do filme</w:t>
      </w:r>
      <w:r>
        <w:rPr/>
        <w:t>. Rio de Janeiro: Jorge Zahar Editor, 2002.</w:t>
      </w:r>
    </w:p>
    <w:p>
      <w:pPr>
        <w:pStyle w:val="Normal"/>
        <w:spacing w:lineRule="auto" w:line="360"/>
        <w:jc w:val="both"/>
        <w:rPr/>
      </w:pPr>
      <w:r>
        <w:rPr>
          <w:rFonts w:eastAsia="Calibri"/>
          <w:lang w:val="en-US"/>
        </w:rPr>
        <w:t xml:space="preserve">FARA, P. </w:t>
      </w:r>
      <w:r>
        <w:rPr>
          <w:rFonts w:eastAsia="Calibri"/>
          <w:b/>
          <w:i/>
          <w:lang w:val="en-US"/>
        </w:rPr>
        <w:t>The flow of life: current electricity</w:t>
      </w:r>
      <w:r>
        <w:rPr>
          <w:rFonts w:eastAsia="Calibri"/>
          <w:lang w:val="en-US"/>
        </w:rPr>
        <w:t xml:space="preserve">. In: An entertainment for angels: </w:t>
        <w:tab/>
        <w:t xml:space="preserve">Electricity in the Englightenment. New York: Columbia University Press, 2002. </w:t>
        <w:tab/>
        <w:t xml:space="preserve">(pp. 133-170). </w:t>
      </w:r>
    </w:p>
    <w:p>
      <w:pPr>
        <w:pStyle w:val="Normal"/>
        <w:autoSpaceDE w:val="false"/>
        <w:spacing w:lineRule="auto" w:line="360"/>
        <w:jc w:val="both"/>
        <w:rPr/>
      </w:pPr>
      <w:r>
        <w:rPr/>
        <w:t xml:space="preserve">FERRO, A. </w:t>
      </w:r>
      <w:r>
        <w:rPr>
          <w:b/>
          <w:i/>
          <w:iCs/>
        </w:rPr>
        <w:t>Hollywood, capital das imagens</w:t>
      </w:r>
      <w:r>
        <w:rPr/>
        <w:t xml:space="preserve">. Lisboa: Portugal-Brasil Sociedade </w:t>
        <w:tab/>
        <w:t>Editora, 1931.</w:t>
      </w:r>
    </w:p>
    <w:p>
      <w:pPr>
        <w:pStyle w:val="Normal"/>
        <w:autoSpaceDE w:val="false"/>
        <w:spacing w:lineRule="auto" w:line="360"/>
        <w:jc w:val="both"/>
        <w:rPr/>
      </w:pPr>
      <w:r>
        <w:rPr/>
        <w:t xml:space="preserve">_______. </w:t>
      </w:r>
      <w:r>
        <w:rPr>
          <w:b/>
          <w:i/>
          <w:iCs/>
        </w:rPr>
        <w:t>Teatro e cinema (1936-1949)</w:t>
      </w:r>
      <w:r>
        <w:rPr/>
        <w:t>. Lisboa: Edições SNI, 1950.</w:t>
      </w:r>
    </w:p>
    <w:p>
      <w:pPr>
        <w:pStyle w:val="Normal"/>
        <w:autoSpaceDE w:val="false"/>
        <w:spacing w:lineRule="auto" w:line="360"/>
        <w:jc w:val="both"/>
        <w:rPr/>
      </w:pPr>
      <w:r>
        <w:rPr/>
        <w:t xml:space="preserve">FERRO, M. </w:t>
      </w:r>
      <w:r>
        <w:rPr>
          <w:b/>
          <w:i/>
          <w:iCs/>
        </w:rPr>
        <w:t>A história vigiada</w:t>
      </w:r>
      <w:r>
        <w:rPr/>
        <w:t>. São Paulo: Martins Fontes, 1989.</w:t>
      </w:r>
    </w:p>
    <w:p>
      <w:pPr>
        <w:pStyle w:val="Normal"/>
        <w:autoSpaceDE w:val="false"/>
        <w:spacing w:lineRule="auto" w:line="360"/>
        <w:jc w:val="both"/>
        <w:rPr/>
      </w:pPr>
      <w:r>
        <w:rPr/>
        <w:t xml:space="preserve">________. </w:t>
      </w:r>
      <w:r>
        <w:rPr>
          <w:b/>
          <w:i/>
          <w:iCs/>
        </w:rPr>
        <w:t>Cinema e História</w:t>
      </w:r>
      <w:r>
        <w:rPr/>
        <w:t>. Rio de Janeiro: Paz e Terra, 1992.</w:t>
      </w:r>
    </w:p>
    <w:p>
      <w:pPr>
        <w:pStyle w:val="Normal"/>
        <w:spacing w:lineRule="auto" w:line="360"/>
        <w:jc w:val="both"/>
        <w:rPr/>
      </w:pPr>
      <w:r>
        <w:rPr/>
        <w:t xml:space="preserve">FIGUEIREDO, B. G. &amp; Condé, M. L. L. (Orgs). </w:t>
      </w:r>
      <w:r>
        <w:rPr>
          <w:b/>
          <w:i/>
        </w:rPr>
        <w:t>Ciência, História e Teoria</w:t>
      </w:r>
      <w:r>
        <w:rPr/>
        <w:t xml:space="preserve">. Belo </w:t>
        <w:tab/>
        <w:t>Horizonte: Argumentum editora, 2005.</w:t>
      </w:r>
    </w:p>
    <w:p>
      <w:pPr>
        <w:pStyle w:val="Normal"/>
        <w:spacing w:lineRule="auto" w:line="360"/>
        <w:jc w:val="both"/>
        <w:rPr/>
      </w:pPr>
      <w:r>
        <w:rPr/>
        <w:t xml:space="preserve">FOUCAULT, M. </w:t>
      </w:r>
      <w:r>
        <w:rPr>
          <w:b/>
          <w:i/>
        </w:rPr>
        <w:t>História da sexualidade: O cuidado de si – Vol.3.</w:t>
      </w:r>
      <w:r>
        <w:rPr>
          <w:b/>
        </w:rPr>
        <w:t xml:space="preserve"> </w:t>
      </w:r>
      <w:r>
        <w:rPr/>
        <w:t xml:space="preserve">São Paulo: Graal </w:t>
        <w:tab/>
        <w:t xml:space="preserve">editora, 2007.   </w:t>
      </w:r>
    </w:p>
    <w:p>
      <w:pPr>
        <w:pStyle w:val="Normal"/>
        <w:spacing w:lineRule="auto" w:line="360"/>
        <w:jc w:val="both"/>
        <w:rPr/>
      </w:pPr>
      <w:r>
        <w:rPr/>
        <w:t xml:space="preserve">FURHAMMAR, L. e ISAKSSON, F. </w:t>
      </w:r>
      <w:r>
        <w:rPr>
          <w:b/>
          <w:i/>
        </w:rPr>
        <w:t>A Rússia depois da Revolução</w:t>
      </w:r>
      <w:r>
        <w:rPr/>
        <w:t xml:space="preserve">. </w:t>
      </w:r>
      <w:r>
        <w:rPr>
          <w:i/>
        </w:rPr>
        <w:t xml:space="preserve">In: Cinema e </w:t>
        <w:tab/>
        <w:t>Política</w:t>
      </w:r>
      <w:r>
        <w:rPr/>
        <w:t>. Rio de Janeiro: Paz e Terra, 1976. pp. 13-26.</w:t>
      </w:r>
    </w:p>
    <w:p>
      <w:pPr>
        <w:pStyle w:val="Normal"/>
        <w:spacing w:lineRule="auto" w:line="360"/>
        <w:jc w:val="both"/>
        <w:rPr/>
      </w:pPr>
      <w:r>
        <w:rPr/>
        <w:t xml:space="preserve">GABLER, N. </w:t>
      </w:r>
      <w:r>
        <w:rPr>
          <w:b/>
          <w:i/>
        </w:rPr>
        <w:t>Vida, o filme: como o entretenimento conquistou a realidade</w:t>
      </w:r>
      <w:r>
        <w:rPr/>
        <w:t xml:space="preserve">. São </w:t>
        <w:tab/>
        <w:t>Paulo: companhia das letras, 1999.</w:t>
      </w:r>
    </w:p>
    <w:p>
      <w:pPr>
        <w:pStyle w:val="Normal"/>
        <w:spacing w:lineRule="auto" w:line="360"/>
        <w:jc w:val="both"/>
        <w:rPr/>
      </w:pPr>
      <w:r>
        <w:rPr>
          <w:rFonts w:eastAsia="Calibri"/>
          <w:lang w:val="en-US"/>
        </w:rPr>
        <w:t xml:space="preserve">GARDNER, H. </w:t>
      </w:r>
      <w:r>
        <w:rPr>
          <w:rFonts w:eastAsia="Calibri"/>
          <w:b/>
          <w:i/>
          <w:lang w:val="en-US"/>
        </w:rPr>
        <w:t>The mind's new science: a history of the cognitive revolution</w:t>
      </w:r>
      <w:r>
        <w:rPr>
          <w:rFonts w:eastAsia="Calibri"/>
          <w:lang w:val="en-US"/>
        </w:rPr>
        <w:t xml:space="preserve">. </w:t>
        <w:tab/>
        <w:t xml:space="preserve">New York: Basic Books, 1987. </w:t>
      </w:r>
    </w:p>
    <w:p>
      <w:pPr>
        <w:pStyle w:val="Normal"/>
        <w:spacing w:lineRule="auto" w:line="360"/>
        <w:jc w:val="both"/>
        <w:rPr/>
      </w:pPr>
      <w:r>
        <w:rPr>
          <w:lang w:val="en-US"/>
        </w:rPr>
        <w:t xml:space="preserve">GARDINER, P. </w:t>
      </w:r>
      <w:r>
        <w:rPr>
          <w:b/>
          <w:i/>
          <w:lang w:val="en-US"/>
        </w:rPr>
        <w:t>Teorias da História</w:t>
      </w:r>
      <w:r>
        <w:rPr>
          <w:lang w:val="en-US"/>
        </w:rPr>
        <w:t xml:space="preserve">. </w:t>
      </w:r>
      <w:r>
        <w:rPr/>
        <w:t>Lisboa: Gulbenkian, 1995.</w:t>
      </w:r>
    </w:p>
    <w:p>
      <w:pPr>
        <w:pStyle w:val="Normal"/>
        <w:spacing w:lineRule="auto" w:line="360"/>
        <w:jc w:val="both"/>
        <w:rPr/>
      </w:pPr>
      <w:r>
        <w:rPr/>
        <w:t xml:space="preserve">GOMES, P. E. S. </w:t>
      </w:r>
      <w:r>
        <w:rPr>
          <w:b/>
          <w:i/>
        </w:rPr>
        <w:t>Cinema: trajetória no subdesenvolvimento</w:t>
      </w:r>
      <w:r>
        <w:rPr/>
        <w:t xml:space="preserve">. Rio de Janeiro: Paz e </w:t>
        <w:tab/>
        <w:t xml:space="preserve">Terra, </w:t>
        <w:tab/>
        <w:t>1980.</w:t>
      </w:r>
    </w:p>
    <w:p>
      <w:pPr>
        <w:pStyle w:val="Normal"/>
        <w:spacing w:lineRule="auto" w:line="360"/>
        <w:jc w:val="both"/>
        <w:rPr/>
      </w:pPr>
      <w:r>
        <w:rPr>
          <w:rFonts w:eastAsia="Calibri"/>
          <w:lang w:val="en-US"/>
        </w:rPr>
        <w:t xml:space="preserve">GRIFFIN, A. </w:t>
      </w:r>
      <w:r>
        <w:rPr>
          <w:rFonts w:eastAsia="Calibri"/>
          <w:b/>
          <w:i/>
          <w:lang w:val="en-US"/>
        </w:rPr>
        <w:t>Fire and ice in Frankenstein</w:t>
      </w:r>
      <w:r>
        <w:rPr>
          <w:rFonts w:eastAsia="Calibri"/>
          <w:lang w:val="en-US"/>
        </w:rPr>
        <w:t xml:space="preserve">. In: Levine, G. &amp; Knoepflmacher, U. C. </w:t>
        <w:tab/>
        <w:t xml:space="preserve">The endurance of Frankenstein. Essays on Mary Shelley's novel. Berkeley: </w:t>
        <w:tab/>
        <w:t xml:space="preserve">California University Press, 1974. </w:t>
      </w:r>
      <w:r>
        <w:rPr>
          <w:rFonts w:eastAsia="Calibri"/>
        </w:rPr>
        <w:t xml:space="preserve">(pp. 49-73). </w:t>
      </w:r>
    </w:p>
    <w:p>
      <w:pPr>
        <w:pStyle w:val="Normal"/>
        <w:spacing w:lineRule="auto" w:line="360"/>
        <w:jc w:val="both"/>
        <w:rPr/>
      </w:pPr>
      <w:r>
        <w:rPr/>
        <w:t xml:space="preserve">GRÜNNEWALD, J. L. (org). </w:t>
      </w:r>
      <w:r>
        <w:rPr>
          <w:b/>
          <w:i/>
        </w:rPr>
        <w:t>A idéia do cinema</w:t>
      </w:r>
      <w:r>
        <w:rPr/>
        <w:t xml:space="preserve">. Rio de Janeiro: Civilização brasileira, </w:t>
        <w:tab/>
        <w:t>1969.</w:t>
      </w:r>
    </w:p>
    <w:p>
      <w:pPr>
        <w:pStyle w:val="Normal"/>
        <w:spacing w:lineRule="auto" w:line="360"/>
        <w:rPr/>
      </w:pPr>
      <w:r>
        <w:rPr>
          <w:caps/>
        </w:rPr>
        <w:t>Hall</w:t>
      </w:r>
      <w:r>
        <w:rPr/>
        <w:t xml:space="preserve">, A. R. </w:t>
      </w:r>
      <w:r>
        <w:rPr>
          <w:b/>
          <w:i/>
        </w:rPr>
        <w:t>A revolução na ciência: 1500-1750</w:t>
      </w:r>
      <w:r>
        <w:rPr/>
        <w:t>. Lisboa: edições 70, 1983.</w:t>
      </w:r>
    </w:p>
    <w:p>
      <w:pPr>
        <w:pStyle w:val="Normal"/>
        <w:spacing w:lineRule="auto" w:line="360"/>
        <w:jc w:val="both"/>
        <w:rPr>
          <w:rFonts w:eastAsia="Calibri"/>
        </w:rPr>
      </w:pPr>
      <w:r>
        <w:rPr/>
        <w:t xml:space="preserve">HANEY, J. </w:t>
      </w:r>
      <w:r>
        <w:rPr>
          <w:b/>
          <w:i/>
        </w:rPr>
        <w:t>Lênin</w:t>
      </w:r>
      <w:r>
        <w:rPr/>
        <w:t>. São Paulo: Nova Cultural, 1988.</w:t>
      </w:r>
    </w:p>
    <w:p>
      <w:pPr>
        <w:pStyle w:val="Normal"/>
        <w:spacing w:lineRule="auto" w:line="360"/>
        <w:jc w:val="both"/>
        <w:rPr/>
      </w:pPr>
      <w:r>
        <w:rPr>
          <w:rFonts w:eastAsia="Calibri"/>
        </w:rPr>
        <w:t xml:space="preserve">HARRÉ, R. (org). </w:t>
      </w:r>
      <w:r>
        <w:rPr>
          <w:rFonts w:eastAsia="Calibri"/>
          <w:b/>
          <w:i/>
        </w:rPr>
        <w:t xml:space="preserve">Problemas da revolução científica: Incentivos e obstáculos ao </w:t>
        <w:tab/>
        <w:t>progresso das ciências</w:t>
      </w:r>
      <w:r>
        <w:rPr>
          <w:rFonts w:eastAsia="Calibri"/>
        </w:rPr>
        <w:t>. Belo Horizonte: Editora Itatiaia, 1976.</w:t>
      </w:r>
    </w:p>
    <w:p>
      <w:pPr>
        <w:pStyle w:val="Normal"/>
        <w:spacing w:lineRule="auto" w:line="360"/>
        <w:jc w:val="both"/>
        <w:rPr>
          <w:rFonts w:eastAsia="Calibri"/>
        </w:rPr>
      </w:pPr>
      <w:r>
        <w:rPr>
          <w:rFonts w:eastAsia="Calibri"/>
          <w:lang w:val="en-US"/>
        </w:rPr>
        <w:t xml:space="preserve">HASSLER, D. M. &amp; WILCOX, C. (eds.). </w:t>
      </w:r>
      <w:r>
        <w:rPr>
          <w:rFonts w:eastAsia="Calibri"/>
          <w:b/>
          <w:i/>
          <w:lang w:val="en-US"/>
        </w:rPr>
        <w:t xml:space="preserve">New boundaries in political science </w:t>
        <w:tab/>
        <w:t>fiction</w:t>
      </w:r>
      <w:r>
        <w:rPr>
          <w:rFonts w:eastAsia="Calibri"/>
          <w:lang w:val="en-US"/>
        </w:rPr>
        <w:t xml:space="preserve">. </w:t>
        <w:tab/>
        <w:t>Columbia: University of South Carolina Press, 2008.</w:t>
      </w:r>
    </w:p>
    <w:p>
      <w:pPr>
        <w:pStyle w:val="Normal"/>
        <w:spacing w:lineRule="auto" w:line="360"/>
        <w:jc w:val="both"/>
        <w:rPr/>
      </w:pPr>
      <w:r>
        <w:rPr>
          <w:rFonts w:eastAsia="Calibri"/>
        </w:rPr>
        <w:t xml:space="preserve">HENRY, J. </w:t>
      </w:r>
      <w:r>
        <w:rPr>
          <w:rFonts w:eastAsia="Calibri"/>
          <w:b/>
          <w:i/>
        </w:rPr>
        <w:t>A Revolução científica e as origens da ciência moderna</w:t>
      </w:r>
      <w:r>
        <w:rPr>
          <w:rFonts w:eastAsia="Calibri"/>
        </w:rPr>
        <w:t xml:space="preserve">. Rio de Janeiro: </w:t>
        <w:tab/>
        <w:t>Jorge Zahar editor, 1998.</w:t>
      </w:r>
    </w:p>
    <w:p>
      <w:pPr>
        <w:pStyle w:val="Normal"/>
        <w:spacing w:lineRule="auto" w:line="360"/>
        <w:jc w:val="both"/>
        <w:rPr/>
      </w:pPr>
      <w:r>
        <w:rPr/>
        <w:t xml:space="preserve">HOBSBAWM, E. J. </w:t>
      </w:r>
      <w:r>
        <w:rPr>
          <w:b/>
          <w:i/>
        </w:rPr>
        <w:t>A era dos impérios: 1875-1914</w:t>
      </w:r>
      <w:r>
        <w:rPr/>
        <w:t xml:space="preserve">. Rio de Janeiro: Paz e Terra, 1998. </w:t>
      </w:r>
    </w:p>
    <w:p>
      <w:pPr>
        <w:pStyle w:val="Normal"/>
        <w:spacing w:lineRule="auto" w:line="360"/>
        <w:jc w:val="both"/>
        <w:rPr/>
      </w:pPr>
      <w:r>
        <w:rPr/>
        <w:t xml:space="preserve">________. </w:t>
      </w:r>
      <w:r>
        <w:rPr>
          <w:b/>
          <w:i/>
        </w:rPr>
        <w:t>A era dos extremos</w:t>
      </w:r>
      <w:r>
        <w:rPr/>
        <w:t>. São Paulo: Companhia das letras, 2008.</w:t>
      </w:r>
    </w:p>
    <w:p>
      <w:pPr>
        <w:pStyle w:val="Normal"/>
        <w:spacing w:lineRule="auto" w:line="360"/>
        <w:jc w:val="both"/>
        <w:rPr/>
      </w:pPr>
      <w:r>
        <w:rPr/>
        <w:t xml:space="preserve">________. </w:t>
      </w:r>
      <w:r>
        <w:rPr>
          <w:b/>
          <w:i/>
        </w:rPr>
        <w:t>A era do capital: 1848-1875</w:t>
      </w:r>
      <w:r>
        <w:rPr/>
        <w:t>. Rio de Janeiro: Paz e Terra, 2009.</w:t>
      </w:r>
    </w:p>
    <w:p>
      <w:pPr>
        <w:pStyle w:val="Normal"/>
        <w:spacing w:lineRule="auto" w:line="360"/>
        <w:jc w:val="both"/>
        <w:rPr/>
      </w:pPr>
      <w:r>
        <w:rPr/>
        <w:softHyphen/>
        <w:softHyphen/>
        <w:softHyphen/>
        <w:t xml:space="preserve">________. </w:t>
      </w:r>
      <w:r>
        <w:rPr>
          <w:b/>
          <w:i/>
        </w:rPr>
        <w:t>A era das revoluções: 1789-1848</w:t>
      </w:r>
      <w:r>
        <w:rPr/>
        <w:t>. Rio de Janeiro: Paz e Terra, 2009.</w:t>
      </w:r>
    </w:p>
    <w:p>
      <w:pPr>
        <w:pStyle w:val="Normal"/>
        <w:spacing w:lineRule="auto" w:line="360"/>
        <w:jc w:val="both"/>
        <w:rPr>
          <w:rFonts w:eastAsia="Calibri"/>
        </w:rPr>
      </w:pPr>
      <w:r>
        <w:rPr>
          <w:caps/>
        </w:rPr>
        <w:t>Hoffmann,</w:t>
      </w:r>
      <w:r>
        <w:rPr/>
        <w:t xml:space="preserve"> E.T.A. </w:t>
      </w:r>
      <w:r>
        <w:rPr>
          <w:b/>
          <w:i/>
        </w:rPr>
        <w:t>O pequeno Zacarias, chamado Cinabre</w:t>
      </w:r>
      <w:r>
        <w:rPr/>
        <w:t xml:space="preserve">. Tradução por Marion </w:t>
        <w:tab/>
        <w:t>Fleischer. São Paulo: Martins Fontes, 1998.</w:t>
      </w:r>
    </w:p>
    <w:p>
      <w:pPr>
        <w:pStyle w:val="Normal"/>
        <w:spacing w:lineRule="auto" w:line="360"/>
        <w:jc w:val="both"/>
        <w:rPr>
          <w:rFonts w:eastAsia="Calibri"/>
          <w:lang w:val="en-US"/>
        </w:rPr>
      </w:pPr>
      <w:r>
        <w:rPr/>
        <w:t xml:space="preserve">HOOBLER, D. e HOOBLER, T. </w:t>
      </w:r>
      <w:r>
        <w:rPr>
          <w:b/>
          <w:i/>
        </w:rPr>
        <w:t>Stálin</w:t>
      </w:r>
      <w:r>
        <w:rPr/>
        <w:t>. São Paulo: Nova Cultural, 1987.</w:t>
      </w:r>
    </w:p>
    <w:p>
      <w:pPr>
        <w:pStyle w:val="Normal"/>
        <w:spacing w:lineRule="auto" w:line="360"/>
        <w:jc w:val="both"/>
        <w:rPr/>
      </w:pPr>
      <w:r>
        <w:rPr>
          <w:rFonts w:eastAsia="Calibri"/>
          <w:lang w:val="en-US"/>
        </w:rPr>
        <w:t xml:space="preserve">HUNTER, A. </w:t>
      </w:r>
      <w:r>
        <w:rPr>
          <w:rFonts w:eastAsia="Calibri"/>
          <w:b/>
          <w:i/>
          <w:lang w:val="en-US"/>
        </w:rPr>
        <w:t>Evolution, revolution and Frankenstein's creature</w:t>
      </w:r>
      <w:r>
        <w:rPr>
          <w:rFonts w:eastAsia="Calibri"/>
          <w:lang w:val="en-US"/>
        </w:rPr>
        <w:t xml:space="preserve">. In: Knellwolf, C. </w:t>
        <w:tab/>
        <w:t xml:space="preserve">&amp; Goodall, J. Frankenstein's science: Experimentation and discovery in </w:t>
        <w:tab/>
        <w:t xml:space="preserve">Romantic culture, 1780-1830. </w:t>
      </w:r>
      <w:r>
        <w:rPr>
          <w:rFonts w:eastAsia="Calibri"/>
        </w:rPr>
        <w:t>Aldershot: Ashgate, 2008. (pp. 133-149).</w:t>
      </w:r>
    </w:p>
    <w:p>
      <w:pPr>
        <w:pStyle w:val="Normal"/>
        <w:spacing w:lineRule="auto" w:line="360"/>
        <w:jc w:val="both"/>
        <w:rPr/>
      </w:pPr>
      <w:r>
        <w:rPr/>
        <w:t xml:space="preserve">KRACAUER, S. </w:t>
      </w:r>
      <w:r>
        <w:rPr>
          <w:b/>
          <w:i/>
        </w:rPr>
        <w:t>O ornamento da massa</w:t>
      </w:r>
      <w:r>
        <w:rPr/>
        <w:t xml:space="preserve">. São Paulo: Cosac &amp; Naify, 2009.   </w:t>
      </w:r>
    </w:p>
    <w:p>
      <w:pPr>
        <w:pStyle w:val="Normal"/>
        <w:spacing w:lineRule="auto" w:line="360"/>
        <w:jc w:val="both"/>
        <w:rPr/>
      </w:pPr>
      <w:r>
        <w:rPr/>
        <w:t xml:space="preserve">_________. </w:t>
      </w:r>
      <w:r>
        <w:rPr>
          <w:b/>
          <w:i/>
        </w:rPr>
        <w:t>De Caligari a Hitler: Uma história psicológica do cinema alemão</w:t>
      </w:r>
      <w:r>
        <w:rPr>
          <w:i/>
        </w:rPr>
        <w:t>.</w:t>
      </w:r>
      <w:r>
        <w:rPr/>
        <w:t xml:space="preserve"> </w:t>
        <w:tab/>
      </w:r>
      <w:r>
        <w:rPr>
          <w:lang w:val="en-US"/>
        </w:rPr>
        <w:t xml:space="preserve">São </w:t>
        <w:tab/>
        <w:t xml:space="preserve">Paulo: </w:t>
        <w:tab/>
        <w:t xml:space="preserve">Jorge Zahar, 1988.  </w:t>
      </w:r>
    </w:p>
    <w:p>
      <w:pPr>
        <w:pStyle w:val="Normal"/>
        <w:spacing w:lineRule="auto" w:line="360"/>
        <w:jc w:val="both"/>
        <w:rPr/>
      </w:pPr>
      <w:r>
        <w:rPr>
          <w:lang w:val="en-US"/>
        </w:rPr>
        <w:t xml:space="preserve">_________. </w:t>
      </w:r>
      <w:r>
        <w:rPr>
          <w:b/>
          <w:i/>
          <w:lang w:val="en-US"/>
        </w:rPr>
        <w:t>Theory of Film</w:t>
      </w:r>
      <w:r>
        <w:rPr>
          <w:i/>
          <w:lang w:val="en-US"/>
        </w:rPr>
        <w:t>.</w:t>
      </w:r>
      <w:r>
        <w:rPr>
          <w:lang w:val="en-US"/>
        </w:rPr>
        <w:t xml:space="preserve"> E.U.A: Princeton University, 1997.</w:t>
      </w:r>
    </w:p>
    <w:p>
      <w:pPr>
        <w:pStyle w:val="Normal"/>
        <w:spacing w:lineRule="auto" w:line="360"/>
        <w:jc w:val="both"/>
        <w:rPr/>
      </w:pPr>
      <w:r>
        <w:rPr>
          <w:rFonts w:eastAsia="Calibri"/>
        </w:rPr>
        <w:t xml:space="preserve">KOYRÉ, A. </w:t>
      </w:r>
      <w:r>
        <w:rPr>
          <w:rFonts w:eastAsia="Calibri"/>
          <w:b/>
          <w:i/>
        </w:rPr>
        <w:t>Estudos de História do pensamento científico</w:t>
      </w:r>
      <w:r>
        <w:rPr>
          <w:rFonts w:eastAsia="Calibri"/>
          <w:i/>
        </w:rPr>
        <w:t>.</w:t>
      </w:r>
      <w:r>
        <w:rPr>
          <w:rFonts w:eastAsia="Calibri"/>
        </w:rPr>
        <w:t xml:space="preserve"> Brasília: Editora UNB, </w:t>
        <w:tab/>
        <w:t xml:space="preserve">1982.  </w:t>
      </w:r>
    </w:p>
    <w:p>
      <w:pPr>
        <w:pStyle w:val="Normal"/>
        <w:spacing w:lineRule="auto" w:line="360"/>
        <w:jc w:val="both"/>
        <w:rPr/>
      </w:pPr>
      <w:r>
        <w:rPr>
          <w:rFonts w:eastAsia="Calibri"/>
        </w:rPr>
        <w:t xml:space="preserve">________. </w:t>
      </w:r>
      <w:r>
        <w:rPr>
          <w:rFonts w:eastAsia="Calibri"/>
          <w:b/>
          <w:i/>
        </w:rPr>
        <w:t>Estudos Galilaicos</w:t>
      </w:r>
      <w:r>
        <w:rPr>
          <w:rFonts w:eastAsia="Calibri"/>
        </w:rPr>
        <w:t xml:space="preserve">. Lisboa: Publicações Dom Quixote, 1986. </w:t>
      </w:r>
    </w:p>
    <w:p>
      <w:pPr>
        <w:pStyle w:val="Normal"/>
        <w:spacing w:lineRule="auto" w:line="360"/>
        <w:jc w:val="both"/>
        <w:rPr/>
      </w:pPr>
      <w:r>
        <w:rPr>
          <w:sz w:val="26"/>
          <w:szCs w:val="26"/>
          <w:lang w:val="en-US"/>
        </w:rPr>
        <w:t xml:space="preserve">KOSELLECK, R.; GADAMER, H.G. </w:t>
      </w:r>
      <w:r>
        <w:rPr>
          <w:b/>
          <w:i/>
          <w:sz w:val="26"/>
          <w:szCs w:val="26"/>
          <w:lang w:val="en-US"/>
        </w:rPr>
        <w:t>Historia y hermenéutica</w:t>
      </w:r>
      <w:r>
        <w:rPr>
          <w:sz w:val="26"/>
          <w:szCs w:val="26"/>
          <w:lang w:val="en-US"/>
        </w:rPr>
        <w:t xml:space="preserve">. </w:t>
      </w:r>
      <w:r>
        <w:rPr>
          <w:sz w:val="26"/>
          <w:szCs w:val="26"/>
        </w:rPr>
        <w:t xml:space="preserve">Barcelona: </w:t>
      </w:r>
      <w:r>
        <w:rPr/>
        <w:tab/>
        <w:t xml:space="preserve">Ediciones Paidós Ibérica, S. A. 1993.   </w:t>
      </w:r>
    </w:p>
    <w:p>
      <w:pPr>
        <w:pStyle w:val="Normal"/>
        <w:spacing w:lineRule="auto" w:line="360"/>
        <w:jc w:val="both"/>
        <w:rPr/>
      </w:pPr>
      <w:r>
        <w:rPr/>
        <w:t xml:space="preserve">KOSELLECK, R. </w:t>
      </w:r>
      <w:r>
        <w:rPr>
          <w:b/>
          <w:i/>
        </w:rPr>
        <w:t>Crítica e crise</w:t>
      </w:r>
      <w:r>
        <w:rPr/>
        <w:t xml:space="preserve">. Rio de Janeiro: Contraponto, 1999. </w:t>
      </w:r>
    </w:p>
    <w:p>
      <w:pPr>
        <w:pStyle w:val="Normal"/>
        <w:spacing w:lineRule="auto" w:line="360"/>
        <w:jc w:val="both"/>
        <w:rPr/>
      </w:pPr>
      <w:r>
        <w:rPr/>
        <w:t xml:space="preserve">__________. </w:t>
      </w:r>
      <w:r>
        <w:rPr>
          <w:b/>
          <w:i/>
        </w:rPr>
        <w:t>Futuro Passado: Contribuição à semântica dos tempos históricos.</w:t>
      </w:r>
      <w:r>
        <w:rPr/>
        <w:t xml:space="preserve"> </w:t>
        <w:tab/>
        <w:t xml:space="preserve">Rio de Janeiro: Contraponto: Ed. PUC-Rio, 2006. </w:t>
      </w:r>
    </w:p>
    <w:p>
      <w:pPr>
        <w:pStyle w:val="Normal"/>
        <w:spacing w:lineRule="auto" w:line="360"/>
        <w:jc w:val="both"/>
        <w:rPr/>
      </w:pPr>
      <w:r>
        <w:rPr/>
        <w:t xml:space="preserve">__________. </w:t>
      </w:r>
      <w:r>
        <w:rPr>
          <w:b/>
          <w:i/>
        </w:rPr>
        <w:t>Uma história dos conceitos: problemas teóricos e práticos</w:t>
      </w:r>
      <w:r>
        <w:rPr/>
        <w:t xml:space="preserve">. </w:t>
        <w:tab/>
        <w:t>Estudos históricos. Rio de Janeiro, vol. 5, n. 10, 1992, pp. 134-146.</w:t>
      </w:r>
    </w:p>
    <w:p>
      <w:pPr>
        <w:pStyle w:val="Normal"/>
        <w:spacing w:lineRule="auto" w:line="360"/>
        <w:jc w:val="both"/>
        <w:rPr/>
      </w:pPr>
      <w:r>
        <w:rPr>
          <w:caps/>
        </w:rPr>
        <w:t>Lagerlöf</w:t>
      </w:r>
      <w:r>
        <w:rPr/>
        <w:t xml:space="preserve">, Selma. </w:t>
      </w:r>
      <w:r>
        <w:rPr>
          <w:b/>
          <w:i/>
        </w:rPr>
        <w:t>O Imperador de Portugal</w:t>
      </w:r>
      <w:r>
        <w:rPr/>
        <w:t xml:space="preserve">. Tradução por Esther de Lemos. São </w:t>
        <w:tab/>
        <w:t>Paulo: Ulisseia, 1988.</w:t>
      </w:r>
    </w:p>
    <w:p>
      <w:pPr>
        <w:pStyle w:val="Normal"/>
        <w:spacing w:lineRule="auto" w:line="360"/>
        <w:jc w:val="both"/>
        <w:rPr/>
      </w:pPr>
      <w:r>
        <w:rPr/>
        <w:t xml:space="preserve">LAWSON, J. H. </w:t>
      </w:r>
      <w:r>
        <w:rPr>
          <w:b/>
          <w:i/>
        </w:rPr>
        <w:t>O processo de criação no cinema</w:t>
      </w:r>
      <w:r>
        <w:rPr/>
        <w:t xml:space="preserve">. Rio de Janeiro: civilização </w:t>
        <w:tab/>
        <w:t>brasileira, 1967.</w:t>
      </w:r>
    </w:p>
    <w:p>
      <w:pPr>
        <w:pStyle w:val="Normal"/>
        <w:spacing w:lineRule="auto" w:line="360"/>
        <w:jc w:val="both"/>
        <w:rPr/>
      </w:pPr>
      <w:r>
        <w:rPr/>
        <w:t xml:space="preserve">LE BRETON, D. </w:t>
      </w:r>
      <w:r>
        <w:rPr>
          <w:b/>
          <w:i/>
        </w:rPr>
        <w:t>Adeus ao corpo: Antropologia e Sociedade</w:t>
      </w:r>
      <w:r>
        <w:rPr/>
        <w:t xml:space="preserve">. Campinas: Papirus, </w:t>
        <w:tab/>
        <w:t>2003.</w:t>
      </w:r>
    </w:p>
    <w:p>
      <w:pPr>
        <w:pStyle w:val="Normal"/>
        <w:spacing w:lineRule="auto" w:line="360"/>
        <w:jc w:val="both"/>
        <w:rPr/>
      </w:pPr>
      <w:r>
        <w:rPr>
          <w:caps/>
        </w:rPr>
        <w:t>Lecouteux,</w:t>
      </w:r>
      <w:r>
        <w:rPr/>
        <w:t xml:space="preserve"> C. </w:t>
      </w:r>
      <w:r>
        <w:rPr>
          <w:b/>
          <w:i/>
        </w:rPr>
        <w:t>História dos Vampiros: autópsia de um mito</w:t>
      </w:r>
      <w:r>
        <w:rPr/>
        <w:t xml:space="preserve">. São Paulo: editora da </w:t>
        <w:tab/>
        <w:t>UNESP, 2005.</w:t>
      </w:r>
    </w:p>
    <w:p>
      <w:pPr>
        <w:pStyle w:val="Normal"/>
        <w:spacing w:lineRule="auto" w:line="360"/>
        <w:jc w:val="both"/>
        <w:rPr/>
      </w:pPr>
      <w:r>
        <w:rPr>
          <w:caps/>
        </w:rPr>
        <w:t>Lovecraft,</w:t>
      </w:r>
      <w:r>
        <w:rPr/>
        <w:t xml:space="preserve"> H. P. </w:t>
      </w:r>
      <w:r>
        <w:rPr>
          <w:b/>
          <w:i/>
        </w:rPr>
        <w:t>O horror sobrenatural na literatura</w:t>
      </w:r>
      <w:r>
        <w:rPr/>
        <w:t xml:space="preserve">. Rio de Janeiro: Francisco </w:t>
        <w:tab/>
        <w:t xml:space="preserve">Alves, 1987. </w:t>
      </w:r>
    </w:p>
    <w:p>
      <w:pPr>
        <w:pStyle w:val="Normal"/>
        <w:spacing w:lineRule="auto" w:line="360"/>
        <w:jc w:val="both"/>
        <w:rPr/>
      </w:pPr>
      <w:r>
        <w:rPr/>
        <w:t xml:space="preserve">_________ </w:t>
      </w:r>
      <w:r>
        <w:rPr>
          <w:b/>
          <w:i/>
        </w:rPr>
        <w:t>A rua</w:t>
      </w:r>
      <w:r>
        <w:rPr/>
        <w:t xml:space="preserve">. In: Lovecraft, H. P. </w:t>
      </w:r>
      <w:r>
        <w:rPr>
          <w:b/>
          <w:i/>
        </w:rPr>
        <w:t>A tumba e outras histórias</w:t>
      </w:r>
      <w:r>
        <w:rPr/>
        <w:t xml:space="preserve">. Rio de </w:t>
        <w:tab/>
        <w:t xml:space="preserve">Janeiro: Francisco Alves, 1991. (pp. 163-168). </w:t>
      </w:r>
    </w:p>
    <w:p>
      <w:pPr>
        <w:pStyle w:val="Normal"/>
        <w:spacing w:lineRule="auto" w:line="360"/>
        <w:jc w:val="both"/>
        <w:rPr/>
      </w:pPr>
      <w:r>
        <w:rPr/>
        <w:t xml:space="preserve">_________ </w:t>
      </w:r>
      <w:r>
        <w:rPr>
          <w:b/>
          <w:i/>
        </w:rPr>
        <w:t>A cor que caiu do céu</w:t>
      </w:r>
      <w:r>
        <w:rPr/>
        <w:t xml:space="preserve">. In: Lovecraft, H. P. </w:t>
      </w:r>
      <w:r>
        <w:rPr>
          <w:b/>
          <w:i/>
        </w:rPr>
        <w:t>Um sussurro nas trevas</w:t>
      </w:r>
      <w:r>
        <w:rPr/>
        <w:t xml:space="preserve">. Rio de </w:t>
        <w:tab/>
        <w:t>Janeiro: Francisco Alves, 1983. (pp. 07-33).</w:t>
      </w:r>
    </w:p>
    <w:p>
      <w:pPr>
        <w:pStyle w:val="Normal"/>
        <w:spacing w:lineRule="auto" w:line="360"/>
        <w:jc w:val="both"/>
        <w:rPr/>
      </w:pPr>
      <w:r>
        <w:rPr/>
        <w:t xml:space="preserve">MANDER, J. </w:t>
      </w:r>
      <w:r>
        <w:rPr>
          <w:b/>
          <w:i/>
        </w:rPr>
        <w:t>Quatro argumentos para acabar com a televisão</w:t>
      </w:r>
      <w:r>
        <w:rPr/>
        <w:t xml:space="preserve">. Lisboa: Antígona, </w:t>
        <w:tab/>
        <w:t>1977.</w:t>
      </w:r>
    </w:p>
    <w:p>
      <w:pPr>
        <w:pStyle w:val="Normal"/>
        <w:spacing w:lineRule="auto" w:line="360"/>
        <w:jc w:val="both"/>
        <w:rPr>
          <w:caps/>
        </w:rPr>
      </w:pPr>
      <w:r>
        <w:rPr/>
        <w:t xml:space="preserve">MANFRED, A. </w:t>
      </w:r>
      <w:r>
        <w:rPr>
          <w:b/>
          <w:i/>
        </w:rPr>
        <w:t>A grande revolução francesa</w:t>
      </w:r>
      <w:r>
        <w:rPr/>
        <w:t>. 1ª edição. São Paulo: Cone, 1986.</w:t>
      </w:r>
    </w:p>
    <w:p>
      <w:pPr>
        <w:pStyle w:val="Normal"/>
        <w:spacing w:lineRule="auto" w:line="360"/>
        <w:jc w:val="both"/>
        <w:rPr/>
      </w:pPr>
      <w:r>
        <w:rPr>
          <w:caps/>
        </w:rPr>
        <w:t>Martins</w:t>
      </w:r>
      <w:r>
        <w:rPr/>
        <w:t xml:space="preserve">, R. A. </w:t>
      </w:r>
      <w:r>
        <w:rPr>
          <w:b/>
          <w:i/>
        </w:rPr>
        <w:t xml:space="preserve">A influência das geometrias não-euclidianas no pensamento físico </w:t>
        <w:tab/>
        <w:t>do Século XIX</w:t>
      </w:r>
      <w:r>
        <w:rPr/>
        <w:t xml:space="preserve">. Revista da Sociedade Brasileira de História da Ciência, n. 13, p. </w:t>
        <w:tab/>
        <w:t>67-80, 1995.</w:t>
      </w:r>
    </w:p>
    <w:p>
      <w:pPr>
        <w:pStyle w:val="Normal"/>
        <w:spacing w:lineRule="auto" w:line="360"/>
        <w:jc w:val="both"/>
        <w:rPr/>
      </w:pPr>
      <w:r>
        <w:rPr/>
        <w:t xml:space="preserve">MATTOS, A. C. G. </w:t>
      </w:r>
      <w:r>
        <w:rPr>
          <w:b/>
          <w:i/>
        </w:rPr>
        <w:t xml:space="preserve">Do cinetoscópio ao cinema digital: breve história do cinema </w:t>
        <w:tab/>
        <w:t>americano</w:t>
      </w:r>
      <w:r>
        <w:rPr/>
        <w:t xml:space="preserve">. Rio de Janeiro: Rocco, 2006. </w:t>
      </w:r>
    </w:p>
    <w:p>
      <w:pPr>
        <w:pStyle w:val="Normal"/>
        <w:spacing w:lineRule="auto" w:line="360"/>
        <w:jc w:val="both"/>
        <w:rPr/>
      </w:pPr>
      <w:r>
        <w:rPr/>
        <w:t xml:space="preserve">______________. </w:t>
      </w:r>
      <w:r>
        <w:rPr>
          <w:b/>
          <w:i/>
        </w:rPr>
        <w:t>A outra face de Hollywood: Filme B</w:t>
      </w:r>
      <w:r>
        <w:rPr/>
        <w:t xml:space="preserve">. Rio de Janeiro: </w:t>
        <w:tab/>
        <w:t xml:space="preserve">Rocco, 2003. </w:t>
      </w:r>
    </w:p>
    <w:p>
      <w:pPr>
        <w:pStyle w:val="Normal"/>
        <w:spacing w:lineRule="auto" w:line="360"/>
        <w:jc w:val="both"/>
        <w:rPr/>
      </w:pPr>
      <w:r>
        <w:rPr/>
        <w:t xml:space="preserve">MAYER, A. J. </w:t>
      </w:r>
      <w:r>
        <w:rPr>
          <w:b/>
          <w:i/>
        </w:rPr>
        <w:t>A força da tradição: A persistência do antigo regime (1848-1914)</w:t>
      </w:r>
      <w:r>
        <w:rPr/>
        <w:t xml:space="preserve">. São </w:t>
        <w:tab/>
        <w:t xml:space="preserve">Paulo: Companhia das letras, 1987. </w:t>
      </w:r>
    </w:p>
    <w:p>
      <w:pPr>
        <w:pStyle w:val="Normal"/>
        <w:spacing w:lineRule="auto" w:line="360"/>
        <w:jc w:val="both"/>
        <w:rPr/>
      </w:pPr>
      <w:r>
        <w:rPr>
          <w:rFonts w:eastAsia="Calibri"/>
        </w:rPr>
        <w:t xml:space="preserve">McCULLOCH, W. S. &amp; PITTS, W. </w:t>
      </w:r>
      <w:r>
        <w:rPr>
          <w:rFonts w:eastAsia="Calibri"/>
          <w:b/>
          <w:i/>
        </w:rPr>
        <w:t xml:space="preserve">A logical calculus of the ideas immanent in </w:t>
        <w:tab/>
        <w:t>nervous activity</w:t>
      </w:r>
      <w:r>
        <w:rPr>
          <w:rFonts w:eastAsia="Calibri"/>
        </w:rPr>
        <w:t xml:space="preserve">. </w:t>
      </w:r>
      <w:r>
        <w:rPr>
          <w:rFonts w:eastAsia="Calibri"/>
          <w:lang w:val="en-US"/>
        </w:rPr>
        <w:t xml:space="preserve">In: Bulletin of Mathematical Biophysics. Vol 5, 1943. (pp. </w:t>
        <w:tab/>
        <w:t>115-133).</w:t>
      </w:r>
    </w:p>
    <w:p>
      <w:pPr>
        <w:pStyle w:val="Normal"/>
        <w:spacing w:lineRule="auto" w:line="360"/>
        <w:jc w:val="both"/>
        <w:rPr/>
      </w:pPr>
      <w:r>
        <w:rPr/>
        <w:t xml:space="preserve">MELEIRO, A. (org). </w:t>
      </w:r>
      <w:r>
        <w:rPr>
          <w:b/>
          <w:i/>
        </w:rPr>
        <w:t>Cinema no mundo: Indústria, Política e Mercado – África.</w:t>
      </w:r>
      <w:r>
        <w:rPr>
          <w:b/>
        </w:rPr>
        <w:t xml:space="preserve"> </w:t>
      </w:r>
      <w:r>
        <w:rPr/>
        <w:t xml:space="preserve">São </w:t>
        <w:tab/>
        <w:t>Paulo:</w:t>
        <w:tab/>
        <w:t>escrituras editora, 2007.</w:t>
      </w:r>
    </w:p>
    <w:p>
      <w:pPr>
        <w:pStyle w:val="Normal"/>
        <w:spacing w:lineRule="auto" w:line="360"/>
        <w:jc w:val="both"/>
        <w:rPr/>
      </w:pPr>
      <w:r>
        <w:rPr/>
        <w:t xml:space="preserve">_____________. </w:t>
      </w:r>
      <w:r>
        <w:rPr>
          <w:b/>
          <w:i/>
        </w:rPr>
        <w:t>Cinema no mundo: Indústria, Política e Mercado – Ásia.</w:t>
      </w:r>
      <w:r>
        <w:rPr>
          <w:b/>
        </w:rPr>
        <w:t xml:space="preserve"> </w:t>
      </w:r>
      <w:r>
        <w:rPr/>
        <w:t xml:space="preserve">São Paulo: </w:t>
        <w:tab/>
        <w:t>escrituras editora, 2007.</w:t>
      </w:r>
    </w:p>
    <w:p>
      <w:pPr>
        <w:pStyle w:val="Normal"/>
        <w:spacing w:lineRule="auto" w:line="360"/>
        <w:jc w:val="both"/>
        <w:rPr/>
      </w:pPr>
      <w:r>
        <w:rPr>
          <w:caps/>
          <w:lang w:val="es-ES_tradnl"/>
        </w:rPr>
        <w:t>Moreno,</w:t>
      </w:r>
      <w:r>
        <w:rPr>
          <w:lang w:val="es-ES_tradnl"/>
        </w:rPr>
        <w:t xml:space="preserve"> A.; Ron, J. M. S. </w:t>
      </w:r>
      <w:r>
        <w:rPr>
          <w:b/>
          <w:i/>
          <w:lang w:val="es-ES_tradnl"/>
        </w:rPr>
        <w:t xml:space="preserve">La ciência española contemporânea: Del optimismo </w:t>
        <w:tab/>
        <w:t>regeneracionista a la exaltación patriótica.</w:t>
      </w:r>
      <w:r>
        <w:rPr>
          <w:lang w:val="es-ES_tradnl"/>
        </w:rPr>
        <w:t xml:space="preserve"> </w:t>
      </w:r>
      <w:r>
        <w:rPr/>
        <w:t xml:space="preserve">In: Lafuente et al. </w:t>
      </w:r>
      <w:r>
        <w:rPr>
          <w:b/>
          <w:i/>
        </w:rPr>
        <w:t xml:space="preserve">Mundializacion </w:t>
        <w:tab/>
        <w:t>de la ciência y cultura nacional</w:t>
      </w:r>
      <w:r>
        <w:rPr/>
        <w:t xml:space="preserve">. Universidad Autônoma de Madrid: Doce </w:t>
        <w:tab/>
        <w:t>Calles, 1998. (pp. 391-397).</w:t>
      </w:r>
    </w:p>
    <w:p>
      <w:pPr>
        <w:pStyle w:val="Normal"/>
        <w:spacing w:lineRule="auto" w:line="360"/>
        <w:jc w:val="both"/>
        <w:rPr/>
      </w:pPr>
      <w:r>
        <w:rPr/>
        <w:t xml:space="preserve">MUNSTERBERG, H. </w:t>
      </w:r>
      <w:r>
        <w:rPr>
          <w:b/>
          <w:i/>
          <w:iCs/>
        </w:rPr>
        <w:t>The film: A psychological study</w:t>
      </w:r>
      <w:r>
        <w:rPr/>
        <w:t xml:space="preserve">. </w:t>
      </w:r>
      <w:r>
        <w:rPr>
          <w:lang w:val="pt-PT"/>
        </w:rPr>
        <w:t xml:space="preserve">USA: Dover publications, </w:t>
        <w:tab/>
        <w:t xml:space="preserve">2004. </w:t>
      </w:r>
    </w:p>
    <w:p>
      <w:pPr>
        <w:pStyle w:val="Normal"/>
        <w:spacing w:lineRule="auto" w:line="360"/>
        <w:jc w:val="both"/>
        <w:rPr>
          <w:rFonts w:eastAsia="Calibri"/>
          <w:lang w:val="en-US"/>
        </w:rPr>
      </w:pPr>
      <w:r>
        <w:rPr/>
        <w:t xml:space="preserve">NAPOLITANO, M. </w:t>
      </w:r>
      <w:r>
        <w:rPr>
          <w:b/>
          <w:i/>
        </w:rPr>
        <w:t xml:space="preserve">A escrita fílmica da história e a monumentalização do passado: </w:t>
        <w:tab/>
        <w:t>uma análise comparada de Amistad e Danton</w:t>
      </w:r>
      <w:r>
        <w:rPr>
          <w:i/>
        </w:rPr>
        <w:t xml:space="preserve">. </w:t>
      </w:r>
      <w:r>
        <w:rPr/>
        <w:t xml:space="preserve">In: CAPELATO, M. H. et al. </w:t>
        <w:tab/>
        <w:t>(orgs.)</w:t>
      </w:r>
      <w:r>
        <w:rPr>
          <w:i/>
        </w:rPr>
        <w:t>. História e Cinema</w:t>
      </w:r>
      <w:r>
        <w:rPr/>
        <w:t>. (São Paulo: Alameda, 2007. pp. 65-83).</w:t>
      </w:r>
    </w:p>
    <w:p>
      <w:pPr>
        <w:pStyle w:val="Normal"/>
        <w:spacing w:lineRule="auto" w:line="360"/>
        <w:jc w:val="both"/>
        <w:rPr>
          <w:lang w:val="en-US"/>
        </w:rPr>
      </w:pPr>
      <w:r>
        <w:rPr>
          <w:rFonts w:eastAsia="Calibri"/>
          <w:lang w:val="en-US"/>
        </w:rPr>
        <w:t xml:space="preserve">NEUMANN, J. von. </w:t>
      </w:r>
      <w:r>
        <w:rPr>
          <w:rFonts w:eastAsia="Calibri"/>
          <w:b/>
          <w:i/>
          <w:lang w:val="en-US"/>
        </w:rPr>
        <w:t>The computer and the brain</w:t>
      </w:r>
      <w:r>
        <w:rPr>
          <w:rFonts w:eastAsia="Calibri"/>
          <w:lang w:val="en-US"/>
        </w:rPr>
        <w:t xml:space="preserve">. New Haven: Yale University Press, </w:t>
        <w:tab/>
        <w:t>2000.</w:t>
      </w:r>
    </w:p>
    <w:p>
      <w:pPr>
        <w:pStyle w:val="Normal"/>
        <w:spacing w:lineRule="auto" w:line="360"/>
        <w:jc w:val="both"/>
        <w:rPr/>
      </w:pPr>
      <w:r>
        <w:rPr/>
        <w:t xml:space="preserve">OLIVEIRA, B. J. </w:t>
      </w:r>
      <w:r>
        <w:rPr>
          <w:b/>
          <w:i/>
        </w:rPr>
        <w:t>História da Ciência no Cinema</w:t>
      </w:r>
      <w:r>
        <w:rPr/>
        <w:t xml:space="preserve">. Belo Horizonte: Argumentum </w:t>
        <w:tab/>
        <w:t xml:space="preserve">editora, 2005.  </w:t>
      </w:r>
    </w:p>
    <w:p>
      <w:pPr>
        <w:pStyle w:val="Normal"/>
        <w:spacing w:lineRule="auto" w:line="360"/>
        <w:jc w:val="both"/>
        <w:rPr/>
      </w:pPr>
      <w:r>
        <w:rPr/>
        <w:t xml:space="preserve">__________. </w:t>
      </w:r>
      <w:r>
        <w:rPr>
          <w:b/>
          <w:i/>
        </w:rPr>
        <w:t>História da Ciência no Cinema 2</w:t>
      </w:r>
      <w:r>
        <w:rPr/>
        <w:t xml:space="preserve">. Belo Horizonte: Argumentum editora, </w:t>
        <w:tab/>
        <w:t>2007.</w:t>
      </w:r>
    </w:p>
    <w:p>
      <w:pPr>
        <w:pStyle w:val="Normal"/>
        <w:spacing w:lineRule="auto" w:line="360"/>
        <w:jc w:val="both"/>
        <w:rPr/>
      </w:pPr>
      <w:r>
        <w:rPr/>
        <w:t xml:space="preserve">PEREIRA, L. C. B. </w:t>
      </w:r>
      <w:r>
        <w:rPr>
          <w:b/>
          <w:i/>
        </w:rPr>
        <w:t>1980/81: a revolução autogestonária na Polônia</w:t>
      </w:r>
      <w:r>
        <w:rPr/>
        <w:t xml:space="preserve">. In: Revista de </w:t>
        <w:tab/>
        <w:t>Administração de Empresas. EAESP/FGV. Rio de Janeiro, 1982.</w:t>
      </w:r>
    </w:p>
    <w:p>
      <w:pPr>
        <w:pStyle w:val="Normal"/>
        <w:spacing w:lineRule="auto" w:line="360"/>
        <w:jc w:val="both"/>
        <w:rPr/>
      </w:pPr>
      <w:r>
        <w:rPr/>
        <w:t xml:space="preserve">PEREIRA, W. P. </w:t>
      </w:r>
      <w:r>
        <w:rPr>
          <w:b/>
          <w:i/>
        </w:rPr>
        <w:t xml:space="preserve">Cinema e propaganda política no fascismo, nazismo, salazarismo e </w:t>
        <w:tab/>
        <w:t>franquismo</w:t>
      </w:r>
      <w:r>
        <w:rPr>
          <w:i/>
        </w:rPr>
        <w:t>.</w:t>
      </w:r>
      <w:r>
        <w:rPr/>
        <w:t xml:space="preserve"> </w:t>
      </w:r>
      <w:r>
        <w:rPr>
          <w:color w:val="241F20"/>
        </w:rPr>
        <w:t xml:space="preserve">História: Questões &amp; Debates, Curitiba, n. 38, p. 101-131, 2003. </w:t>
        <w:tab/>
        <w:t>Editora UFPR.</w:t>
      </w:r>
    </w:p>
    <w:p>
      <w:pPr>
        <w:pStyle w:val="Normal"/>
        <w:spacing w:lineRule="auto" w:line="360"/>
        <w:jc w:val="both"/>
        <w:rPr/>
      </w:pPr>
      <w:r>
        <w:rPr>
          <w:caps/>
          <w:lang w:val="en-US"/>
        </w:rPr>
        <w:t>Poe</w:t>
      </w:r>
      <w:r>
        <w:rPr>
          <w:lang w:val="en-US"/>
        </w:rPr>
        <w:t xml:space="preserve">, E. A. </w:t>
      </w:r>
      <w:r>
        <w:rPr>
          <w:b/>
          <w:i/>
          <w:lang w:val="en-US"/>
        </w:rPr>
        <w:t>The fall of the house of Usher and other stories</w:t>
      </w:r>
      <w:r>
        <w:rPr>
          <w:lang w:val="en-US"/>
        </w:rPr>
        <w:t xml:space="preserve">. </w:t>
      </w:r>
      <w:r>
        <w:rPr/>
        <w:t xml:space="preserve">Edinburgh: Penguin </w:t>
        <w:tab/>
        <w:t>books, 2000.</w:t>
      </w:r>
    </w:p>
    <w:p>
      <w:pPr>
        <w:pStyle w:val="Normal"/>
        <w:spacing w:lineRule="auto" w:line="360"/>
        <w:jc w:val="both"/>
        <w:rPr/>
      </w:pPr>
      <w:r>
        <w:rPr/>
        <w:t xml:space="preserve">PUDOVKIN, V. I. </w:t>
      </w:r>
      <w:r>
        <w:rPr>
          <w:b/>
          <w:i/>
        </w:rPr>
        <w:t>Diretor e ator no cinema</w:t>
      </w:r>
      <w:r>
        <w:rPr/>
        <w:t>. São Paulo: editora Íris, 1980.</w:t>
      </w:r>
    </w:p>
    <w:p>
      <w:pPr>
        <w:pStyle w:val="Normal"/>
        <w:spacing w:lineRule="auto" w:line="360"/>
        <w:jc w:val="both"/>
        <w:rPr/>
      </w:pPr>
      <w:r>
        <w:rPr>
          <w:caps/>
        </w:rPr>
        <w:t>Putnam,</w:t>
      </w:r>
      <w:r>
        <w:rPr/>
        <w:t xml:space="preserve"> H. </w:t>
      </w:r>
      <w:r>
        <w:rPr>
          <w:b/>
          <w:i/>
        </w:rPr>
        <w:t>O impacto da ciência nas concepções modernas da racionalidade</w:t>
      </w:r>
      <w:r>
        <w:rPr/>
        <w:t xml:space="preserve">. In: PUTNAM, H. </w:t>
      </w:r>
      <w:r>
        <w:rPr>
          <w:b/>
          <w:i/>
        </w:rPr>
        <w:t>Razão, verdade e história</w:t>
      </w:r>
      <w:r>
        <w:rPr/>
        <w:t>. Lisboa: Dom Quixote, 1992. (pp. 217-</w:t>
        <w:tab/>
        <w:t>245).</w:t>
      </w:r>
    </w:p>
    <w:p>
      <w:pPr>
        <w:pStyle w:val="Normal"/>
        <w:jc w:val="both"/>
        <w:rPr/>
      </w:pPr>
      <w:r>
        <w:rPr>
          <w:lang w:val="es-MX"/>
        </w:rPr>
        <w:t xml:space="preserve">RAMÓN Y CAJAL, S. </w:t>
      </w:r>
      <w:r>
        <w:rPr>
          <w:b/>
          <w:i/>
          <w:lang w:val="es-MX"/>
        </w:rPr>
        <w:t xml:space="preserve">El Protoplasma: breve análisis de los últimos trabajos </w:t>
        <w:tab/>
        <w:t>publicados acerca de su constitución anatómica</w:t>
      </w:r>
      <w:r>
        <w:rPr>
          <w:lang w:val="es-MX"/>
        </w:rPr>
        <w:t xml:space="preserve">. In: La Clinica. Zaragoza, </w:t>
        <w:tab/>
        <w:t xml:space="preserve">1880. 153: 299; 154: 306-308; 155: 313-315.  </w:t>
      </w:r>
    </w:p>
    <w:p>
      <w:pPr>
        <w:pStyle w:val="Normal"/>
        <w:jc w:val="both"/>
        <w:rPr/>
      </w:pPr>
      <w:r>
        <w:rPr>
          <w:lang w:val="es-MX"/>
        </w:rPr>
        <w:t xml:space="preserve">___________. </w:t>
      </w:r>
      <w:r>
        <w:rPr>
          <w:b/>
          <w:i/>
          <w:lang w:val="es-MX"/>
        </w:rPr>
        <w:t>Los actos reflejos y la filosofía del inconsciente</w:t>
      </w:r>
      <w:r>
        <w:rPr>
          <w:lang w:val="es-MX"/>
        </w:rPr>
        <w:t xml:space="preserve">. La clinica. </w:t>
        <w:tab/>
        <w:t xml:space="preserve">Zaragoza, 1881a. 201: 265-267. </w:t>
      </w:r>
    </w:p>
    <w:p>
      <w:pPr>
        <w:pStyle w:val="Normal"/>
        <w:ind w:left="708" w:hanging="708"/>
        <w:jc w:val="both"/>
        <w:rPr/>
      </w:pPr>
      <w:r>
        <w:rPr>
          <w:lang w:val="es-MX"/>
        </w:rPr>
        <w:t xml:space="preserve">___________. </w:t>
      </w:r>
      <w:r>
        <w:rPr>
          <w:b/>
          <w:i/>
        </w:rPr>
        <w:t xml:space="preserve">Observaciones microscópicas sobre las terminaciones nerviosas </w:t>
        <w:tab/>
        <w:t>em los músculos estriados de la rana</w:t>
      </w:r>
      <w:r>
        <w:rPr/>
        <w:t xml:space="preserve">. (1881b). In: </w:t>
      </w:r>
      <w:r>
        <w:rPr>
          <w:i/>
        </w:rPr>
        <w:t>Trabajos escogidos (1880-</w:t>
        <w:tab/>
        <w:t>1890)</w:t>
      </w:r>
      <w:r>
        <w:rPr/>
        <w:t>. Barcelona: Bosch editor, 2006. (pp. 53-95).</w:t>
      </w:r>
    </w:p>
    <w:p>
      <w:pPr>
        <w:pStyle w:val="Normal"/>
        <w:jc w:val="both"/>
        <w:rPr/>
      </w:pPr>
      <w:r>
        <w:rPr>
          <w:lang w:val="es-MX"/>
        </w:rPr>
        <w:t xml:space="preserve">___________. </w:t>
      </w:r>
      <w:r>
        <w:rPr>
          <w:b/>
          <w:i/>
          <w:lang w:val="es-MX"/>
        </w:rPr>
        <w:t>Las maravillas de la Histologia</w:t>
      </w:r>
      <w:r>
        <w:rPr>
          <w:lang w:val="es-MX"/>
        </w:rPr>
        <w:t xml:space="preserve">. La clinica. Zaragoza, 1883. 301: </w:t>
        <w:tab/>
        <w:t xml:space="preserve">225-226; 303: 241-242.  </w:t>
      </w:r>
    </w:p>
    <w:p>
      <w:pPr>
        <w:pStyle w:val="Normal"/>
        <w:jc w:val="both"/>
        <w:rPr/>
      </w:pPr>
      <w:r>
        <w:rPr>
          <w:lang w:val="es-MX"/>
        </w:rPr>
        <w:t xml:space="preserve">___________. (1886a). </w:t>
      </w:r>
      <w:r>
        <w:rPr>
          <w:b/>
          <w:i/>
          <w:lang w:val="es-MX"/>
        </w:rPr>
        <w:t>Notas de laboratorio</w:t>
      </w:r>
      <w:r>
        <w:rPr>
          <w:lang w:val="es-MX"/>
        </w:rPr>
        <w:t xml:space="preserve">. La crónica Médica. Valencia. In: </w:t>
        <w:tab/>
        <w:t xml:space="preserve">Trabajos escogidos (1880-1890). Barcelona: Bosch editor, 2006. (pp. 199-205). </w:t>
      </w:r>
    </w:p>
    <w:p>
      <w:pPr>
        <w:pStyle w:val="Normal"/>
        <w:jc w:val="both"/>
        <w:rPr/>
      </w:pPr>
      <w:r>
        <w:rPr>
          <w:lang w:val="es-MX"/>
        </w:rPr>
        <w:t xml:space="preserve">___________. (1886b). </w:t>
      </w:r>
      <w:r>
        <w:rPr>
          <w:b/>
          <w:i/>
          <w:lang w:val="es-MX"/>
        </w:rPr>
        <w:t xml:space="preserve">Contribution à l’étude des cellules anastomosées des </w:t>
        <w:tab/>
        <w:t>épithéliums pavimenteux stratifiés</w:t>
      </w:r>
      <w:r>
        <w:rPr>
          <w:lang w:val="es-MX"/>
        </w:rPr>
        <w:t xml:space="preserve">. Aus der internationalen Monatsschrift f. </w:t>
        <w:tab/>
        <w:t xml:space="preserve">Anat. u. Histol. Bd. III. Heft 7. In: Trabajos escogidos (1880-1890). </w:t>
        <w:tab/>
        <w:t xml:space="preserve">Barcelona: Bosch editor, 2006. (pp. 207-221).   </w:t>
      </w:r>
    </w:p>
    <w:p>
      <w:pPr>
        <w:pStyle w:val="Normal"/>
        <w:jc w:val="both"/>
        <w:rPr/>
      </w:pPr>
      <w:r>
        <w:rPr>
          <w:lang w:val="es-MX"/>
        </w:rPr>
        <w:t xml:space="preserve">___________. (1887a). </w:t>
      </w:r>
      <w:r>
        <w:rPr>
          <w:b/>
          <w:i/>
          <w:lang w:val="es-MX"/>
        </w:rPr>
        <w:t>Fibra muscular del ala de los insectos</w:t>
      </w:r>
      <w:r>
        <w:rPr>
          <w:lang w:val="es-MX"/>
        </w:rPr>
        <w:t xml:space="preserve">. Boletín Medico </w:t>
        <w:tab/>
        <w:t xml:space="preserve">Valenciano. Valencia. In: Trabajos escogidos (1880-1890). (pp. 241-245). </w:t>
      </w:r>
    </w:p>
    <w:p>
      <w:pPr>
        <w:pStyle w:val="Normal"/>
        <w:jc w:val="both"/>
        <w:rPr/>
      </w:pPr>
      <w:r>
        <w:rPr>
          <w:lang w:val="es-MX"/>
        </w:rPr>
        <w:t xml:space="preserve">___________. (1887b). </w:t>
      </w:r>
      <w:r>
        <w:rPr>
          <w:b/>
          <w:i/>
          <w:lang w:val="es-MX"/>
        </w:rPr>
        <w:t>Músculos de las patas de los insectos</w:t>
      </w:r>
      <w:r>
        <w:rPr>
          <w:lang w:val="es-MX"/>
        </w:rPr>
        <w:t xml:space="preserve">. Boletín Medico </w:t>
        <w:tab/>
        <w:t xml:space="preserve">Valenciano. Valencia. In: Trabajos escogidos (1880-1890). (pp. 247-253). </w:t>
      </w:r>
    </w:p>
    <w:p>
      <w:pPr>
        <w:pStyle w:val="Normal"/>
        <w:ind w:left="708" w:hanging="708"/>
        <w:jc w:val="both"/>
        <w:rPr/>
      </w:pPr>
      <w:r>
        <w:rPr>
          <w:lang w:val="es-MX"/>
        </w:rPr>
        <w:t xml:space="preserve">___________. (1887c). </w:t>
      </w:r>
      <w:r>
        <w:rPr>
          <w:b/>
          <w:i/>
          <w:lang w:val="es-MX"/>
        </w:rPr>
        <w:t xml:space="preserve">Observations sur la textura des fibres musculaires des </w:t>
        <w:tab/>
        <w:t>pattes et des ailes des insectes</w:t>
      </w:r>
      <w:r>
        <w:rPr>
          <w:lang w:val="es-MX"/>
        </w:rPr>
        <w:t xml:space="preserve">. Aus der internationalen Monatsschrift f. Anat. u. </w:t>
        <w:tab/>
        <w:t xml:space="preserve">Phys. Bd. V. Heft 6 u. 7. </w:t>
      </w:r>
    </w:p>
    <w:p>
      <w:pPr>
        <w:pStyle w:val="Normal"/>
        <w:jc w:val="both"/>
        <w:rPr/>
      </w:pPr>
      <w:r>
        <w:rPr>
          <w:lang w:val="es-MX"/>
        </w:rPr>
        <w:t xml:space="preserve">___________. </w:t>
      </w:r>
      <w:r>
        <w:rPr>
          <w:b/>
          <w:i/>
          <w:lang w:val="es-MX"/>
        </w:rPr>
        <w:t xml:space="preserve">Consideraciones generales sobre la morfología de la célula </w:t>
        <w:tab/>
        <w:t>nerviosa</w:t>
      </w:r>
      <w:r>
        <w:rPr>
          <w:lang w:val="es-MX"/>
        </w:rPr>
        <w:t xml:space="preserve">. Madrid: La Veterinaria Española. N. 20 e 30, pp. 01-15. 1894. </w:t>
      </w:r>
    </w:p>
    <w:p>
      <w:pPr>
        <w:pStyle w:val="Normal"/>
        <w:jc w:val="both"/>
        <w:rPr/>
      </w:pPr>
      <w:r>
        <w:rPr>
          <w:lang w:val="es-MX"/>
        </w:rPr>
        <w:t xml:space="preserve">___________. </w:t>
      </w:r>
      <w:r>
        <w:rPr>
          <w:b/>
          <w:i/>
          <w:lang w:val="es-MX"/>
        </w:rPr>
        <w:t>¿</w:t>
      </w:r>
      <w:r>
        <w:rPr>
          <w:b/>
          <w:bCs/>
          <w:i/>
          <w:lang w:val="es-MX"/>
        </w:rPr>
        <w:t xml:space="preserve">Neuronismo o Reticularismo? Las pruebas objetivas de la </w:t>
        <w:tab/>
        <w:t xml:space="preserve">unidad </w:t>
        <w:tab/>
        <w:t>anatomica de las celulas nerviosas</w:t>
      </w:r>
      <w:r>
        <w:rPr>
          <w:bCs/>
          <w:lang w:val="es-MX"/>
        </w:rPr>
        <w:t>.</w:t>
      </w:r>
      <w:r>
        <w:rPr>
          <w:lang w:val="es-MX"/>
        </w:rPr>
        <w:t xml:space="preserve"> Mad</w:t>
      </w:r>
      <w:r>
        <w:rPr/>
        <w:t>rid: Instituto Cajal, 1952.</w:t>
      </w:r>
    </w:p>
    <w:p>
      <w:pPr>
        <w:pStyle w:val="Normal"/>
        <w:jc w:val="both"/>
        <w:rPr/>
      </w:pPr>
      <w:r>
        <w:rPr>
          <w:lang w:val="es-MX"/>
        </w:rPr>
        <w:t xml:space="preserve">___________. </w:t>
      </w:r>
      <w:r>
        <w:rPr>
          <w:b/>
          <w:i/>
        </w:rPr>
        <w:t>Recuerdos de mi vida</w:t>
      </w:r>
      <w:r>
        <w:rPr/>
        <w:t xml:space="preserve">. Barcelona: Critica editorial, 2006a.  </w:t>
      </w:r>
    </w:p>
    <w:p>
      <w:pPr>
        <w:pStyle w:val="Normal"/>
        <w:spacing w:lineRule="auto" w:line="360"/>
        <w:jc w:val="both"/>
        <w:rPr>
          <w:caps/>
        </w:rPr>
      </w:pPr>
      <w:r>
        <w:rPr>
          <w:rFonts w:eastAsia="Calibri"/>
        </w:rPr>
        <w:t xml:space="preserve">RANCIÈRE, J. </w:t>
      </w:r>
      <w:r>
        <w:rPr>
          <w:rFonts w:eastAsia="Calibri"/>
          <w:b/>
          <w:i/>
        </w:rPr>
        <w:t>O fio perdido</w:t>
      </w:r>
      <w:r>
        <w:rPr>
          <w:rFonts w:eastAsia="Calibri"/>
        </w:rPr>
        <w:t>. São Paulo: Martins Fontes, 2017.</w:t>
      </w:r>
    </w:p>
    <w:p>
      <w:pPr>
        <w:pStyle w:val="Normal"/>
        <w:spacing w:lineRule="auto" w:line="360"/>
        <w:jc w:val="both"/>
        <w:rPr/>
      </w:pPr>
      <w:r>
        <w:rPr>
          <w:caps/>
        </w:rPr>
        <w:t>Ravetz,</w:t>
      </w:r>
      <w:r>
        <w:rPr/>
        <w:t xml:space="preserve"> J. R. </w:t>
      </w:r>
      <w:r>
        <w:rPr>
          <w:b/>
          <w:i/>
        </w:rPr>
        <w:t>Et Augebitur Scientia: E o conhecimento crescerá</w:t>
      </w:r>
      <w:r>
        <w:rPr>
          <w:b/>
        </w:rPr>
        <w:t>.</w:t>
      </w:r>
      <w:r>
        <w:rPr/>
        <w:t xml:space="preserve"> In: HARRÉ, Rom. </w:t>
        <w:tab/>
        <w:t xml:space="preserve">(org). </w:t>
      </w:r>
      <w:r>
        <w:rPr>
          <w:i/>
        </w:rPr>
        <w:t xml:space="preserve">Problemas da revolução científica: Incentivos e obstáculos ao progresso </w:t>
        <w:tab/>
        <w:t>das ciências</w:t>
      </w:r>
      <w:r>
        <w:rPr/>
        <w:t>. Belo Horizonte: Editora Itatiaia, 1976. (pp. 59-74).</w:t>
      </w:r>
    </w:p>
    <w:p>
      <w:pPr>
        <w:pStyle w:val="Normal"/>
        <w:spacing w:lineRule="auto" w:line="360"/>
        <w:jc w:val="both"/>
        <w:rPr>
          <w:rFonts w:eastAsia="Calibri"/>
        </w:rPr>
      </w:pPr>
      <w:r>
        <w:rPr/>
        <w:t xml:space="preserve">RIBEIRO, R. J. </w:t>
      </w:r>
      <w:r>
        <w:rPr>
          <w:b/>
          <w:i/>
        </w:rPr>
        <w:t xml:space="preserve">História e revolução: A Revolução Francesa e uma nova idéia de </w:t>
        <w:tab/>
        <w:t>história</w:t>
      </w:r>
      <w:r>
        <w:rPr/>
        <w:t>. In: Revista USP. São Paulo, 1989.</w:t>
      </w:r>
    </w:p>
    <w:p>
      <w:pPr>
        <w:pStyle w:val="Normal"/>
        <w:spacing w:lineRule="auto" w:line="360"/>
        <w:jc w:val="both"/>
        <w:rPr/>
      </w:pPr>
      <w:r>
        <w:rPr>
          <w:rFonts w:eastAsia="Calibri"/>
        </w:rPr>
        <w:t xml:space="preserve">ROBERTS, A. </w:t>
      </w:r>
      <w:r>
        <w:rPr>
          <w:rFonts w:eastAsia="Calibri"/>
          <w:b/>
          <w:i/>
        </w:rPr>
        <w:t>The history of science fiction</w:t>
      </w:r>
      <w:r>
        <w:rPr>
          <w:rFonts w:eastAsia="Calibri"/>
        </w:rPr>
        <w:t xml:space="preserve">. Basingstoke: Palgrave Macmillan, </w:t>
        <w:tab/>
        <w:t xml:space="preserve">2007. </w:t>
      </w:r>
    </w:p>
    <w:p>
      <w:pPr>
        <w:pStyle w:val="Normal"/>
        <w:autoSpaceDE w:val="false"/>
        <w:spacing w:lineRule="auto" w:line="360"/>
        <w:jc w:val="both"/>
        <w:rPr>
          <w:lang w:val="en-US"/>
        </w:rPr>
      </w:pPr>
      <w:r>
        <w:rPr>
          <w:rFonts w:eastAsia="Calibri"/>
        </w:rPr>
        <w:t xml:space="preserve">______. </w:t>
      </w:r>
      <w:r>
        <w:rPr>
          <w:rFonts w:eastAsia="Calibri"/>
          <w:b/>
          <w:i/>
        </w:rPr>
        <w:t>Science Fiction</w:t>
      </w:r>
      <w:r>
        <w:rPr>
          <w:rFonts w:eastAsia="Calibri"/>
        </w:rPr>
        <w:t>. London: Routledge</w:t>
      </w:r>
      <w:r>
        <w:rPr>
          <w:rFonts w:eastAsia="Calibri"/>
          <w:lang w:val="en-US"/>
        </w:rPr>
        <w:t>, 2008.</w:t>
      </w:r>
    </w:p>
    <w:p>
      <w:pPr>
        <w:pStyle w:val="Normal"/>
        <w:autoSpaceDE w:val="false"/>
        <w:spacing w:lineRule="auto" w:line="360"/>
        <w:jc w:val="both"/>
        <w:rPr/>
      </w:pPr>
      <w:r>
        <w:rPr/>
        <w:t xml:space="preserve">ROCQUE, L. de L. &amp; </w:t>
      </w:r>
      <w:r>
        <w:rPr>
          <w:caps/>
        </w:rPr>
        <w:t>Teixeira,</w:t>
      </w:r>
      <w:r>
        <w:rPr/>
        <w:t xml:space="preserve"> L. A. </w:t>
      </w:r>
      <w:r>
        <w:rPr>
          <w:b/>
          <w:i/>
          <w:iCs/>
        </w:rPr>
        <w:t>Frankenstein</w:t>
      </w:r>
      <w:r>
        <w:rPr>
          <w:b/>
          <w:i/>
        </w:rPr>
        <w:t xml:space="preserve">, de Mary Shelley e </w:t>
      </w:r>
      <w:r>
        <w:rPr>
          <w:b/>
          <w:i/>
          <w:iCs/>
        </w:rPr>
        <w:t>Drácula</w:t>
      </w:r>
      <w:r>
        <w:rPr>
          <w:b/>
          <w:i/>
        </w:rPr>
        <w:t xml:space="preserve">, de </w:t>
        <w:tab/>
        <w:t>Bram Stoker: gênero e ciência na literatura</w:t>
      </w:r>
      <w:r>
        <w:rPr/>
        <w:t xml:space="preserve">. </w:t>
      </w:r>
      <w:r>
        <w:rPr>
          <w:iCs/>
        </w:rPr>
        <w:t>História, Ciências, Saúde -</w:t>
        <w:tab/>
        <w:t xml:space="preserve">Manguinhos, </w:t>
      </w:r>
      <w:r>
        <w:rPr/>
        <w:t>vol. VIII(1), 10-34, mar.-jun. 2001.</w:t>
      </w:r>
    </w:p>
    <w:p>
      <w:pPr>
        <w:pStyle w:val="Normal"/>
        <w:spacing w:lineRule="auto" w:line="360"/>
        <w:jc w:val="both"/>
        <w:rPr/>
      </w:pPr>
      <w:r>
        <w:rPr/>
        <w:t xml:space="preserve">ROSENFELD, A. </w:t>
      </w:r>
      <w:r>
        <w:rPr>
          <w:b/>
          <w:i/>
        </w:rPr>
        <w:t>Cinema: Arte e Indústria</w:t>
      </w:r>
      <w:r>
        <w:rPr/>
        <w:t>. São Paulo: Perspectiva, 2009.</w:t>
      </w:r>
    </w:p>
    <w:p>
      <w:pPr>
        <w:pStyle w:val="Normal"/>
        <w:spacing w:lineRule="auto" w:line="360"/>
        <w:jc w:val="both"/>
        <w:rPr/>
      </w:pPr>
      <w:r>
        <w:rPr>
          <w:rFonts w:eastAsia="Calibri"/>
          <w:lang w:val="en-US"/>
        </w:rPr>
        <w:t xml:space="preserve">RYLE, G. </w:t>
      </w:r>
      <w:r>
        <w:rPr>
          <w:b/>
          <w:i/>
          <w:lang w:val="en-US"/>
        </w:rPr>
        <w:t>Systematically misleading expressions</w:t>
      </w:r>
      <w:r>
        <w:rPr>
          <w:lang w:val="en-US"/>
        </w:rPr>
        <w:t xml:space="preserve">. In: Proceedings of the </w:t>
        <w:tab/>
        <w:t>Aristotelian Society. New Series, vol. 32 (1931-1932), pp. 139-170.</w:t>
      </w:r>
    </w:p>
    <w:p>
      <w:pPr>
        <w:pStyle w:val="Normal"/>
        <w:spacing w:lineRule="auto" w:line="360"/>
        <w:jc w:val="both"/>
        <w:rPr>
          <w:lang w:val="en-US"/>
        </w:rPr>
      </w:pPr>
      <w:r>
        <w:rPr>
          <w:lang w:val="en-US"/>
        </w:rPr>
        <w:t xml:space="preserve">______. </w:t>
      </w:r>
      <w:r>
        <w:rPr>
          <w:b/>
          <w:i/>
          <w:lang w:val="en-US"/>
        </w:rPr>
        <w:t>The concept of mind</w:t>
      </w:r>
      <w:r>
        <w:rPr>
          <w:lang w:val="en-US"/>
        </w:rPr>
        <w:t>. New York: Taylor &amp; Francis Group, 2009.</w:t>
      </w:r>
    </w:p>
    <w:p>
      <w:pPr>
        <w:pStyle w:val="Normal"/>
        <w:spacing w:lineRule="auto" w:line="360"/>
        <w:jc w:val="both"/>
        <w:rPr/>
      </w:pPr>
      <w:r>
        <w:rPr/>
        <w:t xml:space="preserve">SCHAFFER, S. </w:t>
      </w:r>
      <w:r>
        <w:rPr>
          <w:b/>
        </w:rPr>
        <w:t>Trabajos de cristal: Ensayos de historia de la ciencia, 1650-1900</w:t>
      </w:r>
      <w:r>
        <w:rPr/>
        <w:t xml:space="preserve">. </w:t>
        <w:tab/>
        <w:t>Madrid: Fundación Jorge Juan, 2011.</w:t>
      </w:r>
    </w:p>
    <w:p>
      <w:pPr>
        <w:pStyle w:val="Normal"/>
        <w:spacing w:lineRule="auto" w:line="360"/>
        <w:jc w:val="both"/>
        <w:rPr>
          <w:caps/>
        </w:rPr>
      </w:pPr>
      <w:r>
        <w:rPr>
          <w:rFonts w:eastAsia="Calibri"/>
          <w:lang w:val="en-US"/>
        </w:rPr>
        <w:t xml:space="preserve">SEARLE, J. </w:t>
      </w:r>
      <w:r>
        <w:rPr>
          <w:rFonts w:eastAsia="Calibri"/>
          <w:b/>
          <w:i/>
          <w:lang w:val="en-US"/>
        </w:rPr>
        <w:t>Minds, brain, and programs</w:t>
      </w:r>
      <w:r>
        <w:rPr>
          <w:rFonts w:eastAsia="Calibri"/>
          <w:lang w:val="en-US"/>
        </w:rPr>
        <w:t xml:space="preserve">. In: Behavioral and Brain Sciences. Vol 3, </w:t>
        <w:tab/>
        <w:t>1980. (pp. 417-457).</w:t>
      </w:r>
    </w:p>
    <w:p>
      <w:pPr>
        <w:pStyle w:val="Normal"/>
        <w:spacing w:lineRule="auto" w:line="360"/>
        <w:jc w:val="both"/>
        <w:rPr/>
      </w:pPr>
      <w:r>
        <w:rPr>
          <w:caps/>
        </w:rPr>
        <w:t>Sergi,</w:t>
      </w:r>
      <w:r>
        <w:rPr/>
        <w:t xml:space="preserve"> G. </w:t>
      </w:r>
      <w:r>
        <w:rPr>
          <w:b/>
          <w:i/>
        </w:rPr>
        <w:t>Forme della faccia</w:t>
      </w:r>
      <w:r>
        <w:rPr/>
        <w:t xml:space="preserve">. In: Sergi, G. </w:t>
      </w:r>
      <w:r>
        <w:rPr>
          <w:b/>
          <w:i/>
        </w:rPr>
        <w:t>Specie e Varietà Umane</w:t>
      </w:r>
      <w:r>
        <w:rPr/>
        <w:t xml:space="preserve">. Roma: Fratelli </w:t>
        <w:tab/>
        <w:t>Bocca, 1900. (pp. 130-159).</w:t>
      </w:r>
    </w:p>
    <w:p>
      <w:pPr>
        <w:pStyle w:val="Normal"/>
        <w:spacing w:lineRule="auto" w:line="360"/>
        <w:jc w:val="both"/>
        <w:rPr/>
      </w:pPr>
      <w:r>
        <w:rPr/>
        <w:t xml:space="preserve">SHELLEY, M. </w:t>
      </w:r>
      <w:r>
        <w:rPr>
          <w:b/>
          <w:i/>
        </w:rPr>
        <w:t>Frankenstein</w:t>
      </w:r>
      <w:r>
        <w:rPr/>
        <w:t xml:space="preserve">. Rio de Janeiro: Darkside Books, 2017. </w:t>
      </w:r>
    </w:p>
    <w:p>
      <w:pPr>
        <w:pStyle w:val="Normal"/>
        <w:spacing w:lineRule="auto" w:line="360"/>
        <w:jc w:val="both"/>
        <w:rPr/>
      </w:pPr>
      <w:r>
        <w:rPr/>
        <w:t xml:space="preserve">_______. </w:t>
      </w:r>
      <w:r>
        <w:rPr>
          <w:b/>
          <w:i/>
        </w:rPr>
        <w:t>O último homem</w:t>
      </w:r>
      <w:r>
        <w:rPr/>
        <w:t>. São Paulo: Landmark, 2007.</w:t>
      </w:r>
    </w:p>
    <w:p>
      <w:pPr>
        <w:pStyle w:val="Normal"/>
        <w:jc w:val="both"/>
        <w:rPr/>
      </w:pPr>
      <w:r>
        <w:rPr>
          <w:lang w:val="en-US"/>
        </w:rPr>
        <w:t xml:space="preserve">SHEPHERD, G. M. </w:t>
      </w:r>
      <w:r>
        <w:rPr>
          <w:b/>
          <w:i/>
          <w:lang w:val="en-US"/>
        </w:rPr>
        <w:t>Foundations of the neuron doctrine</w:t>
      </w:r>
      <w:r>
        <w:rPr>
          <w:lang w:val="en-US"/>
        </w:rPr>
        <w:t xml:space="preserve">. New York: Oxford </w:t>
        <w:tab/>
        <w:t>University Press, 1991.</w:t>
      </w:r>
      <w:r>
        <w:rPr>
          <w:highlight w:val="yellow"/>
          <w:lang w:val="en-US"/>
        </w:rPr>
        <w:t xml:space="preserve"> </w:t>
      </w:r>
    </w:p>
    <w:p>
      <w:pPr>
        <w:pStyle w:val="Normal"/>
        <w:spacing w:lineRule="auto" w:line="360"/>
        <w:jc w:val="both"/>
        <w:rPr/>
      </w:pPr>
      <w:r>
        <w:rPr/>
        <w:t xml:space="preserve">SIMMEL, G. </w:t>
      </w:r>
      <w:r>
        <w:rPr>
          <w:b/>
          <w:i/>
        </w:rPr>
        <w:t>A metrópole e a vida mental</w:t>
      </w:r>
      <w:r>
        <w:rPr/>
        <w:t xml:space="preserve">. In: Velho, O. (org.) </w:t>
      </w:r>
      <w:r>
        <w:rPr>
          <w:b/>
          <w:i/>
        </w:rPr>
        <w:t>O fenômeno urbano</w:t>
      </w:r>
      <w:r>
        <w:rPr/>
        <w:t xml:space="preserve">. </w:t>
        <w:tab/>
        <w:t xml:space="preserve">Rio de Janeiro: Zahar, 1979. (pp. 13-28). </w:t>
      </w:r>
    </w:p>
    <w:p>
      <w:pPr>
        <w:pStyle w:val="Normal"/>
        <w:spacing w:lineRule="auto" w:line="360"/>
        <w:jc w:val="both"/>
        <w:rPr/>
      </w:pPr>
      <w:r>
        <w:rPr>
          <w:caps/>
        </w:rPr>
        <w:t>Sontag</w:t>
      </w:r>
      <w:r>
        <w:rPr/>
        <w:t xml:space="preserve">, S. </w:t>
      </w:r>
      <w:r>
        <w:rPr>
          <w:b/>
          <w:i/>
        </w:rPr>
        <w:t>Doença como metáfora</w:t>
      </w:r>
      <w:r>
        <w:rPr/>
        <w:t xml:space="preserve">. São Paulo: Companhia das letras, 2007.  </w:t>
      </w:r>
    </w:p>
    <w:p>
      <w:pPr>
        <w:pStyle w:val="Normal"/>
        <w:spacing w:lineRule="auto" w:line="360"/>
        <w:jc w:val="both"/>
        <w:rPr/>
      </w:pPr>
      <w:r>
        <w:rPr/>
        <w:t xml:space="preserve">SOUZA, C. R. </w:t>
      </w:r>
      <w:r>
        <w:rPr>
          <w:b/>
          <w:i/>
        </w:rPr>
        <w:t>Os pioneiros do cinema brasileiro: Raízes do cinema brasileiro</w:t>
      </w:r>
      <w:r>
        <w:rPr/>
        <w:t xml:space="preserve">. </w:t>
        <w:tab/>
        <w:t>ALCEU. V.8 – n.15 – pp. 20-37. jul/dez 2007.</w:t>
      </w:r>
    </w:p>
    <w:p>
      <w:pPr>
        <w:pStyle w:val="Normal"/>
        <w:spacing w:lineRule="auto" w:line="360"/>
        <w:jc w:val="both"/>
        <w:rPr/>
      </w:pPr>
      <w:r>
        <w:rPr>
          <w:caps/>
        </w:rPr>
        <w:t>Stoker</w:t>
      </w:r>
      <w:r>
        <w:rPr/>
        <w:t xml:space="preserve">, B. (1897). </w:t>
      </w:r>
      <w:r>
        <w:rPr>
          <w:b/>
          <w:i/>
        </w:rPr>
        <w:t>Drácula</w:t>
      </w:r>
      <w:r>
        <w:rPr/>
        <w:t xml:space="preserve">. Tradução por Theobaldo de Souza. São Paulo: </w:t>
        <w:tab/>
        <w:t>Circulo do livro, 1990.</w:t>
      </w:r>
    </w:p>
    <w:p>
      <w:pPr>
        <w:pStyle w:val="Normal"/>
        <w:spacing w:lineRule="auto" w:line="360"/>
        <w:jc w:val="both"/>
        <w:rPr/>
      </w:pPr>
      <w:r>
        <w:rPr>
          <w:rFonts w:eastAsia="Calibri"/>
          <w:lang w:val="en-US"/>
        </w:rPr>
        <w:t xml:space="preserve">SUVIN, D. </w:t>
      </w:r>
      <w:r>
        <w:rPr>
          <w:rFonts w:eastAsia="Calibri"/>
          <w:b/>
          <w:i/>
          <w:lang w:val="en-US"/>
        </w:rPr>
        <w:t>On the poetics of the Science Fiction genre</w:t>
      </w:r>
      <w:r>
        <w:rPr>
          <w:rFonts w:eastAsia="Calibri"/>
          <w:lang w:val="en-US"/>
        </w:rPr>
        <w:t xml:space="preserve">. College English, vol. 34, n. </w:t>
        <w:tab/>
        <w:t xml:space="preserve">3; 1972 (pp. 372-382). </w:t>
      </w:r>
    </w:p>
    <w:p>
      <w:pPr>
        <w:pStyle w:val="Normal"/>
        <w:spacing w:lineRule="auto" w:line="360"/>
        <w:jc w:val="both"/>
        <w:rPr/>
      </w:pPr>
      <w:r>
        <w:rPr>
          <w:rFonts w:eastAsia="Calibri"/>
        </w:rPr>
        <w:t xml:space="preserve">______. </w:t>
      </w:r>
      <w:r>
        <w:rPr>
          <w:rFonts w:eastAsia="Calibri"/>
          <w:b/>
          <w:i/>
        </w:rPr>
        <w:t xml:space="preserve">Metamorfosis de la ciencia ficción: sobre la poetica y la historia de un </w:t>
        <w:tab/>
        <w:t>género literario</w:t>
      </w:r>
      <w:r>
        <w:rPr>
          <w:rFonts w:eastAsia="Calibri"/>
        </w:rPr>
        <w:t>. México: Fondo de Cultura Económica, 1984.</w:t>
      </w:r>
    </w:p>
    <w:p>
      <w:pPr>
        <w:pStyle w:val="Normal"/>
        <w:spacing w:lineRule="auto" w:line="360"/>
        <w:jc w:val="both"/>
        <w:rPr/>
      </w:pPr>
      <w:r>
        <w:rPr/>
        <w:t xml:space="preserve">TARKOVSKI, A. </w:t>
      </w:r>
      <w:r>
        <w:rPr>
          <w:b/>
          <w:i/>
          <w:iCs/>
        </w:rPr>
        <w:t>Esculpir o Tempo</w:t>
      </w:r>
      <w:r>
        <w:rPr/>
        <w:t>. São Paulo, Martins Fontes, 1998.</w:t>
      </w:r>
    </w:p>
    <w:p>
      <w:pPr>
        <w:pStyle w:val="Normal"/>
        <w:spacing w:lineRule="auto" w:line="360"/>
        <w:jc w:val="both"/>
        <w:rPr/>
      </w:pPr>
      <w:r>
        <w:rPr>
          <w:caps/>
        </w:rPr>
        <w:t>Todorov,</w:t>
      </w:r>
      <w:r>
        <w:rPr/>
        <w:t xml:space="preserve"> T. </w:t>
      </w:r>
      <w:r>
        <w:rPr>
          <w:b/>
          <w:i/>
        </w:rPr>
        <w:t>Introdução à literatura fantástica</w:t>
      </w:r>
      <w:r>
        <w:rPr/>
        <w:t xml:space="preserve">. São Paulo: Perspectiva, 1981.  </w:t>
      </w:r>
    </w:p>
    <w:p>
      <w:pPr>
        <w:pStyle w:val="Normal"/>
        <w:spacing w:lineRule="auto" w:line="360"/>
        <w:jc w:val="both"/>
        <w:rPr>
          <w:caps/>
          <w:lang w:val="en-US"/>
        </w:rPr>
      </w:pPr>
      <w:r>
        <w:rPr>
          <w:rFonts w:eastAsia="Calibri"/>
          <w:lang w:val="en-US"/>
        </w:rPr>
        <w:t xml:space="preserve">TURING, A. M. </w:t>
      </w:r>
      <w:r>
        <w:rPr>
          <w:rFonts w:eastAsia="Calibri"/>
          <w:b/>
          <w:i/>
          <w:lang w:val="en-US"/>
        </w:rPr>
        <w:t>Computing machinery and intelligence</w:t>
      </w:r>
      <w:r>
        <w:rPr>
          <w:rFonts w:eastAsia="Calibri"/>
          <w:lang w:val="en-US"/>
        </w:rPr>
        <w:t xml:space="preserve">. In: Mind: a quarterly </w:t>
        <w:tab/>
        <w:t xml:space="preserve">review </w:t>
        <w:tab/>
        <w:t>of Psychology and Philosophy. Vol. 59, n. 236, 1950 (pp. 433-460).</w:t>
      </w:r>
    </w:p>
    <w:p>
      <w:pPr>
        <w:pStyle w:val="Normal"/>
        <w:spacing w:lineRule="auto" w:line="360"/>
        <w:jc w:val="both"/>
        <w:rPr/>
      </w:pPr>
      <w:r>
        <w:rPr>
          <w:caps/>
          <w:lang w:val="en-US"/>
        </w:rPr>
        <w:t>Vasconcelos,</w:t>
      </w:r>
      <w:r>
        <w:rPr>
          <w:lang w:val="en-US"/>
        </w:rPr>
        <w:t xml:space="preserve"> S. G. </w:t>
      </w:r>
      <w:r>
        <w:rPr>
          <w:b/>
          <w:i/>
          <w:lang w:val="en-US"/>
        </w:rPr>
        <w:t>A formação do romance inglês.</w:t>
      </w:r>
      <w:r>
        <w:rPr>
          <w:lang w:val="en-US"/>
        </w:rPr>
        <w:t xml:space="preserve"> São Paulo: Aderaldo &amp; </w:t>
        <w:tab/>
        <w:t xml:space="preserve">Rothschild ; Fapesp, 2007. </w:t>
      </w:r>
    </w:p>
    <w:p>
      <w:pPr>
        <w:pStyle w:val="Normal"/>
        <w:spacing w:lineRule="auto" w:line="360"/>
        <w:jc w:val="both"/>
        <w:rPr/>
      </w:pPr>
      <w:r>
        <w:rPr>
          <w:lang w:val="en-US"/>
        </w:rPr>
        <w:t xml:space="preserve">VELHO, O. (org.) </w:t>
      </w:r>
      <w:r>
        <w:rPr>
          <w:b/>
          <w:i/>
          <w:lang w:val="en-US"/>
        </w:rPr>
        <w:t xml:space="preserve">O fenômeno </w:t>
      </w:r>
      <w:r>
        <w:rPr>
          <w:b/>
          <w:i/>
        </w:rPr>
        <w:t>urbano</w:t>
      </w:r>
      <w:r>
        <w:rPr/>
        <w:t>. Rio de Janeiro: Zahar, 1979.</w:t>
      </w:r>
    </w:p>
    <w:p>
      <w:pPr>
        <w:pStyle w:val="Normal"/>
        <w:spacing w:lineRule="auto" w:line="360"/>
        <w:jc w:val="both"/>
        <w:rPr/>
      </w:pPr>
      <w:r>
        <w:rPr>
          <w:caps/>
          <w:lang w:val="es-ES_tradnl"/>
        </w:rPr>
        <w:t>Vessuri,</w:t>
      </w:r>
      <w:r>
        <w:rPr>
          <w:lang w:val="es-ES_tradnl"/>
        </w:rPr>
        <w:t xml:space="preserve"> H. M. C. </w:t>
      </w:r>
      <w:r>
        <w:rPr>
          <w:b/>
          <w:i/>
          <w:lang w:val="es-ES_tradnl"/>
        </w:rPr>
        <w:t xml:space="preserve">Intercâmbios internacionales y estilos nacionales periféricos; </w:t>
        <w:tab/>
        <w:t>aspectos de la mundialización de la ciencia</w:t>
      </w:r>
      <w:r>
        <w:rPr>
          <w:lang w:val="es-ES_tradnl"/>
        </w:rPr>
        <w:t xml:space="preserve">. </w:t>
      </w:r>
      <w:r>
        <w:rPr/>
        <w:t xml:space="preserve">In: Lafuente et al. </w:t>
      </w:r>
      <w:r>
        <w:rPr>
          <w:b/>
          <w:i/>
        </w:rPr>
        <w:t xml:space="preserve">Mundializacion </w:t>
        <w:tab/>
        <w:t>de la ciência y cultura nacional</w:t>
      </w:r>
      <w:r>
        <w:rPr/>
        <w:t xml:space="preserve">. Universidad Autônoma de Madrid: Doce </w:t>
        <w:tab/>
        <w:t>Calles, 1998. (pp. 725-733).</w:t>
      </w:r>
    </w:p>
    <w:p>
      <w:pPr>
        <w:pStyle w:val="Normal"/>
        <w:spacing w:lineRule="auto" w:line="360"/>
        <w:jc w:val="both"/>
        <w:rPr/>
      </w:pPr>
      <w:r>
        <w:rPr/>
        <w:t xml:space="preserve">WAJDA, A. </w:t>
      </w:r>
      <w:r>
        <w:rPr>
          <w:b/>
          <w:i/>
        </w:rPr>
        <w:t>Um cinema chamado desejo</w:t>
      </w:r>
      <w:r>
        <w:rPr/>
        <w:t xml:space="preserve">. Rio de Janeiro: Campus, 1989. </w:t>
      </w:r>
    </w:p>
    <w:p>
      <w:pPr>
        <w:pStyle w:val="Normal"/>
        <w:spacing w:lineRule="auto" w:line="360"/>
        <w:jc w:val="both"/>
        <w:rPr/>
      </w:pPr>
      <w:r>
        <w:rPr>
          <w:color w:val="000000"/>
        </w:rPr>
        <w:t>WALPOLE</w:t>
      </w:r>
      <w:r>
        <w:rPr/>
        <w:t xml:space="preserve">, H. </w:t>
      </w:r>
      <w:r>
        <w:rPr>
          <w:b/>
          <w:i/>
        </w:rPr>
        <w:t>O castelo de Otranto</w:t>
      </w:r>
      <w:r>
        <w:rPr/>
        <w:t xml:space="preserve">. Tradução por Alberto Alexandre Martins. </w:t>
      </w:r>
      <w:r>
        <w:rPr>
          <w:lang w:val="en-US"/>
        </w:rPr>
        <w:t xml:space="preserve">São </w:t>
        <w:tab/>
        <w:t>Paulo: Nova Alexandria, 1994.</w:t>
      </w:r>
    </w:p>
    <w:p>
      <w:pPr>
        <w:pStyle w:val="Normal"/>
        <w:spacing w:lineRule="auto" w:line="360"/>
        <w:jc w:val="both"/>
        <w:rPr/>
      </w:pPr>
      <w:r>
        <w:rPr>
          <w:caps/>
          <w:lang w:val="en-US"/>
        </w:rPr>
        <w:t>________</w:t>
      </w:r>
      <w:r>
        <w:rPr>
          <w:lang w:val="en-US"/>
        </w:rPr>
        <w:t xml:space="preserve">. </w:t>
      </w:r>
      <w:r>
        <w:rPr>
          <w:b/>
          <w:i/>
          <w:lang w:val="en-US"/>
        </w:rPr>
        <w:t>The castle of Otranto</w:t>
      </w:r>
      <w:r>
        <w:rPr>
          <w:lang w:val="en-US"/>
        </w:rPr>
        <w:t>. New York: Cassell &amp; Company, 1886.</w:t>
      </w:r>
    </w:p>
    <w:p>
      <w:pPr>
        <w:pStyle w:val="Normal"/>
        <w:spacing w:lineRule="auto" w:line="360"/>
        <w:jc w:val="both"/>
        <w:rPr/>
      </w:pPr>
      <w:r>
        <w:rPr>
          <w:lang w:val="en-US"/>
        </w:rPr>
        <w:t xml:space="preserve">WATT, I. </w:t>
      </w:r>
      <w:r>
        <w:rPr>
          <w:b/>
          <w:i/>
          <w:lang w:val="en-US"/>
        </w:rPr>
        <w:t>The rise of the novel: Studies in Defoe, Richardson and Fielding</w:t>
      </w:r>
      <w:r>
        <w:rPr>
          <w:lang w:val="en-US"/>
        </w:rPr>
        <w:t xml:space="preserve">. London: </w:t>
        <w:tab/>
        <w:t xml:space="preserve">Pimlico, 2000. </w:t>
      </w:r>
    </w:p>
    <w:p>
      <w:pPr>
        <w:pStyle w:val="Normal"/>
        <w:spacing w:lineRule="auto" w:line="360"/>
        <w:jc w:val="both"/>
        <w:rPr>
          <w:lang w:val="es-ES_tradnl"/>
        </w:rPr>
      </w:pPr>
      <w:r>
        <w:rPr>
          <w:caps/>
        </w:rPr>
        <w:t>Wilde,</w:t>
      </w:r>
      <w:r>
        <w:rPr/>
        <w:t xml:space="preserve"> Oscar. </w:t>
      </w:r>
      <w:r>
        <w:rPr>
          <w:b/>
          <w:i/>
        </w:rPr>
        <w:t>O retrato de Dorian Gray</w:t>
      </w:r>
      <w:r>
        <w:rPr/>
        <w:t xml:space="preserve">. Tradução por Marina Guaspari. São Paulo: </w:t>
        <w:tab/>
        <w:t>Publifolha, 1998.</w:t>
      </w:r>
    </w:p>
    <w:p>
      <w:pPr>
        <w:pStyle w:val="Normal"/>
        <w:spacing w:lineRule="auto" w:line="360"/>
        <w:jc w:val="both"/>
        <w:rPr/>
      </w:pPr>
      <w:r>
        <w:rPr>
          <w:lang w:val="es-ES_tradnl"/>
        </w:rPr>
        <w:t xml:space="preserve">WUNDT, W. </w:t>
      </w:r>
      <w:r>
        <w:rPr>
          <w:b/>
          <w:i/>
          <w:lang w:val="es-ES_tradnl"/>
        </w:rPr>
        <w:t xml:space="preserve">Elementos de Psicologia de los pueblos: Bosquejo uma historia de la </w:t>
        <w:tab/>
        <w:t>evolución psicológica de la humanidad</w:t>
      </w:r>
      <w:r>
        <w:rPr>
          <w:lang w:val="es-ES_tradnl"/>
        </w:rPr>
        <w:t xml:space="preserve">. Madrid: Daniel Jorro, 1926. </w:t>
      </w:r>
    </w:p>
    <w:p>
      <w:pPr>
        <w:pStyle w:val="Normal"/>
        <w:spacing w:lineRule="auto" w:line="360"/>
        <w:jc w:val="both"/>
        <w:rPr/>
      </w:pPr>
      <w:r>
        <w:rPr/>
        <w:t xml:space="preserve">XAVIER, I. </w:t>
      </w:r>
      <w:r>
        <w:rPr>
          <w:b/>
          <w:i/>
        </w:rPr>
        <w:t>Sétima arte: Um culto moderno</w:t>
      </w:r>
      <w:r>
        <w:rPr/>
        <w:t xml:space="preserve">. São Paulo: Perspectiva: Secretaria da </w:t>
        <w:tab/>
        <w:t xml:space="preserve">Cultura, Ciência e Tecnologia do Estado de São Paulo, 1978. </w:t>
      </w:r>
    </w:p>
    <w:p>
      <w:pPr>
        <w:pStyle w:val="Normal"/>
        <w:spacing w:lineRule="auto" w:line="360"/>
        <w:jc w:val="both"/>
        <w:rPr>
          <w:lang w:val="en-US"/>
        </w:rPr>
      </w:pPr>
      <w:r>
        <w:rPr/>
        <w:t xml:space="preserve">_________ (Org.). </w:t>
      </w:r>
      <w:r>
        <w:rPr>
          <w:b/>
          <w:i/>
          <w:iCs/>
        </w:rPr>
        <w:t>A experiência do cinema: antologia</w:t>
      </w:r>
      <w:r>
        <w:rPr/>
        <w:t xml:space="preserve">. </w:t>
      </w:r>
      <w:r>
        <w:rPr>
          <w:lang w:val="en-US"/>
        </w:rPr>
        <w:t xml:space="preserve">Rio de Janeiro: Graal, 1983. </w:t>
      </w:r>
      <w:bookmarkStart w:id="1" w:name="_PictureBullets"/>
      <w:bookmarkEnd w:id="1"/>
    </w:p>
    <w:sectPr>
      <w:footerReference w:type="default" r:id="rId41"/>
      <w:footnotePr>
        <w:numFmt w:val="decimal"/>
      </w:footnotePr>
      <w:type w:val="nextPage"/>
      <w:pgSz w:w="11906" w:h="16838"/>
      <w:pgMar w:left="1701" w:right="1701" w:header="0"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Wingdings">
    <w:charset w:val="02"/>
    <w:family w:val="auto"/>
    <w:pitch w:val="variable"/>
  </w:font>
  <w:font w:name="Courier New">
    <w:charset w:val="00"/>
    <w:family w:val="modern"/>
    <w:pitch w:val="default"/>
  </w:font>
  <w:font w:name="Garamond">
    <w:charset w:val="00"/>
    <w:family w:val="roman"/>
    <w:pitch w:val="variable"/>
  </w:font>
  <w:font w:name="Tahoma">
    <w:charset w:val="00"/>
    <w:family w:val="swiss"/>
    <w:pitch w:val="variable"/>
  </w:font>
  <w:font w:name="Liberation Sans">
    <w:altName w:val="Arial"/>
    <w:charset w:val="00"/>
    <w:family w:val="swiss"/>
    <w:pitch w:val="variable"/>
  </w:font>
  <w:font w:name="Bitstream Vera Serif">
    <w:altName w:val="Times New Roma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pPr>
    <w:r>
      <w:rPr/>
      <w:fldChar w:fldCharType="begin"/>
    </w:r>
    <w:r>
      <w:rPr/>
      <w:instrText> PAGE </w:instrText>
    </w:r>
    <w:r>
      <w:rPr/>
      <w:fldChar w:fldCharType="separate"/>
    </w:r>
    <w:r>
      <w:rPr/>
      <w:t>1</w:t>
    </w:r>
    <w:r>
      <w:rPr/>
      <w:fldChar w:fldCharType="end"/>
    </w:r>
  </w:p>
  <w:p>
    <w:pPr>
      <w:pStyle w:val="Rodap"/>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jc w:val="both"/>
        <w:rPr/>
      </w:pPr>
      <w:r>
        <w:rPr>
          <w:rStyle w:val="Caracteresdenotaderodap"/>
        </w:rPr>
        <w:footnoteRef/>
      </w:r>
      <w:r>
        <w:rPr/>
        <w:t xml:space="preserve"> </w:t>
      </w:r>
      <w:r>
        <w:rPr/>
        <w:t xml:space="preserve">Koselleck, </w:t>
      </w:r>
      <w:r>
        <w:rPr>
          <w:b/>
          <w:i/>
        </w:rPr>
        <w:t>Futuro Passado: Contribuição à semântica dos tempos históricos.</w:t>
      </w:r>
      <w:r>
        <w:rPr/>
        <w:t xml:space="preserve"> Rio de Janeiro: Contraponto: Ed. PUC-Rio, 2006. p. 103. </w:t>
      </w:r>
    </w:p>
  </w:footnote>
  <w:footnote w:id="3">
    <w:p>
      <w:pPr>
        <w:pStyle w:val="Notaderodap"/>
        <w:jc w:val="both"/>
        <w:rPr/>
      </w:pPr>
      <w:r>
        <w:rPr>
          <w:rStyle w:val="Caracteresdenotaderodap"/>
        </w:rPr>
        <w:footnoteRef/>
      </w:r>
      <w:r>
        <w:rPr/>
        <w:t xml:space="preserve"> </w:t>
      </w:r>
      <w:r>
        <w:rPr/>
        <w:t xml:space="preserve">Koselleck, Op. Cit. p. 105. </w:t>
      </w:r>
    </w:p>
  </w:footnote>
  <w:footnote w:id="4">
    <w:p>
      <w:pPr>
        <w:pStyle w:val="Notaderodap"/>
        <w:jc w:val="both"/>
        <w:rPr>
          <w:lang w:val="en-US"/>
        </w:rPr>
      </w:pPr>
      <w:r>
        <w:rPr>
          <w:rStyle w:val="Caracteresdenotaderodap"/>
        </w:rPr>
        <w:footnoteRef/>
      </w:r>
      <w:r>
        <w:rPr>
          <w:lang w:val="en-US"/>
        </w:rPr>
        <w:t xml:space="preserve"> </w:t>
      </w:r>
      <w:r>
        <w:rPr>
          <w:lang w:val="en-US"/>
        </w:rPr>
        <w:t>Koselleck, Op. Cit. p. 115.</w:t>
      </w:r>
      <w:r>
        <w:rPr>
          <w:sz w:val="22"/>
          <w:szCs w:val="22"/>
          <w:lang w:val="en-US"/>
        </w:rPr>
        <w:t xml:space="preserve"> </w:t>
      </w:r>
    </w:p>
  </w:footnote>
  <w:footnote w:id="5">
    <w:p>
      <w:pPr>
        <w:pStyle w:val="Notaderodap"/>
        <w:jc w:val="both"/>
        <w:rPr/>
      </w:pPr>
      <w:r>
        <w:rPr>
          <w:rStyle w:val="Caracteresdenotaderodap"/>
        </w:rPr>
        <w:footnoteRef/>
      </w:r>
      <w:r>
        <w:rPr>
          <w:lang w:val="en-US"/>
        </w:rPr>
        <w:t xml:space="preserve"> </w:t>
      </w:r>
      <w:r>
        <w:rPr>
          <w:lang w:val="en-US"/>
        </w:rPr>
        <w:t xml:space="preserve">Koselleck, Op. Cit. p. 135. </w:t>
      </w:r>
    </w:p>
  </w:footnote>
  <w:footnote w:id="6">
    <w:p>
      <w:pPr>
        <w:pStyle w:val="Notaderodap"/>
        <w:jc w:val="both"/>
        <w:rPr/>
      </w:pPr>
      <w:r>
        <w:rPr>
          <w:rStyle w:val="Caracteresdenotaderodap"/>
        </w:rPr>
        <w:footnoteRef/>
      </w:r>
      <w:r>
        <w:rPr>
          <w:lang w:val="en-US"/>
        </w:rPr>
        <w:t xml:space="preserve"> </w:t>
      </w:r>
      <w:r>
        <w:rPr>
          <w:lang w:val="en-US"/>
        </w:rPr>
        <w:t xml:space="preserve">Koselleck, Op. Cit. p. 137-8. </w:t>
      </w:r>
    </w:p>
  </w:footnote>
  <w:footnote w:id="7">
    <w:p>
      <w:pPr>
        <w:pStyle w:val="Notaderodap"/>
        <w:jc w:val="both"/>
        <w:rPr/>
      </w:pPr>
      <w:r>
        <w:rPr>
          <w:rStyle w:val="Caracteresdenotaderodap"/>
        </w:rPr>
        <w:footnoteRef/>
      </w:r>
      <w:r>
        <w:rPr>
          <w:lang w:val="en-US"/>
        </w:rPr>
        <w:t xml:space="preserve"> </w:t>
      </w:r>
      <w:r>
        <w:rPr>
          <w:lang w:val="en-US"/>
        </w:rPr>
        <w:t>Koselleck, Op. Cit. p. 140.</w:t>
      </w:r>
      <w:r>
        <w:rPr>
          <w:sz w:val="22"/>
          <w:szCs w:val="22"/>
          <w:lang w:val="en-US"/>
        </w:rPr>
        <w:t xml:space="preserve"> </w:t>
      </w:r>
    </w:p>
  </w:footnote>
  <w:footnote w:id="8">
    <w:p>
      <w:pPr>
        <w:pStyle w:val="Notaderodap"/>
        <w:jc w:val="both"/>
        <w:rPr>
          <w:lang w:val="en-US"/>
        </w:rPr>
      </w:pPr>
      <w:r>
        <w:rPr>
          <w:rStyle w:val="Caracteresdenotaderodap"/>
        </w:rPr>
        <w:footnoteRef/>
      </w:r>
      <w:r>
        <w:rPr>
          <w:lang w:val="en-US"/>
        </w:rPr>
        <w:t xml:space="preserve"> </w:t>
      </w:r>
      <w:r>
        <w:rPr>
          <w:lang w:val="en-US"/>
        </w:rPr>
        <w:t xml:space="preserve">Otis, Laura. </w:t>
      </w:r>
      <w:r>
        <w:rPr>
          <w:b/>
          <w:i/>
          <w:lang w:val="en-US"/>
        </w:rPr>
        <w:t>Membranes: Metaphors of invasion in nineteenth-century Literature, Science, and Politics</w:t>
      </w:r>
      <w:r>
        <w:rPr>
          <w:lang w:val="en-US"/>
        </w:rPr>
        <w:t xml:space="preserve">. EUA: Johns Hopkins University Press, 2000. </w:t>
      </w:r>
    </w:p>
  </w:footnote>
  <w:footnote w:id="9">
    <w:p>
      <w:pPr>
        <w:pStyle w:val="Notaderodap"/>
        <w:jc w:val="both"/>
        <w:rPr>
          <w:lang w:val="en-US"/>
        </w:rPr>
      </w:pPr>
      <w:r>
        <w:rPr>
          <w:rStyle w:val="Caracteresdenotaderodap"/>
        </w:rPr>
        <w:footnoteRef/>
      </w:r>
      <w:r>
        <w:rPr>
          <w:lang w:val="en-US"/>
        </w:rPr>
        <w:t xml:space="preserve"> </w:t>
      </w:r>
      <w:r>
        <w:rPr>
          <w:i/>
          <w:lang w:val="en-US"/>
        </w:rPr>
        <w:t>James Clerk Maxwell’s inaugural lecture at King’s College London</w:t>
      </w:r>
      <w:r>
        <w:rPr>
          <w:lang w:val="en-US"/>
        </w:rPr>
        <w:t xml:space="preserve">. American Journal of Physics 47, pp. 928-933 (1979). </w:t>
      </w:r>
    </w:p>
  </w:footnote>
  <w:footnote w:id="10">
    <w:p>
      <w:pPr>
        <w:pStyle w:val="Notaderodap"/>
        <w:jc w:val="both"/>
        <w:rPr/>
      </w:pPr>
      <w:r>
        <w:rPr>
          <w:rStyle w:val="Caracteresdenotaderodap"/>
        </w:rPr>
        <w:footnoteRef/>
      </w:r>
      <w:r>
        <w:rPr/>
        <w:t xml:space="preserve"> </w:t>
      </w:r>
      <w:r>
        <w:rPr/>
        <w:t xml:space="preserve">Zola, Émile. </w:t>
      </w:r>
      <w:r>
        <w:rPr>
          <w:b/>
          <w:i/>
        </w:rPr>
        <w:t>Le Roman Expérimental</w:t>
      </w:r>
      <w:r>
        <w:rPr/>
        <w:t xml:space="preserve">. Paris: Fasquelle Éditeur, 1902.   </w:t>
      </w:r>
    </w:p>
  </w:footnote>
  <w:footnote w:id="11">
    <w:p>
      <w:pPr>
        <w:pStyle w:val="Notaderodap"/>
        <w:jc w:val="both"/>
        <w:rPr/>
      </w:pPr>
      <w:r>
        <w:rPr>
          <w:rStyle w:val="Caracteresdenotaderodap"/>
        </w:rPr>
        <w:footnoteRef/>
      </w:r>
      <w:r>
        <w:rPr>
          <w:lang w:val="en-US"/>
        </w:rPr>
        <w:t xml:space="preserve"> </w:t>
      </w:r>
      <w:r>
        <w:rPr>
          <w:lang w:val="en-US"/>
        </w:rPr>
        <w:t xml:space="preserve">Zola, Émile. Op. Cit. p. 01-02. </w:t>
      </w:r>
    </w:p>
  </w:footnote>
  <w:footnote w:id="12">
    <w:p>
      <w:pPr>
        <w:pStyle w:val="Notaderodap"/>
        <w:jc w:val="both"/>
        <w:rPr/>
      </w:pPr>
      <w:r>
        <w:rPr>
          <w:rStyle w:val="Caracteresdenotaderodap"/>
        </w:rPr>
        <w:footnoteRef/>
      </w:r>
      <w:r>
        <w:rPr>
          <w:lang w:val="en-US"/>
        </w:rPr>
        <w:t xml:space="preserve"> </w:t>
      </w:r>
      <w:r>
        <w:rPr>
          <w:lang w:val="en-US"/>
        </w:rPr>
        <w:t>Zola, Émile. Op. Cit. p. 09.</w:t>
      </w:r>
    </w:p>
  </w:footnote>
  <w:footnote w:id="13">
    <w:p>
      <w:pPr>
        <w:pStyle w:val="Notaderodap"/>
        <w:jc w:val="both"/>
        <w:rPr/>
      </w:pPr>
      <w:r>
        <w:rPr>
          <w:rStyle w:val="Caracteresdenotaderodap"/>
        </w:rPr>
        <w:footnoteRef/>
      </w:r>
      <w:r>
        <w:rPr/>
        <w:t xml:space="preserve"> </w:t>
      </w:r>
      <w:r>
        <w:rPr/>
        <w:t xml:space="preserve">Em português o título é </w:t>
      </w:r>
      <w:r>
        <w:rPr>
          <w:i/>
        </w:rPr>
        <w:t>A prima Bette</w:t>
      </w:r>
      <w:r>
        <w:rPr/>
        <w:t xml:space="preserve"> e consta das Cenas da vida parisiense. Foi publicado em 1847. </w:t>
      </w:r>
    </w:p>
  </w:footnote>
  <w:footnote w:id="14">
    <w:p>
      <w:pPr>
        <w:pStyle w:val="Notaderodap"/>
        <w:jc w:val="both"/>
        <w:rPr/>
      </w:pPr>
      <w:r>
        <w:rPr>
          <w:rStyle w:val="Caracteresdenotaderodap"/>
        </w:rPr>
        <w:footnoteRef/>
      </w:r>
      <w:r>
        <w:rPr/>
        <w:t xml:space="preserve"> </w:t>
      </w:r>
      <w:r>
        <w:rPr/>
        <w:t xml:space="preserve">Zola, Émile. Op. Cit. p. 08. </w:t>
      </w:r>
    </w:p>
  </w:footnote>
  <w:footnote w:id="15">
    <w:p>
      <w:pPr>
        <w:pStyle w:val="Notaderodap"/>
        <w:jc w:val="both"/>
        <w:rPr>
          <w:lang w:val="en-US"/>
        </w:rPr>
      </w:pPr>
      <w:r>
        <w:rPr>
          <w:rStyle w:val="Caracteresdenotaderodap"/>
        </w:rPr>
        <w:footnoteRef/>
      </w:r>
      <w:r>
        <w:rPr>
          <w:lang w:val="en-US"/>
        </w:rPr>
        <w:t xml:space="preserve"> </w:t>
      </w:r>
      <w:r>
        <w:rPr>
          <w:lang w:val="en-US"/>
        </w:rPr>
        <w:t xml:space="preserve">Taine, Hippolyte. </w:t>
      </w:r>
      <w:r>
        <w:rPr>
          <w:b/>
          <w:i/>
          <w:lang w:val="en-US"/>
        </w:rPr>
        <w:t>On intelligence</w:t>
      </w:r>
      <w:r>
        <w:rPr>
          <w:lang w:val="en-US"/>
        </w:rPr>
        <w:t xml:space="preserve">. London: Reeve and Co, 1871. </w:t>
      </w:r>
    </w:p>
  </w:footnote>
  <w:footnote w:id="16">
    <w:p>
      <w:pPr>
        <w:pStyle w:val="Notaderodap"/>
        <w:jc w:val="both"/>
        <w:rPr>
          <w:lang w:val="en-US"/>
        </w:rPr>
      </w:pPr>
      <w:r>
        <w:rPr>
          <w:rStyle w:val="Caracteresdenotaderodap"/>
        </w:rPr>
        <w:footnoteRef/>
      </w:r>
      <w:r>
        <w:rPr>
          <w:lang w:val="en-US"/>
        </w:rPr>
        <w:t xml:space="preserve"> </w:t>
      </w:r>
      <w:r>
        <w:rPr>
          <w:lang w:val="en-US"/>
        </w:rPr>
        <w:t>Taine, Hippolyte. Op. Cit. p. 02-03.</w:t>
      </w:r>
    </w:p>
  </w:footnote>
  <w:footnote w:id="17">
    <w:p>
      <w:pPr>
        <w:pStyle w:val="Notaderodap"/>
        <w:jc w:val="both"/>
        <w:rPr/>
      </w:pPr>
      <w:r>
        <w:rPr>
          <w:rStyle w:val="Caracteresdenotaderodap"/>
        </w:rPr>
        <w:footnoteRef/>
      </w:r>
      <w:r>
        <w:rPr/>
        <w:t xml:space="preserve"> </w:t>
      </w:r>
      <w:r>
        <w:rPr/>
        <w:t>Lexema: et(er) grego: aith – αίθω: queimar; brilhar. Em química significa o composto orgânico C</w:t>
      </w:r>
      <w:r>
        <w:rPr>
          <w:vertAlign w:val="subscript"/>
        </w:rPr>
        <w:t>4</w:t>
      </w:r>
      <w:r>
        <w:rPr/>
        <w:t>H</w:t>
      </w:r>
      <w:r>
        <w:rPr>
          <w:vertAlign w:val="subscript"/>
        </w:rPr>
        <w:t>10</w:t>
      </w:r>
      <w:r>
        <w:rPr/>
        <w:t xml:space="preserve">O que resulta da união de duas moléculas de álcool com a liberação de uma molécula de água [aith - αίθω: queimar; brilhar + er(o) – do grego]. Na forma latina derivada do grego antigo ocorrem duas formas: (1) No grego aithér αίθήρ (desde Homero, séc. VIII a.C.) e; (2) No latim aether (desde o séc. II a.C.) designa a parte alta e pura da atmosfera; No latim tardio e castelhano medieval passa a significar </w:t>
      </w:r>
      <w:r>
        <w:rPr>
          <w:i/>
        </w:rPr>
        <w:t>esfera que rodeia a terra</w:t>
      </w:r>
      <w:r>
        <w:rPr/>
        <w:t xml:space="preserve">. No sentido químico específico se consolida a partir da década de 1730 com a palavra francesa </w:t>
      </w:r>
      <w:r>
        <w:rPr>
          <w:i/>
        </w:rPr>
        <w:t>éther</w:t>
      </w:r>
      <w:r>
        <w:rPr/>
        <w:t xml:space="preserve">. No Dictionnaire de L’Ácadémie française (8 th Edition, 1932-5) acrescentam-se às duas definições anteriores mais três. Em termos físicos </w:t>
      </w:r>
      <w:r>
        <w:rPr>
          <w:i/>
          <w:color w:val="000000"/>
          <w:shd w:fill="FFFFFF" w:val="clear"/>
        </w:rPr>
        <w:t>d'un Fluide invisible, impondérable, éminemment élastique, que les physiciens supposaient être répandu partout et servir de milieu de transmission à la lumière, à la chaleur, à l'électricité, etc.</w:t>
      </w:r>
      <w:r>
        <w:rPr>
          <w:rStyle w:val="Appleconvertedspace"/>
          <w:i/>
          <w:color w:val="000000"/>
          <w:shd w:fill="FFFFFF" w:val="clear"/>
        </w:rPr>
        <w:t> </w:t>
      </w:r>
      <w:r>
        <w:rPr>
          <w:i/>
          <w:iCs/>
          <w:color w:val="000000"/>
          <w:shd w:fill="FFFFFF" w:val="clear"/>
        </w:rPr>
        <w:t>Les ondulations de l'éther</w:t>
      </w:r>
      <w:r>
        <w:rPr>
          <w:iCs/>
          <w:color w:val="000000"/>
          <w:shd w:fill="FFFFFF" w:val="clear"/>
        </w:rPr>
        <w:t xml:space="preserve">. Em termos químicos </w:t>
      </w:r>
      <w:r>
        <w:rPr>
          <w:i/>
          <w:color w:val="000000"/>
          <w:shd w:fill="FFFFFF" w:val="clear"/>
        </w:rPr>
        <w:t>d'une Liqueur spiritueuse très volatile qu'on obtient par la distillation d'un acide mêlé avec de l'alcool.</w:t>
      </w:r>
      <w:r>
        <w:rPr>
          <w:rStyle w:val="Appleconvertedspace"/>
          <w:i/>
          <w:color w:val="000000"/>
          <w:shd w:fill="FFFFFF" w:val="clear"/>
        </w:rPr>
        <w:t> </w:t>
      </w:r>
      <w:r>
        <w:rPr>
          <w:i/>
          <w:iCs/>
          <w:color w:val="000000"/>
          <w:shd w:fill="FFFFFF" w:val="clear"/>
          <w:lang w:val="en-US"/>
        </w:rPr>
        <w:t xml:space="preserve">On distingue les éthers sels et les éthers oxydes. L'éther acétique est un éther sel. L'éther sulfurique est un éther oxyde. Un flacon d'éther. Respirer de l'éther pour calmer une souffrance. L'éther est un poison. </w:t>
      </w:r>
      <w:r>
        <w:rPr>
          <w:i/>
          <w:iCs/>
          <w:color w:val="000000"/>
          <w:shd w:fill="FFFFFF" w:val="clear"/>
        </w:rPr>
        <w:t>L'éther excite ou insensibilise</w:t>
      </w:r>
      <w:r>
        <w:rPr>
          <w:iCs/>
          <w:color w:val="000000"/>
          <w:shd w:fill="FFFFFF" w:val="clear"/>
        </w:rPr>
        <w:t xml:space="preserve">. Em termos terapêuticos, </w:t>
      </w:r>
      <w:r>
        <w:rPr>
          <w:i/>
          <w:iCs/>
          <w:color w:val="000000"/>
          <w:shd w:fill="FFFFFF" w:val="clear"/>
        </w:rPr>
        <w:t>Sirop d'éther, perles d'éther,</w:t>
      </w:r>
      <w:r>
        <w:rPr>
          <w:rStyle w:val="Appleconvertedspace"/>
          <w:i/>
          <w:color w:val="000000"/>
          <w:shd w:fill="FFFFFF" w:val="clear"/>
        </w:rPr>
        <w:t> </w:t>
      </w:r>
      <w:r>
        <w:rPr>
          <w:i/>
          <w:color w:val="000000"/>
          <w:shd w:fill="FFFFFF" w:val="clear"/>
        </w:rPr>
        <w:t>Remèdes qui contiennent de l'éther sulfurique.</w:t>
      </w:r>
      <w:r>
        <w:rPr>
          <w:iCs/>
          <w:color w:val="000000"/>
          <w:shd w:fill="FFFFFF" w:val="clear"/>
        </w:rPr>
        <w:t xml:space="preserve">  </w:t>
      </w:r>
      <w:r>
        <w:rPr/>
        <w:t xml:space="preserve">      </w:t>
      </w:r>
    </w:p>
  </w:footnote>
  <w:footnote w:id="18">
    <w:p>
      <w:pPr>
        <w:pStyle w:val="Notaderodap"/>
        <w:jc w:val="both"/>
        <w:rPr/>
      </w:pPr>
      <w:r>
        <w:rPr>
          <w:rStyle w:val="Caracteresdenotaderodap"/>
        </w:rPr>
        <w:footnoteRef/>
      </w:r>
      <w:r>
        <w:rPr>
          <w:lang w:val="en-US"/>
        </w:rPr>
        <w:t xml:space="preserve"> </w:t>
      </w:r>
      <w:r>
        <w:rPr>
          <w:lang w:val="en-US"/>
        </w:rPr>
        <w:t xml:space="preserve">Cantor, G. N. &amp; Hodge, M. J. S. </w:t>
      </w:r>
      <w:r>
        <w:rPr>
          <w:b/>
          <w:i/>
          <w:lang w:val="en-US"/>
        </w:rPr>
        <w:t>Major themes in the development of ether theories from the ancients to 1900</w:t>
      </w:r>
      <w:r>
        <w:rPr>
          <w:lang w:val="en-US"/>
        </w:rPr>
        <w:t xml:space="preserve">. In: </w:t>
      </w:r>
      <w:r>
        <w:rPr>
          <w:b/>
          <w:i/>
          <w:lang w:val="en-US"/>
        </w:rPr>
        <w:t>Conceptions of ether: Studies in the history of ether theories 1740-1900</w:t>
      </w:r>
      <w:r>
        <w:rPr>
          <w:lang w:val="en-US"/>
        </w:rPr>
        <w:t xml:space="preserve">. Cambridge: Cambridge University Press, 1981. (Pp. 01-60).  </w:t>
      </w:r>
    </w:p>
  </w:footnote>
  <w:footnote w:id="19">
    <w:p>
      <w:pPr>
        <w:pStyle w:val="Notaderodap"/>
        <w:jc w:val="both"/>
        <w:rPr>
          <w:lang w:val="en-US"/>
        </w:rPr>
      </w:pPr>
      <w:r>
        <w:rPr>
          <w:rStyle w:val="Caracteresdenotaderodap"/>
        </w:rPr>
        <w:footnoteRef/>
      </w:r>
      <w:r>
        <w:rPr>
          <w:lang w:val="en-US"/>
        </w:rPr>
        <w:t xml:space="preserve"> </w:t>
      </w:r>
      <w:r>
        <w:rPr>
          <w:b/>
          <w:i/>
          <w:lang w:val="en-US"/>
        </w:rPr>
        <w:t>Four letters from Sir Isaac Newton to Doctor Bentley</w:t>
      </w:r>
      <w:r>
        <w:rPr>
          <w:lang w:val="en-US"/>
        </w:rPr>
        <w:t xml:space="preserve"> (1692-3) &amp; </w:t>
      </w:r>
      <w:r>
        <w:rPr>
          <w:b/>
          <w:i/>
          <w:lang w:val="en-US"/>
        </w:rPr>
        <w:t>A letter to the Hon. Mr. Boyle on the cause of gravitation</w:t>
      </w:r>
      <w:r>
        <w:rPr>
          <w:lang w:val="en-US"/>
        </w:rPr>
        <w:t xml:space="preserve"> (1678-9). In: Newton, Isaac. Opera Quae extant Omnia. Friedrich Frommann Verlag, Stuttgart-Bad Cannstatt, 1964. Vol IV. (pp. 385-94; 429-42).  </w:t>
      </w:r>
    </w:p>
  </w:footnote>
  <w:footnote w:id="20">
    <w:p>
      <w:pPr>
        <w:pStyle w:val="Notaderodap"/>
        <w:jc w:val="both"/>
        <w:rPr/>
      </w:pPr>
      <w:r>
        <w:rPr>
          <w:rStyle w:val="Caracteresdenotaderodap"/>
        </w:rPr>
        <w:footnoteRef/>
      </w:r>
      <w:r>
        <w:rPr/>
        <w:t xml:space="preserve"> </w:t>
      </w:r>
      <w:r>
        <w:rPr/>
        <w:t xml:space="preserve">Newton, Isaac. Op. Cit. p. 387. </w:t>
      </w:r>
    </w:p>
  </w:footnote>
  <w:footnote w:id="21">
    <w:p>
      <w:pPr>
        <w:pStyle w:val="Notaderodap"/>
        <w:jc w:val="both"/>
        <w:rPr/>
      </w:pPr>
      <w:r>
        <w:rPr>
          <w:rStyle w:val="Caracteresdenotaderodap"/>
        </w:rPr>
        <w:footnoteRef/>
      </w:r>
      <w:r>
        <w:rPr>
          <w:lang w:val="en-US"/>
        </w:rPr>
        <w:t xml:space="preserve"> </w:t>
      </w:r>
      <w:r>
        <w:rPr>
          <w:lang w:val="en-US"/>
        </w:rPr>
        <w:t xml:space="preserve">Newton, Isaac. Op. Cit. p. 429-42. </w:t>
      </w:r>
    </w:p>
  </w:footnote>
  <w:footnote w:id="22">
    <w:p>
      <w:pPr>
        <w:pStyle w:val="Notaderodap"/>
        <w:jc w:val="both"/>
        <w:rPr/>
      </w:pPr>
      <w:r>
        <w:rPr>
          <w:rStyle w:val="Caracteresdenotaderodap"/>
        </w:rPr>
        <w:footnoteRef/>
      </w:r>
      <w:r>
        <w:rPr/>
        <w:t xml:space="preserve"> </w:t>
      </w:r>
      <w:r>
        <w:rPr/>
        <w:t xml:space="preserve">Francesco Maria Grimaldi (1618-1663) foi um matemático e físico italiano professor na Universidade de Bolonha. Cunhou o termo difração a partir de seus estudos sobre a natureza da luz. Propôs uma teoria ondulatória da luz na obra </w:t>
      </w:r>
      <w:r>
        <w:rPr>
          <w:i/>
          <w:iCs/>
          <w:color w:val="000000"/>
          <w:shd w:fill="FFFFFF" w:val="clear"/>
        </w:rPr>
        <w:t>Physicomathesis de lumine, coloribus, e iride,</w:t>
      </w:r>
      <w:r>
        <w:rPr>
          <w:rStyle w:val="Appleconvertedspace"/>
          <w:i/>
          <w:color w:val="000000"/>
          <w:shd w:fill="FFFFFF" w:val="clear"/>
        </w:rPr>
        <w:t> </w:t>
      </w:r>
      <w:r>
        <w:rPr>
          <w:i/>
          <w:color w:val="000000"/>
          <w:shd w:fill="FFFFFF" w:val="clear"/>
        </w:rPr>
        <w:t>de los annexis del aliisque</w:t>
      </w:r>
      <w:r>
        <w:rPr>
          <w:color w:val="000000"/>
          <w:shd w:fill="FFFFFF" w:val="clear"/>
        </w:rPr>
        <w:t xml:space="preserve"> publicada em 1665. </w:t>
      </w:r>
    </w:p>
  </w:footnote>
  <w:footnote w:id="23">
    <w:p>
      <w:pPr>
        <w:pStyle w:val="Notaderodap"/>
        <w:jc w:val="both"/>
        <w:rPr/>
      </w:pPr>
      <w:r>
        <w:rPr>
          <w:rStyle w:val="Caracteresdenotaderodap"/>
        </w:rPr>
        <w:footnoteRef/>
      </w:r>
      <w:r>
        <w:rPr/>
        <w:t xml:space="preserve"> </w:t>
      </w:r>
      <w:r>
        <w:rPr/>
        <w:t xml:space="preserve">Newton, Isaac. </w:t>
      </w:r>
      <w:r>
        <w:rPr>
          <w:b/>
          <w:i/>
        </w:rPr>
        <w:t>Principia: Princípios matemáticos de filosofia natural</w:t>
      </w:r>
      <w:r>
        <w:rPr/>
        <w:t xml:space="preserve">. Livro I. Tradução: Trieste Ricci et al. São Paulo: Edusp, 2002. </w:t>
      </w:r>
    </w:p>
  </w:footnote>
  <w:footnote w:id="24">
    <w:p>
      <w:pPr>
        <w:pStyle w:val="Notaderodap"/>
        <w:jc w:val="both"/>
        <w:rPr/>
      </w:pPr>
      <w:r>
        <w:rPr>
          <w:rStyle w:val="Caracteresdenotaderodap"/>
        </w:rPr>
        <w:footnoteRef/>
      </w:r>
      <w:r>
        <w:rPr/>
        <w:t xml:space="preserve"> </w:t>
      </w:r>
      <w:r>
        <w:rPr/>
        <w:t xml:space="preserve">Max Jammer (1915-2010) defendeu que a distinção entre massa e peso foi determinante na análise da ação à distância, uma vez que a aceleração e o peso variavam em função da distância de um corpo em queda livre, o invariante deveria ser a massa do corpo. Jammer também considera que a lei de Boyle que estabelece a relação entre a pressão e o volume de um gás possa ter influenciado o conceito de massa em Newton. </w:t>
      </w:r>
      <w:r>
        <w:rPr>
          <w:lang w:val="en-US"/>
        </w:rPr>
        <w:t xml:space="preserve">Ver: Jammer, Max. </w:t>
      </w:r>
      <w:r>
        <w:rPr>
          <w:b/>
          <w:i/>
          <w:lang w:val="en-US"/>
        </w:rPr>
        <w:t>Concepts of force: a study in the foundations of dynamics</w:t>
      </w:r>
      <w:r>
        <w:rPr>
          <w:lang w:val="en-US"/>
        </w:rPr>
        <w:t xml:space="preserve">. New York: Dover Publications, 1999. (chapter 7, Pp. 155-188).     </w:t>
      </w:r>
    </w:p>
  </w:footnote>
  <w:footnote w:id="25">
    <w:p>
      <w:pPr>
        <w:pStyle w:val="Notaderodap"/>
        <w:jc w:val="both"/>
        <w:rPr/>
      </w:pPr>
      <w:r>
        <w:rPr>
          <w:rStyle w:val="Caracteresdenotaderodap"/>
        </w:rPr>
        <w:footnoteRef/>
      </w:r>
      <w:r>
        <w:rPr/>
        <w:t xml:space="preserve"> </w:t>
      </w:r>
      <w:r>
        <w:rPr/>
        <w:t xml:space="preserve">Newton, Isaac. Op. Cit. p. 39. </w:t>
      </w:r>
    </w:p>
  </w:footnote>
  <w:footnote w:id="26">
    <w:p>
      <w:pPr>
        <w:pStyle w:val="Notaderodap"/>
        <w:jc w:val="both"/>
        <w:rPr/>
      </w:pPr>
      <w:r>
        <w:rPr>
          <w:rStyle w:val="Caracteresdenotaderodap"/>
        </w:rPr>
        <w:footnoteRef/>
      </w:r>
      <w:r>
        <w:rPr/>
        <w:t xml:space="preserve"> </w:t>
      </w:r>
      <w:r>
        <w:rPr/>
        <w:t xml:space="preserve">Newton, Isaac. </w:t>
      </w:r>
      <w:r>
        <w:rPr>
          <w:b/>
          <w:i/>
        </w:rPr>
        <w:t>Óptica</w:t>
      </w:r>
      <w:r>
        <w:rPr/>
        <w:t xml:space="preserve">. Tradução, introdução e notas de André Koch Torres Assis. São Paulo: Edusp, 2002. </w:t>
      </w:r>
    </w:p>
  </w:footnote>
  <w:footnote w:id="27">
    <w:p>
      <w:pPr>
        <w:pStyle w:val="Notaderodap"/>
        <w:jc w:val="both"/>
        <w:rPr/>
      </w:pPr>
      <w:r>
        <w:rPr>
          <w:rStyle w:val="Caracteresdenotaderodap"/>
        </w:rPr>
        <w:footnoteRef/>
      </w:r>
      <w:r>
        <w:rPr/>
        <w:t xml:space="preserve"> </w:t>
      </w:r>
      <w:r>
        <w:rPr/>
        <w:t xml:space="preserve">Cantor &amp; Hodge. Op. Cit. p.44-45. </w:t>
      </w:r>
    </w:p>
  </w:footnote>
  <w:footnote w:id="28">
    <w:p>
      <w:pPr>
        <w:pStyle w:val="Notaderodap"/>
        <w:jc w:val="both"/>
        <w:rPr/>
      </w:pPr>
      <w:r>
        <w:rPr>
          <w:rStyle w:val="Caracteresdenotaderodap"/>
        </w:rPr>
        <w:footnoteRef/>
      </w:r>
      <w:r>
        <w:rPr>
          <w:lang w:val="en-US"/>
        </w:rPr>
        <w:t xml:space="preserve"> </w:t>
      </w:r>
      <w:r>
        <w:rPr>
          <w:lang w:val="en-US"/>
        </w:rPr>
        <w:t xml:space="preserve">French, Roger K. </w:t>
      </w:r>
      <w:r>
        <w:rPr>
          <w:b/>
          <w:i/>
          <w:lang w:val="en-US"/>
        </w:rPr>
        <w:t>Ether and Physiology</w:t>
      </w:r>
      <w:r>
        <w:rPr>
          <w:lang w:val="en-US"/>
        </w:rPr>
        <w:t xml:space="preserve">. In: </w:t>
      </w:r>
      <w:r>
        <w:rPr>
          <w:b/>
          <w:i/>
          <w:lang w:val="en-US"/>
        </w:rPr>
        <w:t>Conceptions of ether: Studies in the history of ether theories 1740-1900</w:t>
      </w:r>
      <w:r>
        <w:rPr>
          <w:lang w:val="en-US"/>
        </w:rPr>
        <w:t>. Cambridge: Cambridge University Press, 1981. (Pp. 111-35)</w:t>
      </w:r>
    </w:p>
  </w:footnote>
  <w:footnote w:id="29">
    <w:p>
      <w:pPr>
        <w:pStyle w:val="Notaderodap"/>
        <w:jc w:val="both"/>
        <w:rPr>
          <w:lang w:val="en-US"/>
        </w:rPr>
      </w:pPr>
      <w:r>
        <w:rPr>
          <w:rStyle w:val="Caracteresdenotaderodap"/>
        </w:rPr>
        <w:footnoteRef/>
      </w:r>
      <w:r>
        <w:rPr>
          <w:lang w:val="en-US"/>
        </w:rPr>
        <w:t xml:space="preserve"> </w:t>
      </w:r>
      <w:r>
        <w:rPr>
          <w:lang w:val="en-US"/>
        </w:rPr>
        <w:t xml:space="preserve">Boerhaave, Herman. </w:t>
      </w:r>
      <w:r>
        <w:rPr>
          <w:b/>
          <w:i/>
          <w:lang w:val="en-US"/>
        </w:rPr>
        <w:t>The history of fire</w:t>
      </w:r>
      <w:r>
        <w:rPr>
          <w:lang w:val="en-US"/>
        </w:rPr>
        <w:t xml:space="preserve">. In: Boerhaave, Herman. </w:t>
      </w:r>
      <w:r>
        <w:rPr>
          <w:b/>
          <w:i/>
          <w:lang w:val="en-US"/>
        </w:rPr>
        <w:t>A new method of chemistry</w:t>
      </w:r>
      <w:r>
        <w:rPr>
          <w:lang w:val="en-US"/>
        </w:rPr>
        <w:t xml:space="preserve">. London: Osborn and Longman, 1727. (pp. 220-276). </w:t>
      </w:r>
    </w:p>
  </w:footnote>
  <w:footnote w:id="30">
    <w:p>
      <w:pPr>
        <w:pStyle w:val="Notaderodap"/>
        <w:jc w:val="both"/>
        <w:rPr/>
      </w:pPr>
      <w:r>
        <w:rPr>
          <w:rStyle w:val="Caracteresdenotaderodap"/>
        </w:rPr>
        <w:footnoteRef/>
      </w:r>
      <w:r>
        <w:rPr>
          <w:lang w:val="en-US"/>
        </w:rPr>
        <w:t xml:space="preserve"> </w:t>
      </w:r>
      <w:r>
        <w:rPr>
          <w:lang w:val="en-US"/>
        </w:rPr>
        <w:t>Jammer, Max. Op. Cit. p. 237.</w:t>
      </w:r>
    </w:p>
  </w:footnote>
  <w:footnote w:id="31">
    <w:p>
      <w:pPr>
        <w:pStyle w:val="Notaderodap"/>
        <w:jc w:val="both"/>
        <w:rPr>
          <w:lang w:val="en-US"/>
        </w:rPr>
      </w:pPr>
      <w:r>
        <w:rPr>
          <w:rStyle w:val="Caracteresdenotaderodap"/>
        </w:rPr>
        <w:footnoteRef/>
      </w:r>
      <w:r>
        <w:rPr>
          <w:lang w:val="en-US"/>
        </w:rPr>
        <w:t xml:space="preserve"> </w:t>
      </w:r>
      <w:r>
        <w:rPr>
          <w:lang w:val="en-US"/>
        </w:rPr>
        <w:t xml:space="preserve">Maxwell, James Clerk. </w:t>
      </w:r>
      <w:r>
        <w:rPr>
          <w:b/>
          <w:i/>
          <w:lang w:val="en-US"/>
        </w:rPr>
        <w:t>Matter and Motion</w:t>
      </w:r>
      <w:r>
        <w:rPr>
          <w:lang w:val="en-US"/>
        </w:rPr>
        <w:t>. New York: Young &amp; Co, 1894 (p. 93).</w:t>
      </w:r>
    </w:p>
  </w:footnote>
  <w:footnote w:id="32">
    <w:p>
      <w:pPr>
        <w:pStyle w:val="Notaderodap"/>
        <w:jc w:val="both"/>
        <w:rPr>
          <w:lang w:val="en-US"/>
        </w:rPr>
      </w:pPr>
      <w:r>
        <w:rPr>
          <w:rStyle w:val="Caracteresdenotaderodap"/>
        </w:rPr>
        <w:footnoteRef/>
      </w:r>
      <w:r>
        <w:rPr>
          <w:lang w:val="en-US"/>
        </w:rPr>
        <w:t xml:space="preserve"> </w:t>
      </w:r>
      <w:r>
        <w:rPr>
          <w:lang w:val="en-US"/>
        </w:rPr>
        <w:t xml:space="preserve">Maxwell, James Clerk. Op. Cit. p. 123. </w:t>
      </w:r>
    </w:p>
  </w:footnote>
  <w:footnote w:id="33">
    <w:p>
      <w:pPr>
        <w:pStyle w:val="Notaderodap"/>
        <w:jc w:val="both"/>
        <w:rPr/>
      </w:pPr>
      <w:r>
        <w:rPr>
          <w:rStyle w:val="Caracteresdenotaderodap"/>
        </w:rPr>
        <w:footnoteRef/>
      </w:r>
      <w:r>
        <w:rPr/>
        <w:t xml:space="preserve"> </w:t>
      </w:r>
      <w:r>
        <w:rPr/>
        <w:t xml:space="preserve">Wilford Hall divulgou suas ideias acerca da causa da gravidade nos periódicos em que era editor, são eles o </w:t>
      </w:r>
      <w:r>
        <w:rPr>
          <w:b/>
          <w:i/>
        </w:rPr>
        <w:t>The Scientific Arena</w:t>
      </w:r>
      <w:r>
        <w:rPr/>
        <w:t xml:space="preserve"> (1886-1888) e o </w:t>
      </w:r>
      <w:r>
        <w:rPr>
          <w:b/>
          <w:i/>
        </w:rPr>
        <w:t>The Microcosm</w:t>
      </w:r>
      <w:r>
        <w:rPr/>
        <w:t xml:space="preserve"> (1881-1892).  </w:t>
      </w:r>
    </w:p>
  </w:footnote>
  <w:footnote w:id="34">
    <w:p>
      <w:pPr>
        <w:pStyle w:val="Notaderodap"/>
        <w:jc w:val="both"/>
        <w:rPr/>
      </w:pPr>
      <w:r>
        <w:rPr>
          <w:rStyle w:val="Caracteresdenotaderodap"/>
        </w:rPr>
        <w:footnoteRef/>
      </w:r>
      <w:r>
        <w:rPr/>
        <w:t xml:space="preserve"> </w:t>
      </w:r>
      <w:r>
        <w:rPr/>
        <w:t xml:space="preserve">Blavatsky, Helena P. </w:t>
      </w:r>
      <w:r>
        <w:rPr>
          <w:b/>
          <w:i/>
        </w:rPr>
        <w:t>A doutrina oculta</w:t>
      </w:r>
      <w:r>
        <w:rPr/>
        <w:t>. São Paulo: Hemus editora, 1977. p. 92.</w:t>
      </w:r>
    </w:p>
  </w:footnote>
  <w:footnote w:id="35">
    <w:p>
      <w:pPr>
        <w:pStyle w:val="Notaderodap"/>
        <w:jc w:val="both"/>
        <w:rPr/>
      </w:pPr>
      <w:r>
        <w:rPr>
          <w:rStyle w:val="Caracteresdenotaderodap"/>
        </w:rPr>
        <w:footnoteRef/>
      </w:r>
      <w:r>
        <w:rPr/>
        <w:t xml:space="preserve"> </w:t>
      </w:r>
      <w:r>
        <w:rPr/>
        <w:t xml:space="preserve">Blavatsky, Helena P. Op. Cit. p. 94. </w:t>
      </w:r>
    </w:p>
  </w:footnote>
  <w:footnote w:id="36">
    <w:p>
      <w:pPr>
        <w:pStyle w:val="Notaderodap"/>
        <w:jc w:val="both"/>
        <w:rPr/>
      </w:pPr>
      <w:r>
        <w:rPr>
          <w:rStyle w:val="Caracteresdenotaderodap"/>
        </w:rPr>
        <w:footnoteRef/>
      </w:r>
      <w:r>
        <w:rPr/>
        <w:t xml:space="preserve"> </w:t>
      </w:r>
      <w:r>
        <w:rPr/>
        <w:t>Blavatsky, Helena P. Op. Cit. p. 133-4.</w:t>
      </w:r>
    </w:p>
  </w:footnote>
  <w:footnote w:id="37">
    <w:p>
      <w:pPr>
        <w:pStyle w:val="Notaderodap"/>
        <w:jc w:val="both"/>
        <w:rPr/>
      </w:pPr>
      <w:r>
        <w:rPr>
          <w:rStyle w:val="Caracteresdenotaderodap"/>
        </w:rPr>
        <w:footnoteRef/>
      </w:r>
      <w:r>
        <w:rPr/>
        <w:t xml:space="preserve"> </w:t>
      </w:r>
      <w:r>
        <w:rPr/>
        <w:t xml:space="preserve">Blavatsky, Helena P. </w:t>
      </w:r>
      <w:r>
        <w:rPr>
          <w:b/>
          <w:i/>
        </w:rPr>
        <w:t>Ísis sem véu: Uma chave-mestra para os mistérios da ciência e da teologia antigas e modernas</w:t>
      </w:r>
      <w:r>
        <w:rPr/>
        <w:t xml:space="preserve">. Volume I: Ciência. São Paulo: Editora Pensamento, 1992 [1877]. P. 168. </w:t>
      </w:r>
    </w:p>
  </w:footnote>
  <w:footnote w:id="38">
    <w:p>
      <w:pPr>
        <w:pStyle w:val="Notaderodap"/>
        <w:jc w:val="both"/>
        <w:rPr>
          <w:lang w:val="en-US"/>
        </w:rPr>
      </w:pPr>
      <w:r>
        <w:rPr>
          <w:rStyle w:val="Caracteresdenotaderodap"/>
        </w:rPr>
        <w:footnoteRef/>
      </w:r>
      <w:r>
        <w:rPr>
          <w:lang w:val="en-US"/>
        </w:rPr>
        <w:t xml:space="preserve"> </w:t>
      </w:r>
      <w:r>
        <w:rPr>
          <w:lang w:val="en-US"/>
        </w:rPr>
        <w:t xml:space="preserve">Tyndall, John. </w:t>
      </w:r>
      <w:r>
        <w:rPr>
          <w:b/>
          <w:i/>
          <w:lang w:val="en-US"/>
        </w:rPr>
        <w:t>Scientific Materialism</w:t>
      </w:r>
      <w:r>
        <w:rPr>
          <w:lang w:val="en-US"/>
        </w:rPr>
        <w:t xml:space="preserve"> [1868]. In: </w:t>
      </w:r>
      <w:r>
        <w:rPr>
          <w:b/>
          <w:i/>
          <w:lang w:val="en-US"/>
        </w:rPr>
        <w:t>Fragments of Science</w:t>
      </w:r>
      <w:r>
        <w:rPr>
          <w:lang w:val="en-US"/>
        </w:rPr>
        <w:t xml:space="preserve">. New York: American Library Company, 1902. Pp. 82-98.  </w:t>
      </w:r>
    </w:p>
  </w:footnote>
  <w:footnote w:id="39">
    <w:p>
      <w:pPr>
        <w:pStyle w:val="Notaderodap"/>
        <w:jc w:val="both"/>
        <w:rPr/>
      </w:pPr>
      <w:r>
        <w:rPr>
          <w:rStyle w:val="Caracteresdenotaderodap"/>
        </w:rPr>
        <w:footnoteRef/>
      </w:r>
      <w:r>
        <w:rPr>
          <w:lang w:val="en-US"/>
        </w:rPr>
        <w:t xml:space="preserve"> </w:t>
      </w:r>
      <w:r>
        <w:rPr>
          <w:lang w:val="en-US"/>
        </w:rPr>
        <w:t xml:space="preserve">Blavatsky, H.P. [1877]. Op. Cit. p. 202.  </w:t>
      </w:r>
    </w:p>
  </w:footnote>
  <w:footnote w:id="40">
    <w:p>
      <w:pPr>
        <w:pStyle w:val="Notaderodap"/>
        <w:jc w:val="both"/>
        <w:rPr/>
      </w:pPr>
      <w:r>
        <w:rPr>
          <w:rStyle w:val="Caracteresdenotaderodap"/>
        </w:rPr>
        <w:footnoteRef/>
      </w:r>
      <w:r>
        <w:rPr>
          <w:lang w:val="en-US"/>
        </w:rPr>
        <w:t xml:space="preserve"> </w:t>
      </w:r>
      <w:r>
        <w:rPr>
          <w:lang w:val="en-US"/>
        </w:rPr>
        <w:t xml:space="preserve">Kipling, R. </w:t>
      </w:r>
      <w:r>
        <w:rPr>
          <w:b/>
          <w:i/>
          <w:lang w:val="en-US"/>
        </w:rPr>
        <w:t>A song of the English</w:t>
      </w:r>
      <w:r>
        <w:rPr>
          <w:lang w:val="en-US"/>
        </w:rPr>
        <w:t xml:space="preserve">. In: </w:t>
      </w:r>
      <w:r>
        <w:rPr>
          <w:b/>
          <w:i/>
          <w:lang w:val="en-US"/>
        </w:rPr>
        <w:t>The Writings in prose and verse of Rudyard Kipling</w:t>
      </w:r>
      <w:r>
        <w:rPr>
          <w:lang w:val="en-US"/>
        </w:rPr>
        <w:t xml:space="preserve">. New York: Charles Scribner’s sons, 1898. </w:t>
      </w:r>
      <w:r>
        <w:rPr/>
        <w:t xml:space="preserve">(pp. 181-182).  </w:t>
      </w:r>
    </w:p>
  </w:footnote>
  <w:footnote w:id="41">
    <w:p>
      <w:pPr>
        <w:pStyle w:val="Notaderodap"/>
        <w:jc w:val="both"/>
        <w:rPr/>
      </w:pPr>
      <w:r>
        <w:rPr>
          <w:rStyle w:val="Caracteresdenotaderodap"/>
        </w:rPr>
        <w:footnoteRef/>
      </w:r>
      <w:r>
        <w:rPr/>
        <w:t xml:space="preserve"> </w:t>
      </w:r>
      <w:r>
        <w:rPr/>
        <w:t xml:space="preserve">Said, Edward W. </w:t>
      </w:r>
      <w:r>
        <w:rPr>
          <w:b/>
          <w:i/>
        </w:rPr>
        <w:t>Cultura e imperialismo</w:t>
      </w:r>
      <w:r>
        <w:rPr/>
        <w:t xml:space="preserve">. São Paulo: Companhia das letras, 1995. </w:t>
      </w:r>
    </w:p>
  </w:footnote>
  <w:footnote w:id="42">
    <w:p>
      <w:pPr>
        <w:pStyle w:val="Notaderodap"/>
        <w:jc w:val="both"/>
        <w:rPr/>
      </w:pPr>
      <w:r>
        <w:rPr>
          <w:rStyle w:val="Caracteresdenotaderodap"/>
        </w:rPr>
        <w:footnoteRef/>
      </w:r>
      <w:r>
        <w:rPr/>
        <w:t xml:space="preserve"> </w:t>
      </w:r>
      <w:r>
        <w:rPr/>
        <w:t xml:space="preserve">Said, Edward W. </w:t>
      </w:r>
      <w:r>
        <w:rPr>
          <w:b/>
          <w:i/>
        </w:rPr>
        <w:t>Orientalismo: O Oriente como invenção do Ocidente</w:t>
      </w:r>
      <w:r>
        <w:rPr/>
        <w:t xml:space="preserve">. São Paulo: Companhia das letras, 2007. Pp. 32-33.  </w:t>
      </w:r>
    </w:p>
  </w:footnote>
  <w:footnote w:id="43">
    <w:p>
      <w:pPr>
        <w:pStyle w:val="Notaderodap"/>
        <w:jc w:val="both"/>
        <w:rPr/>
      </w:pPr>
      <w:r>
        <w:rPr>
          <w:rStyle w:val="Caracteresdenotaderodap"/>
        </w:rPr>
        <w:footnoteRef/>
      </w:r>
      <w:r>
        <w:rPr/>
        <w:t xml:space="preserve"> </w:t>
      </w:r>
      <w:r>
        <w:rPr/>
        <w:t xml:space="preserve">Comas, Juan. </w:t>
      </w:r>
      <w:r>
        <w:rPr>
          <w:b/>
          <w:i/>
        </w:rPr>
        <w:t>Os mitos raciais</w:t>
      </w:r>
      <w:r>
        <w:rPr/>
        <w:t xml:space="preserve">. In: </w:t>
      </w:r>
      <w:r>
        <w:rPr>
          <w:b/>
          <w:i/>
        </w:rPr>
        <w:t>Raça e Ciência I</w:t>
      </w:r>
      <w:r>
        <w:rPr/>
        <w:t xml:space="preserve">. UNESCO. São Paulo: Editora Perspectiva, 1960. (Pp. 11-56). </w:t>
      </w:r>
    </w:p>
  </w:footnote>
  <w:footnote w:id="44">
    <w:p>
      <w:pPr>
        <w:pStyle w:val="Notaderodap"/>
        <w:jc w:val="both"/>
        <w:rPr/>
      </w:pPr>
      <w:r>
        <w:rPr>
          <w:rStyle w:val="Caracteresdenotaderodap"/>
        </w:rPr>
        <w:footnoteRef/>
      </w:r>
      <w:r>
        <w:rPr>
          <w:lang w:val="en-US"/>
        </w:rPr>
        <w:t xml:space="preserve"> </w:t>
      </w:r>
      <w:r>
        <w:rPr>
          <w:lang w:val="en-US"/>
        </w:rPr>
        <w:t xml:space="preserve">Hoblyn, Richard D. </w:t>
      </w:r>
      <w:r>
        <w:rPr>
          <w:b/>
          <w:i/>
          <w:lang w:val="en-US"/>
        </w:rPr>
        <w:t>A dictionary of terms used in medicine and the collateral sciences</w:t>
      </w:r>
      <w:r>
        <w:rPr>
          <w:lang w:val="en-US"/>
        </w:rPr>
        <w:t xml:space="preserve">. Philadelphia: Lea &amp; Blanchard, 1845. (p. 302).  </w:t>
      </w:r>
    </w:p>
  </w:footnote>
  <w:footnote w:id="45">
    <w:p>
      <w:pPr>
        <w:pStyle w:val="Notaderodap"/>
        <w:jc w:val="both"/>
        <w:rPr/>
      </w:pPr>
      <w:r>
        <w:rPr>
          <w:rStyle w:val="Caracteresdenotaderodap"/>
        </w:rPr>
        <w:footnoteRef/>
      </w:r>
      <w:r>
        <w:rPr>
          <w:lang w:val="en-US"/>
        </w:rPr>
        <w:t xml:space="preserve"> </w:t>
      </w:r>
      <w:r>
        <w:rPr>
          <w:b/>
          <w:i/>
          <w:lang w:val="en-US"/>
        </w:rPr>
        <w:t>Dictionary of arts and sciences</w:t>
      </w:r>
      <w:r>
        <w:rPr>
          <w:lang w:val="en-US"/>
        </w:rPr>
        <w:t xml:space="preserve">. Philadelphia: Brown Printer, 1818. Vol 4. (p. 360). </w:t>
      </w:r>
    </w:p>
  </w:footnote>
  <w:footnote w:id="46">
    <w:p>
      <w:pPr>
        <w:pStyle w:val="Notaderodap"/>
        <w:jc w:val="both"/>
        <w:rPr/>
      </w:pPr>
      <w:r>
        <w:rPr>
          <w:rStyle w:val="Caracteresdenotaderodap"/>
        </w:rPr>
        <w:footnoteRef/>
      </w:r>
      <w:r>
        <w:rPr>
          <w:lang w:val="en-US"/>
        </w:rPr>
        <w:t xml:space="preserve"> </w:t>
      </w:r>
      <w:r>
        <w:rPr>
          <w:lang w:val="en-US"/>
        </w:rPr>
        <w:t xml:space="preserve">Cutter, George R. </w:t>
      </w:r>
      <w:r>
        <w:rPr>
          <w:b/>
          <w:i/>
          <w:lang w:val="en-US"/>
        </w:rPr>
        <w:t>A dictionary of the German terms used in medicine</w:t>
      </w:r>
      <w:r>
        <w:rPr>
          <w:lang w:val="en-US"/>
        </w:rPr>
        <w:t xml:space="preserve">. New York: Putnam’s Sons, 1879. (p. 80). </w:t>
      </w:r>
    </w:p>
  </w:footnote>
  <w:footnote w:id="47">
    <w:p>
      <w:pPr>
        <w:pStyle w:val="Notaderodap"/>
        <w:jc w:val="both"/>
        <w:rPr/>
      </w:pPr>
      <w:r>
        <w:rPr>
          <w:rStyle w:val="Caracteresdenotaderodap"/>
        </w:rPr>
        <w:footnoteRef/>
      </w:r>
      <w:r>
        <w:rPr>
          <w:lang w:val="en-US"/>
        </w:rPr>
        <w:t xml:space="preserve"> </w:t>
      </w:r>
      <w:r>
        <w:rPr>
          <w:lang w:val="en-US"/>
        </w:rPr>
        <w:t xml:space="preserve">Cutter, George R. Op. Cit. p. 89. </w:t>
      </w:r>
    </w:p>
  </w:footnote>
  <w:footnote w:id="48">
    <w:p>
      <w:pPr>
        <w:pStyle w:val="Notaderodap"/>
        <w:jc w:val="both"/>
        <w:rPr/>
      </w:pPr>
      <w:r>
        <w:rPr>
          <w:rStyle w:val="Caracteresdenotaderodap"/>
        </w:rPr>
        <w:footnoteRef/>
      </w:r>
      <w:r>
        <w:rPr>
          <w:lang w:val="en-US"/>
        </w:rPr>
        <w:t xml:space="preserve"> </w:t>
      </w:r>
      <w:r>
        <w:rPr>
          <w:lang w:val="en-US"/>
        </w:rPr>
        <w:t xml:space="preserve">Fowler, L. N. &amp; Fowler, J. A. </w:t>
      </w:r>
      <w:r>
        <w:rPr>
          <w:b/>
          <w:i/>
          <w:lang w:val="en-US"/>
        </w:rPr>
        <w:t>Phrenological dictionary</w:t>
      </w:r>
      <w:r>
        <w:rPr>
          <w:lang w:val="en-US"/>
        </w:rPr>
        <w:t xml:space="preserve">. London: Fowler &amp; Wells Co., 1894. (p. 04). </w:t>
      </w:r>
    </w:p>
  </w:footnote>
  <w:footnote w:id="49">
    <w:p>
      <w:pPr>
        <w:pStyle w:val="Notaderodap"/>
        <w:jc w:val="both"/>
        <w:rPr/>
      </w:pPr>
      <w:r>
        <w:rPr>
          <w:rStyle w:val="Caracteresdenotaderodap"/>
        </w:rPr>
        <w:footnoteRef/>
      </w:r>
      <w:r>
        <w:rPr/>
        <w:t xml:space="preserve"> </w:t>
      </w:r>
      <w:r>
        <w:rPr/>
        <w:t xml:space="preserve">Para detalhes da biografia de Kipling ver: Gallienne, Richard Le. </w:t>
      </w:r>
      <w:r>
        <w:rPr>
          <w:b/>
          <w:i/>
        </w:rPr>
        <w:t>Rudyard Kipling: A criticism</w:t>
      </w:r>
      <w:r>
        <w:rPr/>
        <w:t xml:space="preserve">. London: John Lane, 1900.   </w:t>
      </w:r>
    </w:p>
  </w:footnote>
  <w:footnote w:id="50">
    <w:p>
      <w:pPr>
        <w:pStyle w:val="Notaderodap"/>
        <w:jc w:val="both"/>
        <w:rPr/>
      </w:pPr>
      <w:r>
        <w:rPr>
          <w:rStyle w:val="Caracteresdenotaderodap"/>
        </w:rPr>
        <w:footnoteRef/>
      </w:r>
      <w:r>
        <w:rPr/>
        <w:t xml:space="preserve"> </w:t>
      </w:r>
      <w:r>
        <w:rPr/>
        <w:t xml:space="preserve">Kipling, R. </w:t>
      </w:r>
      <w:r>
        <w:rPr>
          <w:b/>
          <w:i/>
        </w:rPr>
        <w:t>Livro da jângal</w:t>
      </w:r>
      <w:r>
        <w:rPr/>
        <w:t xml:space="preserve">. Tradução de Monteiro Lobato. São Paulo: Ed. Nacional, 1953. A coletânea completa das Jungle books encontra-se nos volumes 7 e 8 da obra </w:t>
      </w:r>
      <w:r>
        <w:rPr>
          <w:b/>
          <w:i/>
        </w:rPr>
        <w:t>The Writings in prose and verse of Rudyard Kipling</w:t>
      </w:r>
      <w:r>
        <w:rPr/>
        <w:t xml:space="preserve">. </w:t>
      </w:r>
      <w:r>
        <w:rPr>
          <w:lang w:val="en-US"/>
        </w:rPr>
        <w:t xml:space="preserve">New York: Charles Scribner’s sons, 1898. </w:t>
      </w:r>
    </w:p>
  </w:footnote>
  <w:footnote w:id="51">
    <w:p>
      <w:pPr>
        <w:pStyle w:val="Notaderodap"/>
        <w:jc w:val="both"/>
        <w:rPr/>
      </w:pPr>
      <w:r>
        <w:rPr>
          <w:rStyle w:val="Caracteresdenotaderodap"/>
        </w:rPr>
        <w:footnoteRef/>
      </w:r>
      <w:r>
        <w:rPr/>
        <w:t xml:space="preserve"> </w:t>
      </w:r>
      <w:r>
        <w:rPr/>
        <w:t xml:space="preserve">Kipling, R. </w:t>
      </w:r>
      <w:r>
        <w:rPr>
          <w:b/>
          <w:i/>
        </w:rPr>
        <w:t>Kim</w:t>
      </w:r>
      <w:r>
        <w:rPr/>
        <w:t>. Tradução de Monteiro Lobato. São Paulo: Ed. Nacional, 1956.</w:t>
      </w:r>
    </w:p>
  </w:footnote>
  <w:footnote w:id="52">
    <w:p>
      <w:pPr>
        <w:pStyle w:val="Notaderodap"/>
        <w:jc w:val="both"/>
        <w:rPr/>
      </w:pPr>
      <w:r>
        <w:rPr>
          <w:rStyle w:val="Caracteresdenotaderodap"/>
        </w:rPr>
        <w:footnoteRef/>
      </w:r>
      <w:r>
        <w:rPr/>
        <w:t xml:space="preserve"> </w:t>
      </w:r>
      <w:r>
        <w:rPr/>
        <w:t xml:space="preserve">Said, E. [1995]. Op. Cit. </w:t>
      </w:r>
    </w:p>
  </w:footnote>
  <w:footnote w:id="53">
    <w:p>
      <w:pPr>
        <w:pStyle w:val="Notaderodap"/>
        <w:jc w:val="both"/>
        <w:rPr/>
      </w:pPr>
      <w:r>
        <w:rPr>
          <w:rStyle w:val="Caracteresdenotaderodap"/>
        </w:rPr>
        <w:footnoteRef/>
      </w:r>
      <w:r>
        <w:rPr/>
        <w:t xml:space="preserve"> </w:t>
      </w:r>
      <w:r>
        <w:rPr/>
        <w:t xml:space="preserve">A figura do híbrido é imperativa no ethos simbólico dos processos de colonização, principalmente no Ocidente, como o representante da simbiose que tal processo gera (seja na figura de uma pessoa que realmente viveu no período ou na personagem de ficção). No processo de colonização dos EUA o mito de Daniel Boone ocupa o mesmo papel simbólico que Kim, e nesse sentido pode-se aproximar a figura de Kim com a personagem Tarzan de Edgar Rice Burroughs. O híbrido é aquele que vive nos dois mundos. Pode ser uma ponte que ligue esses mundos ou um efeito, positivo ou negativo (vide o sertanejo em </w:t>
      </w:r>
      <w:r>
        <w:rPr>
          <w:i/>
        </w:rPr>
        <w:t>Os sertões</w:t>
      </w:r>
      <w:r>
        <w:rPr/>
        <w:t xml:space="preserve"> de Euclides da Cunha), dessa interação. </w:t>
      </w:r>
    </w:p>
  </w:footnote>
  <w:footnote w:id="54">
    <w:p>
      <w:pPr>
        <w:pStyle w:val="Notaderodap"/>
        <w:jc w:val="both"/>
        <w:rPr/>
      </w:pPr>
      <w:r>
        <w:rPr>
          <w:rStyle w:val="Caracteresdenotaderodap"/>
        </w:rPr>
        <w:footnoteRef/>
      </w:r>
      <w:r>
        <w:rPr/>
        <w:t xml:space="preserve"> </w:t>
      </w:r>
      <w:r>
        <w:rPr/>
        <w:t xml:space="preserve">Kipling, R. [1956]. Op. Cit. p. 105. </w:t>
      </w:r>
    </w:p>
  </w:footnote>
  <w:footnote w:id="55">
    <w:p>
      <w:pPr>
        <w:pStyle w:val="Notaderodap"/>
        <w:jc w:val="both"/>
        <w:rPr/>
      </w:pPr>
      <w:r>
        <w:rPr>
          <w:rStyle w:val="Caracteresdenotaderodap"/>
        </w:rPr>
        <w:footnoteRef/>
      </w:r>
      <w:r>
        <w:rPr>
          <w:lang w:val="en-US"/>
        </w:rPr>
        <w:t xml:space="preserve"> </w:t>
      </w:r>
      <w:r>
        <w:rPr>
          <w:lang w:val="en-US"/>
        </w:rPr>
        <w:t xml:space="preserve">Kipling, R. </w:t>
      </w:r>
      <w:r>
        <w:rPr>
          <w:b/>
          <w:i/>
          <w:lang w:val="en-US"/>
        </w:rPr>
        <w:t>Tick Boileau rapa a mesa</w:t>
      </w:r>
      <w:r>
        <w:rPr>
          <w:lang w:val="en-US"/>
        </w:rPr>
        <w:t xml:space="preserve">. </w:t>
      </w:r>
      <w:r>
        <w:rPr/>
        <w:t xml:space="preserve">In: Haining, P. (Org.). </w:t>
      </w:r>
      <w:r>
        <w:rPr>
          <w:b/>
          <w:i/>
        </w:rPr>
        <w:t>Histórias sobrenaturais de Rudyard Kipling</w:t>
      </w:r>
      <w:r>
        <w:rPr/>
        <w:t xml:space="preserve">. Rio de Janeiro: Bertrand Brasil, 1995. (pp. 71-80). </w:t>
      </w:r>
    </w:p>
  </w:footnote>
  <w:footnote w:id="56">
    <w:p>
      <w:pPr>
        <w:pStyle w:val="Notaderodap"/>
        <w:jc w:val="both"/>
        <w:rPr>
          <w:lang w:val="en-US"/>
        </w:rPr>
      </w:pPr>
      <w:r>
        <w:rPr>
          <w:rStyle w:val="Caracteresdenotaderodap"/>
        </w:rPr>
        <w:footnoteRef/>
      </w:r>
      <w:r>
        <w:rPr>
          <w:lang w:val="en-US"/>
        </w:rPr>
        <w:t xml:space="preserve"> </w:t>
      </w:r>
      <w:r>
        <w:rPr>
          <w:lang w:val="en-US"/>
        </w:rPr>
        <w:t xml:space="preserve">Kipling, R. </w:t>
      </w:r>
      <w:r>
        <w:rPr>
          <w:b/>
          <w:i/>
          <w:lang w:val="en-US"/>
        </w:rPr>
        <w:t>In the house of Suddhoo</w:t>
      </w:r>
      <w:r>
        <w:rPr>
          <w:lang w:val="en-US"/>
        </w:rPr>
        <w:t xml:space="preserve">. In: </w:t>
      </w:r>
      <w:r>
        <w:rPr>
          <w:b/>
          <w:i/>
          <w:lang w:val="en-US"/>
        </w:rPr>
        <w:t>The Writings in prose and verse of Rudyard Kipling</w:t>
      </w:r>
      <w:r>
        <w:rPr>
          <w:lang w:val="en-US"/>
        </w:rPr>
        <w:t xml:space="preserve">. Plain tales from the hills, vol. 1. New York: Charles Scribner’s sons, 1898. (pp. 159-171). </w:t>
      </w:r>
    </w:p>
  </w:footnote>
  <w:footnote w:id="57">
    <w:p>
      <w:pPr>
        <w:pStyle w:val="Notaderodap"/>
        <w:jc w:val="both"/>
        <w:rPr/>
      </w:pPr>
      <w:r>
        <w:rPr>
          <w:rStyle w:val="Caracteresdenotaderodap"/>
        </w:rPr>
        <w:footnoteRef/>
      </w:r>
      <w:r>
        <w:rPr/>
        <w:t xml:space="preserve"> </w:t>
      </w:r>
      <w:r>
        <w:rPr/>
        <w:t xml:space="preserve">Ver os seguintes contos: </w:t>
      </w:r>
      <w:r>
        <w:rPr>
          <w:b/>
          <w:i/>
        </w:rPr>
        <w:t>Black Jack</w:t>
      </w:r>
      <w:r>
        <w:rPr/>
        <w:t xml:space="preserve">. </w:t>
      </w:r>
      <w:r>
        <w:rPr>
          <w:lang w:val="en-US"/>
        </w:rPr>
        <w:t xml:space="preserve">In: Soldiers three and military tales (part I, vol. 2 dos Writings). (pp. 174-201); </w:t>
      </w:r>
      <w:r>
        <w:rPr>
          <w:b/>
          <w:i/>
          <w:lang w:val="en-US"/>
        </w:rPr>
        <w:t>The man who would be king</w:t>
      </w:r>
      <w:r>
        <w:rPr>
          <w:lang w:val="en-US"/>
        </w:rPr>
        <w:t xml:space="preserve"> &amp; </w:t>
      </w:r>
      <w:r>
        <w:rPr>
          <w:b/>
          <w:i/>
          <w:lang w:val="en-US"/>
        </w:rPr>
        <w:t>The mark of the beast</w:t>
      </w:r>
      <w:r>
        <w:rPr>
          <w:lang w:val="en-US"/>
        </w:rPr>
        <w:t xml:space="preserve">. In: The phantom’ Rickshaw and other stories (vol. 5 dos Writings).     </w:t>
      </w:r>
    </w:p>
  </w:footnote>
  <w:footnote w:id="58">
    <w:p>
      <w:pPr>
        <w:pStyle w:val="Notaderodap"/>
        <w:jc w:val="both"/>
        <w:rPr/>
      </w:pPr>
      <w:r>
        <w:rPr>
          <w:rStyle w:val="Caracteresdenotaderodap"/>
        </w:rPr>
        <w:footnoteRef/>
      </w:r>
      <w:r>
        <w:rPr>
          <w:lang w:val="en-US"/>
        </w:rPr>
        <w:t xml:space="preserve"> </w:t>
      </w:r>
      <w:r>
        <w:rPr>
          <w:lang w:val="en-US"/>
        </w:rPr>
        <w:t xml:space="preserve">Hobsbawm, E. </w:t>
      </w:r>
      <w:r>
        <w:rPr>
          <w:b/>
          <w:i/>
        </w:rPr>
        <w:t>A era das revoluções: 1789-1848</w:t>
      </w:r>
      <w:r>
        <w:rPr/>
        <w:t>. Rio de Janeiro: Paz e Terra, 2009.</w:t>
      </w:r>
      <w:r>
        <w:rPr>
          <w:lang w:val="en-US"/>
        </w:rPr>
        <w:t xml:space="preserve"> p. 53-54. </w:t>
      </w:r>
    </w:p>
  </w:footnote>
  <w:footnote w:id="59">
    <w:p>
      <w:pPr>
        <w:pStyle w:val="Notaderodap"/>
        <w:jc w:val="both"/>
        <w:rPr/>
      </w:pPr>
      <w:r>
        <w:rPr>
          <w:rStyle w:val="Caracteresdenotaderodap"/>
        </w:rPr>
        <w:footnoteRef/>
      </w:r>
      <w:r>
        <w:rPr/>
        <w:t xml:space="preserve"> </w:t>
      </w:r>
      <w:r>
        <w:rPr/>
        <w:t xml:space="preserve">Um bom exame da formação do Estado absolutista encontra-se em Perry Anderson, </w:t>
      </w:r>
      <w:r>
        <w:rPr>
          <w:b/>
          <w:i/>
        </w:rPr>
        <w:t>Linhagens do Estado absolutista</w:t>
      </w:r>
      <w:r>
        <w:rPr>
          <w:i/>
        </w:rPr>
        <w:t>,</w:t>
      </w:r>
      <w:r>
        <w:rPr/>
        <w:t xml:space="preserve"> editado pela brasiliense em 2004. </w:t>
      </w:r>
    </w:p>
  </w:footnote>
  <w:footnote w:id="60">
    <w:p>
      <w:pPr>
        <w:pStyle w:val="Notaderodap"/>
        <w:jc w:val="both"/>
        <w:rPr/>
      </w:pPr>
      <w:r>
        <w:rPr>
          <w:rStyle w:val="Caracteresdenotaderodap"/>
        </w:rPr>
        <w:footnoteRef/>
      </w:r>
      <w:r>
        <w:rPr/>
        <w:t xml:space="preserve"> </w:t>
      </w:r>
      <w:r>
        <w:rPr/>
        <w:t xml:space="preserve">Dickens, Charles. </w:t>
      </w:r>
      <w:r>
        <w:rPr>
          <w:b/>
          <w:i/>
        </w:rPr>
        <w:t>Um conto de duas cidades</w:t>
      </w:r>
      <w:r>
        <w:rPr/>
        <w:t xml:space="preserve">. São Paulo: Estação liberdade, 2010, p. 45. </w:t>
      </w:r>
    </w:p>
  </w:footnote>
  <w:footnote w:id="61">
    <w:p>
      <w:pPr>
        <w:pStyle w:val="Notaderodap"/>
        <w:jc w:val="both"/>
        <w:rPr/>
      </w:pPr>
      <w:r>
        <w:rPr>
          <w:rStyle w:val="Caracteresdenotaderodap"/>
        </w:rPr>
        <w:footnoteRef/>
      </w:r>
      <w:r>
        <w:rPr>
          <w:lang w:val="en-US"/>
        </w:rPr>
        <w:t xml:space="preserve"> </w:t>
      </w:r>
      <w:r>
        <w:rPr>
          <w:lang w:val="en-US"/>
        </w:rPr>
        <w:t xml:space="preserve">Thompson, Edward E. </w:t>
      </w:r>
      <w:r>
        <w:rPr>
          <w:b/>
          <w:i/>
          <w:lang w:val="en-US"/>
        </w:rPr>
        <w:t>The making of the english working class</w:t>
      </w:r>
      <w:r>
        <w:rPr>
          <w:lang w:val="en-US"/>
        </w:rPr>
        <w:t xml:space="preserve">. </w:t>
      </w:r>
      <w:r>
        <w:rPr/>
        <w:t xml:space="preserve">Hardmondsworth: Penguin books, 1980. </w:t>
      </w:r>
    </w:p>
  </w:footnote>
  <w:footnote w:id="62">
    <w:p>
      <w:pPr>
        <w:pStyle w:val="Notaderodap"/>
        <w:jc w:val="both"/>
        <w:rPr/>
      </w:pPr>
      <w:r>
        <w:rPr>
          <w:rStyle w:val="Caracteresdenotaderodap"/>
        </w:rPr>
        <w:footnoteRef/>
      </w:r>
      <w:r>
        <w:rPr/>
        <w:t xml:space="preserve"> </w:t>
      </w:r>
      <w:r>
        <w:rPr/>
        <w:t xml:space="preserve">Na segunda metade do século XIX popularizou-se uma vertente do romance naturalístico em que sua marca é justamente o oposto dessa oposição à razão. Os romances policiais seguiram essa vertente. </w:t>
      </w:r>
    </w:p>
  </w:footnote>
  <w:footnote w:id="63">
    <w:p>
      <w:pPr>
        <w:pStyle w:val="Notaderodap"/>
        <w:jc w:val="both"/>
        <w:rPr/>
      </w:pPr>
      <w:r>
        <w:rPr>
          <w:rStyle w:val="Caracteresdenotaderodap"/>
        </w:rPr>
        <w:footnoteRef/>
      </w:r>
      <w:r>
        <w:rPr/>
        <w:t xml:space="preserve"> </w:t>
      </w:r>
      <w:r>
        <w:rPr/>
        <w:t xml:space="preserve">Esse status configura um fenômeno histórico de longa duração e que pode ser recuado até a chamada revolução científica que ocorreu nos séculos XVI e XVII, principalmente nas ciências naturais a partir dos trabalhos de Nicolau Copérnico (1473-1543), Galileu Galilei (1564-1643), Isaac Newton (1643-1727) entre outros.  </w:t>
      </w:r>
    </w:p>
  </w:footnote>
  <w:footnote w:id="64">
    <w:p>
      <w:pPr>
        <w:pStyle w:val="Notaderodap"/>
        <w:jc w:val="both"/>
        <w:rPr/>
      </w:pPr>
      <w:r>
        <w:rPr>
          <w:rStyle w:val="Caracteresdenotaderodap"/>
        </w:rPr>
        <w:footnoteRef/>
      </w:r>
      <w:r>
        <w:rPr>
          <w:lang w:val="en-US"/>
        </w:rPr>
        <w:t xml:space="preserve"> </w:t>
      </w:r>
      <w:r>
        <w:rPr>
          <w:lang w:val="en-US"/>
        </w:rPr>
        <w:t xml:space="preserve">Hobsbawm, E. </w:t>
      </w:r>
      <w:r>
        <w:rPr>
          <w:i/>
          <w:lang w:val="en-US"/>
        </w:rPr>
        <w:t>Op</w:t>
      </w:r>
      <w:r>
        <w:rPr>
          <w:lang w:val="en-US"/>
        </w:rPr>
        <w:t xml:space="preserve">. </w:t>
      </w:r>
      <w:r>
        <w:rPr>
          <w:i/>
          <w:lang w:val="en-US"/>
        </w:rPr>
        <w:t>Cit</w:t>
      </w:r>
      <w:r>
        <w:rPr>
          <w:lang w:val="en-US"/>
        </w:rPr>
        <w:t xml:space="preserve">., p. 303. </w:t>
      </w:r>
    </w:p>
  </w:footnote>
  <w:footnote w:id="65">
    <w:p>
      <w:pPr>
        <w:pStyle w:val="Notaderodap"/>
        <w:jc w:val="both"/>
        <w:rPr/>
      </w:pPr>
      <w:r>
        <w:rPr>
          <w:rStyle w:val="Caracteresdenotaderodap"/>
        </w:rPr>
        <w:footnoteRef/>
      </w:r>
      <w:r>
        <w:rPr/>
        <w:t xml:space="preserve"> </w:t>
      </w:r>
      <w:r>
        <w:rPr/>
        <w:t xml:space="preserve">Michel Serres (1930 -), em seu ensaio </w:t>
      </w:r>
      <w:r>
        <w:rPr>
          <w:i/>
        </w:rPr>
        <w:t>Paris 1800</w:t>
      </w:r>
      <w:r>
        <w:rPr/>
        <w:t xml:space="preserve"> apresenta uma lista dos principais nomes das ciências em cada área de atuação no período apontado por Hobsbawm que reitera a afirmação do historiador inglês. Ver Serres, M. </w:t>
      </w:r>
      <w:r>
        <w:rPr>
          <w:b/>
          <w:i/>
        </w:rPr>
        <w:t>História das ciências: Do fim da Idade Média a Lavoisier</w:t>
      </w:r>
      <w:r>
        <w:rPr/>
        <w:t xml:space="preserve">. Lisboa: Terramar, 1994. pp. 170-171.  </w:t>
      </w:r>
    </w:p>
  </w:footnote>
  <w:footnote w:id="66">
    <w:p>
      <w:pPr>
        <w:pStyle w:val="Notaderodap"/>
        <w:jc w:val="both"/>
        <w:rPr/>
      </w:pPr>
      <w:r>
        <w:rPr>
          <w:rStyle w:val="Caracteresdenotaderodap"/>
        </w:rPr>
        <w:footnoteRef/>
      </w:r>
      <w:r>
        <w:rPr/>
        <w:t xml:space="preserve"> </w:t>
      </w:r>
      <w:r>
        <w:rPr/>
        <w:t xml:space="preserve">Hobsbawm, E. </w:t>
      </w:r>
      <w:r>
        <w:rPr>
          <w:i/>
        </w:rPr>
        <w:t>Op</w:t>
      </w:r>
      <w:r>
        <w:rPr/>
        <w:t xml:space="preserve">. </w:t>
      </w:r>
      <w:r>
        <w:rPr>
          <w:i/>
        </w:rPr>
        <w:t>Cit</w:t>
      </w:r>
      <w:r>
        <w:rPr/>
        <w:t xml:space="preserve">., p. 304. </w:t>
      </w:r>
    </w:p>
  </w:footnote>
  <w:footnote w:id="67">
    <w:p>
      <w:pPr>
        <w:pStyle w:val="Notaderodap"/>
        <w:jc w:val="both"/>
        <w:rPr/>
      </w:pPr>
      <w:r>
        <w:rPr>
          <w:rStyle w:val="Caracteresdenotaderodap"/>
        </w:rPr>
        <w:footnoteRef/>
      </w:r>
      <w:r>
        <w:rPr/>
        <w:t xml:space="preserve"> </w:t>
      </w:r>
      <w:r>
        <w:rPr/>
        <w:t xml:space="preserve">Ronan, C. A. </w:t>
      </w:r>
      <w:r>
        <w:rPr>
          <w:b/>
          <w:bCs/>
          <w:i/>
          <w:iCs/>
        </w:rPr>
        <w:t>História Ilustrada da Ciência: Oriente, Roma e Idade Média</w:t>
      </w:r>
      <w:r>
        <w:rPr/>
        <w:t>. Rio de Janeiro: Jorge Zahar editor, 2001. P. 122.</w:t>
      </w:r>
    </w:p>
  </w:footnote>
  <w:footnote w:id="68">
    <w:p>
      <w:pPr>
        <w:pStyle w:val="Notaderodap"/>
        <w:jc w:val="both"/>
        <w:rPr/>
      </w:pPr>
      <w:r>
        <w:rPr>
          <w:rStyle w:val="Caracteresdenotaderodap"/>
        </w:rPr>
        <w:footnoteRef/>
      </w:r>
      <w:r>
        <w:rPr/>
        <w:t xml:space="preserve"> </w:t>
      </w:r>
      <w:r>
        <w:rPr/>
        <w:t xml:space="preserve">Russo, M. </w:t>
      </w:r>
      <w:r>
        <w:rPr>
          <w:b/>
          <w:bCs/>
          <w:i/>
          <w:iCs/>
        </w:rPr>
        <w:t>Irritabilidade e sensibilidade: Fisiologia e Filosofia de Albrecht Haller</w:t>
      </w:r>
      <w:r>
        <w:rPr/>
        <w:t xml:space="preserve">. São Paulo, 2002 [Tese de doutorado – Universidade de São Paulo]. </w:t>
      </w:r>
    </w:p>
  </w:footnote>
  <w:footnote w:id="69">
    <w:p>
      <w:pPr>
        <w:pStyle w:val="Notaderodap"/>
        <w:jc w:val="both"/>
        <w:rPr/>
      </w:pPr>
      <w:r>
        <w:rPr>
          <w:rStyle w:val="Caracteresdenotaderodap"/>
        </w:rPr>
        <w:footnoteRef/>
      </w:r>
      <w:r>
        <w:rPr>
          <w:lang w:val="en-US"/>
        </w:rPr>
        <w:t xml:space="preserve"> </w:t>
      </w:r>
      <w:r>
        <w:rPr>
          <w:lang w:val="en-US"/>
        </w:rPr>
        <w:t xml:space="preserve">Russo, M. </w:t>
      </w:r>
      <w:r>
        <w:rPr>
          <w:i/>
          <w:lang w:val="en-US"/>
        </w:rPr>
        <w:t>Op</w:t>
      </w:r>
      <w:r>
        <w:rPr>
          <w:lang w:val="en-US"/>
        </w:rPr>
        <w:t xml:space="preserve">. </w:t>
      </w:r>
      <w:r>
        <w:rPr>
          <w:i/>
        </w:rPr>
        <w:t>Cit</w:t>
      </w:r>
      <w:r>
        <w:rPr/>
        <w:t>., p. 94.</w:t>
      </w:r>
    </w:p>
  </w:footnote>
  <w:footnote w:id="70">
    <w:p>
      <w:pPr>
        <w:pStyle w:val="Notaderodap"/>
        <w:jc w:val="both"/>
        <w:rPr/>
      </w:pPr>
      <w:r>
        <w:rPr>
          <w:rStyle w:val="Caracteresdenotaderodap"/>
        </w:rPr>
        <w:footnoteRef/>
      </w:r>
      <w:r>
        <w:rPr/>
        <w:t xml:space="preserve"> </w:t>
      </w:r>
      <w:r>
        <w:rPr/>
        <w:t xml:space="preserve">Um exame detido do programa de pesquisa cuvieriano pode ser encontrado em: Faria, Felipe. </w:t>
      </w:r>
      <w:r>
        <w:rPr>
          <w:b/>
          <w:i/>
        </w:rPr>
        <w:t>Georges Cuvier: do estudo dos fósseis à paleontologia</w:t>
      </w:r>
      <w:r>
        <w:rPr/>
        <w:t xml:space="preserve">. São Paulo: Editora 34, 2012. </w:t>
      </w:r>
      <w:r>
        <w:rPr>
          <w:lang w:val="en-US"/>
        </w:rPr>
        <w:t xml:space="preserve">Ver também: Coleman, William. </w:t>
      </w:r>
      <w:r>
        <w:rPr>
          <w:b/>
          <w:i/>
          <w:lang w:val="en-US"/>
        </w:rPr>
        <w:t>Georges Cuvier, zoologist: a study in the history of evolution theory</w:t>
      </w:r>
      <w:r>
        <w:rPr>
          <w:lang w:val="en-US"/>
        </w:rPr>
        <w:t xml:space="preserve">. </w:t>
      </w:r>
      <w:r>
        <w:rPr/>
        <w:t xml:space="preserve">Harvard: Harvard University Press, 1964.      </w:t>
      </w:r>
    </w:p>
  </w:footnote>
  <w:footnote w:id="71">
    <w:p>
      <w:pPr>
        <w:pStyle w:val="Notaderodap"/>
        <w:jc w:val="both"/>
        <w:rPr/>
      </w:pPr>
      <w:r>
        <w:rPr>
          <w:rStyle w:val="Caracteresdenotaderodap"/>
        </w:rPr>
        <w:footnoteRef/>
      </w:r>
      <w:r>
        <w:rPr/>
        <w:t xml:space="preserve"> </w:t>
      </w:r>
      <w:r>
        <w:rPr/>
        <w:t xml:space="preserve">Caponi, Gustavo. </w:t>
      </w:r>
      <w:r>
        <w:rPr>
          <w:b/>
          <w:i/>
        </w:rPr>
        <w:t>Georges Cuvier: un fisiólogo de museo</w:t>
      </w:r>
      <w:r>
        <w:rPr/>
        <w:t xml:space="preserve">. México: UNAM, 2008.  </w:t>
      </w:r>
    </w:p>
  </w:footnote>
  <w:footnote w:id="72">
    <w:p>
      <w:pPr>
        <w:pStyle w:val="Notaderodap"/>
        <w:jc w:val="both"/>
        <w:rPr/>
      </w:pPr>
      <w:r>
        <w:rPr>
          <w:rStyle w:val="Caracteresdenotaderodap"/>
        </w:rPr>
        <w:footnoteRef/>
      </w:r>
      <w:r>
        <w:rPr/>
        <w:t xml:space="preserve"> </w:t>
      </w:r>
      <w:r>
        <w:rPr/>
        <w:t xml:space="preserve">Caponi, G. </w:t>
      </w:r>
      <w:r>
        <w:rPr>
          <w:i/>
        </w:rPr>
        <w:t>Op</w:t>
      </w:r>
      <w:r>
        <w:rPr/>
        <w:t xml:space="preserve">. </w:t>
      </w:r>
      <w:r>
        <w:rPr>
          <w:i/>
        </w:rPr>
        <w:t>Cit</w:t>
      </w:r>
      <w:r>
        <w:rPr/>
        <w:t xml:space="preserve">. </w:t>
      </w:r>
    </w:p>
  </w:footnote>
  <w:footnote w:id="73">
    <w:p>
      <w:pPr>
        <w:pStyle w:val="Notaderodap"/>
        <w:jc w:val="both"/>
        <w:rPr/>
      </w:pPr>
      <w:r>
        <w:rPr>
          <w:rStyle w:val="Caracteresdenotaderodap"/>
        </w:rPr>
        <w:footnoteRef/>
      </w:r>
      <w:r>
        <w:rPr/>
        <w:t xml:space="preserve"> </w:t>
      </w:r>
      <w:r>
        <w:rPr/>
        <w:t xml:space="preserve">Cuvier [1817] apud Caponi, G. </w:t>
      </w:r>
      <w:r>
        <w:rPr>
          <w:i/>
        </w:rPr>
        <w:t>Op</w:t>
      </w:r>
      <w:r>
        <w:rPr/>
        <w:t xml:space="preserve">. </w:t>
      </w:r>
      <w:r>
        <w:rPr>
          <w:i/>
        </w:rPr>
        <w:t>Cit</w:t>
      </w:r>
      <w:r>
        <w:rPr/>
        <w:t>., p. 41.</w:t>
      </w:r>
    </w:p>
  </w:footnote>
  <w:footnote w:id="74">
    <w:p>
      <w:pPr>
        <w:pStyle w:val="Notaderodap"/>
        <w:jc w:val="both"/>
        <w:rPr/>
      </w:pPr>
      <w:r>
        <w:rPr>
          <w:rStyle w:val="Caracteresdenotaderodap"/>
        </w:rPr>
        <w:footnoteRef/>
      </w:r>
      <w:r>
        <w:rPr/>
        <w:t xml:space="preserve"> </w:t>
      </w:r>
      <w:r>
        <w:rPr/>
        <w:t xml:space="preserve">Segundo Edward Russell, Darwin utilizou a expressão </w:t>
      </w:r>
      <w:r>
        <w:rPr>
          <w:i/>
        </w:rPr>
        <w:t>conditions of existence</w:t>
      </w:r>
      <w:r>
        <w:rPr/>
        <w:t xml:space="preserve"> como sinônimo para condições de vida, distintamente como entendia Cuvier. Darwin utilizava essa expressão para significar condições ambientais (environmental). Ver: Russell, Edward S. </w:t>
      </w:r>
      <w:r>
        <w:rPr>
          <w:b/>
          <w:i/>
        </w:rPr>
        <w:t>Form and Function: A contribution to the history of animal morphology</w:t>
      </w:r>
      <w:r>
        <w:rPr/>
        <w:t xml:space="preserve">. London: John Murray, 1916.      </w:t>
      </w:r>
    </w:p>
  </w:footnote>
  <w:footnote w:id="75">
    <w:p>
      <w:pPr>
        <w:pStyle w:val="Notaderodap"/>
        <w:jc w:val="both"/>
        <w:rPr/>
      </w:pPr>
      <w:r>
        <w:rPr>
          <w:rStyle w:val="Caracteresdenotaderodap"/>
        </w:rPr>
        <w:footnoteRef/>
      </w:r>
      <w:r>
        <w:rPr/>
        <w:t xml:space="preserve"> </w:t>
      </w:r>
      <w:r>
        <w:rPr/>
        <w:t xml:space="preserve">Segundo Caponi, o princípio da correlação das partes nada mais é que a tradução em termos anatômicos das condições de existência. </w:t>
      </w:r>
    </w:p>
  </w:footnote>
  <w:footnote w:id="76">
    <w:p>
      <w:pPr>
        <w:pStyle w:val="Notaderodap"/>
        <w:jc w:val="both"/>
        <w:rPr/>
      </w:pPr>
      <w:r>
        <w:rPr>
          <w:rStyle w:val="Caracteresdenotaderodap"/>
        </w:rPr>
        <w:footnoteRef/>
      </w:r>
      <w:r>
        <w:rPr/>
        <w:t xml:space="preserve"> </w:t>
      </w:r>
      <w:r>
        <w:rPr/>
        <w:t xml:space="preserve">A ideia de função em Cuvier deve se relacionar com qualquer operação de um organismo que venha a ser necessária para a manutenção de sua vida ou para sua reprodução (Faria, 2012). </w:t>
      </w:r>
    </w:p>
  </w:footnote>
  <w:footnote w:id="77">
    <w:p>
      <w:pPr>
        <w:pStyle w:val="Notaderodap"/>
        <w:jc w:val="both"/>
        <w:rPr/>
      </w:pPr>
      <w:r>
        <w:rPr>
          <w:rStyle w:val="Caracteresdenotaderodap"/>
        </w:rPr>
        <w:footnoteRef/>
      </w:r>
      <w:r>
        <w:rPr/>
        <w:t xml:space="preserve"> </w:t>
      </w:r>
      <w:r>
        <w:rPr/>
        <w:t xml:space="preserve">Johann Gaspar Spurzheim (1776-1832) foi um médico alemão que difundiu os preceitos frenológicos na Inglaterra e EUA. Spurzheim foi aluno e colaborador de Franz Gall, mas se separou de seu antigo professor por volta do ano de 1812 por divergir sobre teses caras a Frenologia defendida por Gall. Spurzheim, diferentemente de Gall, admitia um número reduzido de áreas cerebrais referentes à moralidade e ‘descobriu’ novas áreas referente ao mental.  </w:t>
      </w:r>
    </w:p>
  </w:footnote>
  <w:footnote w:id="78">
    <w:p>
      <w:pPr>
        <w:pStyle w:val="Notaderodap"/>
        <w:jc w:val="both"/>
        <w:rPr/>
      </w:pPr>
      <w:r>
        <w:rPr>
          <w:rStyle w:val="Caracteresdenotaderodap"/>
        </w:rPr>
        <w:footnoteRef/>
      </w:r>
      <w:r>
        <w:rPr>
          <w:lang w:val="en-US"/>
        </w:rPr>
        <w:t xml:space="preserve"> </w:t>
      </w:r>
      <w:r>
        <w:rPr>
          <w:lang w:val="en-US"/>
        </w:rPr>
        <w:t xml:space="preserve">Spurzheim, J. G. </w:t>
      </w:r>
      <w:r>
        <w:rPr>
          <w:b/>
          <w:bCs/>
          <w:i/>
          <w:iCs/>
          <w:lang w:val="en-US"/>
        </w:rPr>
        <w:t>Phrenology, in connexion with the study of Physiognomy</w:t>
      </w:r>
      <w:r>
        <w:rPr>
          <w:lang w:val="en-US"/>
        </w:rPr>
        <w:t>. Boston: Marsh, Capen &amp; Lyon, 1833.</w:t>
      </w:r>
    </w:p>
  </w:footnote>
  <w:footnote w:id="79">
    <w:p>
      <w:pPr>
        <w:pStyle w:val="Notaderodap"/>
        <w:jc w:val="both"/>
        <w:rPr/>
      </w:pPr>
      <w:r>
        <w:rPr>
          <w:rStyle w:val="Caracteresdenotaderodap"/>
        </w:rPr>
        <w:footnoteRef/>
      </w:r>
      <w:r>
        <w:rPr>
          <w:lang w:val="en-US"/>
        </w:rPr>
        <w:t xml:space="preserve"> </w:t>
      </w:r>
      <w:r>
        <w:rPr>
          <w:lang w:val="en-US"/>
        </w:rPr>
        <w:t xml:space="preserve">Spurzheim, J. G. </w:t>
      </w:r>
      <w:r>
        <w:rPr>
          <w:i/>
          <w:lang w:val="en-US"/>
        </w:rPr>
        <w:t>Op</w:t>
      </w:r>
      <w:r>
        <w:rPr>
          <w:lang w:val="en-US"/>
        </w:rPr>
        <w:t xml:space="preserve">. </w:t>
      </w:r>
      <w:r>
        <w:rPr>
          <w:i/>
          <w:lang w:val="en-US"/>
        </w:rPr>
        <w:t>Cit</w:t>
      </w:r>
      <w:r>
        <w:rPr>
          <w:lang w:val="en-US"/>
        </w:rPr>
        <w:t>., p. 02.</w:t>
      </w:r>
    </w:p>
  </w:footnote>
  <w:footnote w:id="80">
    <w:p>
      <w:pPr>
        <w:pStyle w:val="Notaderodap"/>
        <w:jc w:val="both"/>
        <w:rPr/>
      </w:pPr>
      <w:r>
        <w:rPr>
          <w:rStyle w:val="Caracteresdenotaderodap"/>
        </w:rPr>
        <w:footnoteRef/>
      </w:r>
      <w:r>
        <w:rPr/>
        <w:t xml:space="preserve"> </w:t>
      </w:r>
      <w:r>
        <w:rPr/>
        <w:t xml:space="preserve">O ponto central na tentativa de objetivar os estudos em fisiognomia e frenologia foi a associação de pressupostos da Anatomia e Fisiologia (principalmente os estabelecidos no programa cuvieriano) com comportamento e emoções, implicando inclusive na estrapolação aos comportamentos sociais (significativo em áreas das ciências da saúde e ciências jurídicas aplicadas no final do século XIX). </w:t>
      </w:r>
    </w:p>
  </w:footnote>
  <w:footnote w:id="81">
    <w:p>
      <w:pPr>
        <w:pStyle w:val="Notaderodap"/>
        <w:jc w:val="both"/>
        <w:rPr/>
      </w:pPr>
      <w:r>
        <w:rPr>
          <w:rStyle w:val="Caracteresdenotaderodap"/>
        </w:rPr>
        <w:footnoteRef/>
      </w:r>
      <w:r>
        <w:rPr/>
        <w:t xml:space="preserve"> </w:t>
      </w:r>
      <w:r>
        <w:rPr/>
        <w:t xml:space="preserve">Spurzheim não foi um grande nome da fisiognomia. Seu interesse era analisar as relações com a frenologia (ele pretendia reduzir uma à outra). No início do século XIX o grande nome da fisiognomia era Johann Kaspar Lavater (1741-1801). Spurzheim toma a obra de Lavater como referência central para seus estudos.   </w:t>
      </w:r>
    </w:p>
  </w:footnote>
  <w:footnote w:id="82">
    <w:p>
      <w:pPr>
        <w:pStyle w:val="Notaderodap"/>
        <w:tabs>
          <w:tab w:val="clear" w:pos="708"/>
          <w:tab w:val="left" w:pos="540" w:leader="none"/>
          <w:tab w:val="left" w:pos="720" w:leader="none"/>
          <w:tab w:val="left" w:pos="1440" w:leader="none"/>
        </w:tabs>
        <w:jc w:val="both"/>
        <w:rPr/>
      </w:pPr>
      <w:r>
        <w:rPr>
          <w:rStyle w:val="Caracteresdenotaderodap"/>
        </w:rPr>
        <w:footnoteRef/>
      </w:r>
      <w:r>
        <w:rPr/>
        <w:t xml:space="preserve"> </w:t>
      </w:r>
      <w:r>
        <w:rPr/>
        <w:t xml:space="preserve">Representa um bom exemplo de um conceito que assume, ora caráter disciplinar ora de uma teoria interna a uma disciplina. </w:t>
      </w:r>
      <w:r>
        <w:rPr>
          <w:lang w:val="en-US"/>
        </w:rPr>
        <w:t xml:space="preserve">No </w:t>
      </w:r>
      <w:r>
        <w:rPr>
          <w:b/>
          <w:i/>
          <w:lang w:val="en-US"/>
        </w:rPr>
        <w:t>New medical dictionary; containing an explanation of the terms</w:t>
      </w:r>
      <w:r>
        <w:rPr>
          <w:lang w:val="en-US"/>
        </w:rPr>
        <w:t xml:space="preserve">. </w:t>
      </w:r>
      <w:r>
        <w:rPr/>
        <w:t xml:space="preserve">Editado por Robert Hooper (Philadelphia: Carey &amp; Son, 1817), os termos </w:t>
      </w:r>
      <w:r>
        <w:rPr>
          <w:i/>
        </w:rPr>
        <w:t>physiognomy</w:t>
      </w:r>
      <w:r>
        <w:rPr/>
        <w:t xml:space="preserve">, </w:t>
      </w:r>
      <w:r>
        <w:rPr>
          <w:i/>
        </w:rPr>
        <w:t>pathognomonic</w:t>
      </w:r>
      <w:r>
        <w:rPr/>
        <w:t xml:space="preserve"> e os derivados da raiz grega </w:t>
      </w:r>
      <w:r>
        <w:rPr>
          <w:i/>
        </w:rPr>
        <w:t>phren</w:t>
      </w:r>
      <w:r>
        <w:rPr/>
        <w:t xml:space="preserve">- designam campos de estudos distintos, sem inter-relações entre si. </w:t>
      </w:r>
      <w:r>
        <w:rPr>
          <w:i/>
        </w:rPr>
        <w:t>Physiognomy</w:t>
      </w:r>
      <w:r>
        <w:rPr/>
        <w:t xml:space="preserve"> (physiognomia; φυσις, nature; γινωσχω, to know) A arte de saber a disposição de uma pessoa por meio de seu semblante (p.628); </w:t>
      </w:r>
      <w:r>
        <w:rPr>
          <w:i/>
        </w:rPr>
        <w:t>Pathognomonic</w:t>
      </w:r>
      <w:r>
        <w:rPr/>
        <w:t xml:space="preserve"> (pathognomonicus: πάθος, disease; γινωσχω, to know) Termo dado aos sintomas peculiares a uma doença. Também denominado sintoma adequado ou característico (p. 600); </w:t>
      </w:r>
      <w:r>
        <w:rPr>
          <w:i/>
        </w:rPr>
        <w:t>Phrenes</w:t>
      </w:r>
      <w:r>
        <w:rPr/>
        <w:t xml:space="preserve"> (phren: φρηυ; a mente, porque os antigos imaginavam ser a cede da mente) O diafragma, daí há uma variação de termos com o mesmo radical (phrenic nerve, phrenicae arteriar, phrenitis, phrenisis, phrenetiasis, phrenismus). O vocábulo Phrenology não aparece nos dicionários nos primeiros anos do século XIX. </w:t>
      </w:r>
      <w:r>
        <w:rPr>
          <w:lang w:val="en-US"/>
        </w:rPr>
        <w:t xml:space="preserve">Segundo o </w:t>
      </w:r>
      <w:r>
        <w:rPr>
          <w:b/>
          <w:i/>
          <w:lang w:val="en-US"/>
        </w:rPr>
        <w:t>Dictionary of terms used in medicine and the collateral sciences</w:t>
      </w:r>
      <w:r>
        <w:rPr>
          <w:lang w:val="en-US"/>
        </w:rPr>
        <w:t xml:space="preserve">. </w:t>
      </w:r>
      <w:r>
        <w:rPr/>
        <w:t xml:space="preserve">Editado por Richard D. Hoblyn. Philadelphia: Lea &amp; Blanchard, 1845 (p. 259), a raiz Pathos (Gr. πάθος) discrimina três variações: </w:t>
      </w:r>
      <w:r>
        <w:rPr>
          <w:i/>
        </w:rPr>
        <w:t xml:space="preserve">Pathogeny </w:t>
      </w:r>
      <w:r>
        <w:rPr/>
        <w:t xml:space="preserve">(πάθος, disease; γενεσις, generation) Ramo da patologia que se refere a origem e desenvolvimento das doenças; </w:t>
      </w:r>
      <w:r>
        <w:rPr>
          <w:i/>
        </w:rPr>
        <w:t>Pathognomic</w:t>
      </w:r>
      <w:r>
        <w:rPr/>
        <w:t xml:space="preserve"> (πάθος, disease; γνώμων, a discerner) Termo aplicado aos sintomas que são característicos e peculiares a uma doença; e </w:t>
      </w:r>
      <w:r>
        <w:rPr>
          <w:i/>
        </w:rPr>
        <w:t>Pathology</w:t>
      </w:r>
      <w:r>
        <w:rPr/>
        <w:t xml:space="preserve"> (πάθος, disease; λόγος, an account) Ramo da medicina que investiga a natureza das doenças. Os termos </w:t>
      </w:r>
      <w:r>
        <w:rPr>
          <w:i/>
        </w:rPr>
        <w:t xml:space="preserve">Pathognomonic </w:t>
      </w:r>
      <w:r>
        <w:rPr/>
        <w:t xml:space="preserve">e </w:t>
      </w:r>
      <w:r>
        <w:rPr>
          <w:i/>
        </w:rPr>
        <w:t>Pathognomic</w:t>
      </w:r>
      <w:r>
        <w:rPr/>
        <w:t>, apesar de designarem o mesmo campo semântico e serem formados por sufixos distintos (γινωσχω e γνώμων) serão fruto de inúmeras distinções (em alguns casos verdadeiras confusões) na literatura especializada ao longo da primeira metade do século XIX. Vejamos um exemplo dessa distinção: em uma obra de referência, Joseph R. Buchanan (</w:t>
      </w:r>
      <w:r>
        <w:rPr>
          <w:b/>
          <w:i/>
        </w:rPr>
        <w:t>Outlines of lectures on the neurological system of Anthropology</w:t>
      </w:r>
      <w:r>
        <w:rPr/>
        <w:t xml:space="preserve">. Cincinnati: Buchanan’s Journal of man, 1854) distingue quatro grandes ramos que representam o conhecimento neurológico aplicado a antropologia, são eles: (1) a Frenologia; (2) a Fisiologia cerebral; (3) a Patognomia (pathognomy) e (4) Sarcognomia (sarcognomy). Na introdução do terceiro capítulo Buchanan escreve: </w:t>
      </w:r>
      <w:r>
        <w:rPr>
          <w:i/>
        </w:rPr>
        <w:t>“A palavra Pathos significa sentimento e também doença e seu derivado (pathognomy) significa em medicina o reconhecimento ou a indicação da doença e, em frenologia, o estudo da linguagem natural ou manifestação dos órgãos. O termo, no entanto, é pouco usado em ambos sentidos, especialmente o último. O adjetivo pathognomic (comumente usado pathognomonic) é comum nos escritos médicos. Por quinze anos, tenho usado o termo pathognomy significando a ciência da manifestação mental, consistindo principalmente das leis matemáticas da ação muscular governadas pelo cérebro.”</w:t>
      </w:r>
      <w:r>
        <w:rPr/>
        <w:t xml:space="preserve"> Nos dois dicionários acima mencionados (um de 1817 e o outro de 1845) não há distinção no sentido dos termos pathognomonig e pathognomic, já Buchanan apresenta uma distinção que se dá quando o termo tem seu significado interno à medicina ou a frenologia, sendo que, em sua obra o termo é referenciado como uma ciência independente da frenologia, porém, de certa maneira continua interno ao campo da medicina (neurologia aplicada a antropologia). Buchanan estabelece quatro possibilidades do estudo da patognomia: (a) Estudo da manifestação do caráter através da ação geral do sistema muscular no gesto, movimento e atitude, o que pode ser distinguido como </w:t>
      </w:r>
      <w:r>
        <w:rPr>
          <w:i/>
        </w:rPr>
        <w:t>Biagnomy</w:t>
      </w:r>
      <w:r>
        <w:rPr/>
        <w:t xml:space="preserve"> ou </w:t>
      </w:r>
      <w:r>
        <w:rPr>
          <w:i/>
        </w:rPr>
        <w:t>Biagnomic pathognomy</w:t>
      </w:r>
      <w:r>
        <w:rPr/>
        <w:t xml:space="preserve">; (b) Estudo da manifestação do caráter através dos movimentos da mão, por escrito, o que é definido por </w:t>
      </w:r>
      <w:r>
        <w:rPr>
          <w:i/>
        </w:rPr>
        <w:t>chirognomy</w:t>
      </w:r>
      <w:r>
        <w:rPr/>
        <w:t xml:space="preserve">; (c) Estudo da manifestação do caráter através dos movimentos e desenvolvimento da face, o que fica a cargo da </w:t>
      </w:r>
      <w:r>
        <w:rPr>
          <w:i/>
        </w:rPr>
        <w:t>physiognomy</w:t>
      </w:r>
      <w:r>
        <w:rPr/>
        <w:t xml:space="preserve"> e; (d) Estudo da manifestação do caráter pelos sons da voz, denominado </w:t>
      </w:r>
      <w:r>
        <w:rPr>
          <w:i/>
        </w:rPr>
        <w:t>phonognomy</w:t>
      </w:r>
      <w:r>
        <w:rPr/>
        <w:t xml:space="preserve">. Para Buchanan, a fisiognomia é um ramo da patognomia, diferente do que propõe Spurzheim.                                              </w:t>
      </w:r>
    </w:p>
  </w:footnote>
  <w:footnote w:id="83">
    <w:p>
      <w:pPr>
        <w:pStyle w:val="Notaderodap"/>
        <w:jc w:val="both"/>
        <w:rPr/>
      </w:pPr>
      <w:r>
        <w:rPr>
          <w:rStyle w:val="Caracteresdenotaderodap"/>
        </w:rPr>
        <w:footnoteRef/>
      </w:r>
      <w:r>
        <w:rPr>
          <w:lang w:val="en-US"/>
        </w:rPr>
        <w:t xml:space="preserve"> </w:t>
      </w:r>
      <w:r>
        <w:rPr>
          <w:lang w:val="en-US"/>
        </w:rPr>
        <w:t xml:space="preserve">Spurzheim, J. G. </w:t>
      </w:r>
      <w:r>
        <w:rPr>
          <w:i/>
          <w:lang w:val="en-US"/>
        </w:rPr>
        <w:t>Op</w:t>
      </w:r>
      <w:r>
        <w:rPr>
          <w:lang w:val="en-US"/>
        </w:rPr>
        <w:t xml:space="preserve">. </w:t>
      </w:r>
      <w:r>
        <w:rPr>
          <w:i/>
          <w:lang w:val="en-US"/>
        </w:rPr>
        <w:t>Cit</w:t>
      </w:r>
      <w:r>
        <w:rPr>
          <w:lang w:val="en-US"/>
        </w:rPr>
        <w:t xml:space="preserve">., p. 06. </w:t>
      </w:r>
    </w:p>
  </w:footnote>
  <w:footnote w:id="84">
    <w:p>
      <w:pPr>
        <w:pStyle w:val="Notaderodap"/>
        <w:jc w:val="both"/>
        <w:rPr/>
      </w:pPr>
      <w:r>
        <w:rPr>
          <w:rStyle w:val="Caracteresdenotaderodap"/>
        </w:rPr>
        <w:footnoteRef/>
      </w:r>
      <w:r>
        <w:rPr>
          <w:lang w:val="en-US"/>
        </w:rPr>
        <w:t xml:space="preserve"> </w:t>
      </w:r>
      <w:r>
        <w:rPr>
          <w:lang w:val="en-US"/>
        </w:rPr>
        <w:t xml:space="preserve">Spurzheim, J. G. </w:t>
      </w:r>
      <w:r>
        <w:rPr>
          <w:i/>
          <w:lang w:val="en-US"/>
        </w:rPr>
        <w:t>Op</w:t>
      </w:r>
      <w:r>
        <w:rPr>
          <w:lang w:val="en-US"/>
        </w:rPr>
        <w:t xml:space="preserve">. </w:t>
      </w:r>
      <w:r>
        <w:rPr>
          <w:i/>
          <w:lang w:val="en-US"/>
        </w:rPr>
        <w:t>Cit</w:t>
      </w:r>
      <w:r>
        <w:rPr>
          <w:lang w:val="en-US"/>
        </w:rPr>
        <w:t xml:space="preserve">., p. 07-08. </w:t>
      </w:r>
    </w:p>
  </w:footnote>
  <w:footnote w:id="85">
    <w:p>
      <w:pPr>
        <w:pStyle w:val="Notaderodap"/>
        <w:jc w:val="both"/>
        <w:rPr/>
      </w:pPr>
      <w:r>
        <w:rPr>
          <w:rStyle w:val="Caracteresdenotaderodap"/>
        </w:rPr>
        <w:footnoteRef/>
      </w:r>
      <w:r>
        <w:rPr/>
        <w:t xml:space="preserve"> </w:t>
      </w:r>
      <w:r>
        <w:rPr/>
        <w:t xml:space="preserve">O Sistema linfático se constitui de uma rede complexa de órgãos linfóides que produzem e transportam o fluído linfático (linfa) dos tecidos para o sistema circulatório. Componente do sistema imunológico. </w:t>
      </w:r>
    </w:p>
  </w:footnote>
  <w:footnote w:id="86">
    <w:p>
      <w:pPr>
        <w:pStyle w:val="Notaderodap"/>
        <w:jc w:val="both"/>
        <w:rPr/>
      </w:pPr>
      <w:r>
        <w:rPr>
          <w:rStyle w:val="Caracteresdenotaderodap"/>
        </w:rPr>
        <w:footnoteRef/>
      </w:r>
      <w:r>
        <w:rPr/>
        <w:t xml:space="preserve"> </w:t>
      </w:r>
      <w:r>
        <w:rPr/>
        <w:t xml:space="preserve">Spurzheim, J. G. </w:t>
      </w:r>
      <w:r>
        <w:rPr>
          <w:i/>
        </w:rPr>
        <w:t>Op</w:t>
      </w:r>
      <w:r>
        <w:rPr/>
        <w:t xml:space="preserve">. </w:t>
      </w:r>
      <w:r>
        <w:rPr>
          <w:i/>
        </w:rPr>
        <w:t>Cit</w:t>
      </w:r>
      <w:r>
        <w:rPr/>
        <w:t>., p. 39.</w:t>
      </w:r>
    </w:p>
  </w:footnote>
  <w:footnote w:id="87">
    <w:p>
      <w:pPr>
        <w:pStyle w:val="Notaderodap"/>
        <w:jc w:val="both"/>
        <w:rPr/>
      </w:pPr>
      <w:r>
        <w:rPr>
          <w:rStyle w:val="Caracteresdenotaderodap"/>
        </w:rPr>
        <w:footnoteRef/>
      </w:r>
      <w:r>
        <w:rPr/>
        <w:t xml:space="preserve"> </w:t>
      </w:r>
      <w:r>
        <w:rPr/>
        <w:t xml:space="preserve">Petrus Camper (1722-1789) foi um médico e naturalista holandês. Ocupou a cátedra de anatomia e cirurgia em 1755 em Amsterdã e posteriormente de medicina. Sua teoria do ângulo facial (aproximadamente em 1780), baseava-se no ângulo formado a partir de duas linhas traçadas: uma do orifício da orelha ao maxilar superior (descrita também pela noção de </w:t>
      </w:r>
      <w:r>
        <w:rPr>
          <w:i/>
        </w:rPr>
        <w:t>plano de Camper</w:t>
      </w:r>
      <w:r>
        <w:rPr/>
        <w:t xml:space="preserve">, percorrendo o centro do conduto auditivo externo e pela base do nariz) e a outra da testa até o maxilar superior (chamada linha facial, tangente à parte mais proeminente do osso frontal e a convexidade anterior do incisivo central superior) (Finlay, 1980). Camper utilizou seu método para estabelecer diferenças entre as raças e algumas espécies. Em média, o ângulo facial do europeu era de aproximadamente 80°, do africano 70°, do orangotango 58° e de outros primatas variavam abaixo de 42°. Um ponto de discordância entre a referência que tomamos para essas informações sobre Camper e a afirmação de Spurzheim sobre a incorreção do método é que, lendo Finlay, o método de Camper parece ter ‘sobrevivido’ quase todo o século XIX. Alguns dados contradizem isso. Em um trabalho de revisão de 1947, Hambly aponta alguns métodos ainda em uso na craniometria, entre os listados (Davis, 1867; Turner, 1884; Tildesley, 1921; Wunderly, 1939 entre outros), não aparece Camper. Outro dado se refere a uma tese de doutorado defendida em 1911 (Dillenius, 1913) na Argentina baseada nos novos protocolos estabelecidos na convenção de Mônaco (1906), em que não há menção ao método de Camper. Sobre a convenção de Mônaco ver (Papillault, 1908).              </w:t>
      </w:r>
    </w:p>
  </w:footnote>
  <w:footnote w:id="88">
    <w:p>
      <w:pPr>
        <w:pStyle w:val="Notaderodap"/>
        <w:jc w:val="both"/>
        <w:rPr/>
      </w:pPr>
      <w:r>
        <w:rPr>
          <w:rStyle w:val="Caracteresdenotaderodap"/>
        </w:rPr>
        <w:footnoteRef/>
      </w:r>
      <w:r>
        <w:rPr/>
        <w:t xml:space="preserve"> </w:t>
      </w:r>
      <w:r>
        <w:rPr/>
        <w:t xml:space="preserve">George Combe (1788-1858). Combe fundou em 1820 a Sociedade Frenológica de Edimburgo. Escreveu uma obra que influenciou muito o pensamento dito localizacionista intitulada </w:t>
      </w:r>
      <w:r>
        <w:rPr>
          <w:i/>
        </w:rPr>
        <w:t>The Constitution of man</w:t>
      </w:r>
      <w:r>
        <w:rPr/>
        <w:t xml:space="preserve"> em 1828 e </w:t>
      </w:r>
      <w:r>
        <w:rPr>
          <w:i/>
        </w:rPr>
        <w:t>A system of phrenology</w:t>
      </w:r>
      <w:r>
        <w:rPr/>
        <w:t xml:space="preserve"> de 1830. Além do artigo já mencionado acima, foi examinado para os fins desta pesquisa seu livro </w:t>
      </w:r>
      <w:r>
        <w:rPr>
          <w:b/>
          <w:i/>
        </w:rPr>
        <w:t>Answers to the objections urget by Dr. Peter Mark Roget against phrenology</w:t>
      </w:r>
      <w:r>
        <w:rPr/>
        <w:t xml:space="preserve">, incluído na coletânea referenciada na bibliografia (Gall, 1838, pp. 195-240), incluindo as cartas que Combe trocou com Peter Roget acerca da cientificidade da frenologia. Spurzheim e Combe são autores importantes no cenário localizacionista, junto com Franz Gall e François Joseph Victor Broussais (1772-1838).        </w:t>
      </w:r>
    </w:p>
  </w:footnote>
  <w:footnote w:id="89">
    <w:p>
      <w:pPr>
        <w:pStyle w:val="Notaderodap"/>
        <w:jc w:val="both"/>
        <w:rPr>
          <w:lang w:val="en-US"/>
        </w:rPr>
      </w:pPr>
      <w:r>
        <w:rPr>
          <w:rStyle w:val="Caracteresdenotaderodap"/>
        </w:rPr>
        <w:footnoteRef/>
      </w:r>
      <w:r>
        <w:rPr>
          <w:lang w:val="en-US"/>
        </w:rPr>
        <w:t xml:space="preserve"> </w:t>
      </w:r>
      <w:r>
        <w:rPr>
          <w:lang w:val="en-US"/>
        </w:rPr>
        <w:t xml:space="preserve">Combe apud Gall, F. J. </w:t>
      </w:r>
      <w:r>
        <w:rPr>
          <w:b/>
          <w:bCs/>
          <w:i/>
          <w:iCs/>
          <w:lang w:val="en-US"/>
        </w:rPr>
        <w:t>On the functions of the cerebellum</w:t>
      </w:r>
      <w:r>
        <w:rPr>
          <w:lang w:val="en-US"/>
        </w:rPr>
        <w:t>. London: Maclachlan &amp; Stewart, 1838. P. 182-183.</w:t>
      </w:r>
    </w:p>
  </w:footnote>
  <w:footnote w:id="90">
    <w:p>
      <w:pPr>
        <w:pStyle w:val="Notaderodap"/>
        <w:jc w:val="both"/>
        <w:rPr/>
      </w:pPr>
      <w:r>
        <w:rPr>
          <w:rStyle w:val="Caracteresdenotaderodap"/>
        </w:rPr>
        <w:footnoteRef/>
      </w:r>
      <w:r>
        <w:rPr>
          <w:lang w:val="en-US"/>
        </w:rPr>
        <w:t xml:space="preserve"> </w:t>
      </w:r>
      <w:r>
        <w:rPr>
          <w:lang w:val="en-US"/>
        </w:rPr>
        <w:t xml:space="preserve">Combe apud Gall, F. J. </w:t>
      </w:r>
      <w:r>
        <w:rPr>
          <w:i/>
          <w:lang w:val="en-US"/>
        </w:rPr>
        <w:t>Op</w:t>
      </w:r>
      <w:r>
        <w:rPr>
          <w:lang w:val="en-US"/>
        </w:rPr>
        <w:t xml:space="preserve">. </w:t>
      </w:r>
      <w:r>
        <w:rPr>
          <w:i/>
          <w:lang w:val="en-US"/>
        </w:rPr>
        <w:t>Cit</w:t>
      </w:r>
      <w:r>
        <w:rPr>
          <w:lang w:val="en-US"/>
        </w:rPr>
        <w:t xml:space="preserve">., p. 183-4. </w:t>
      </w:r>
    </w:p>
  </w:footnote>
  <w:footnote w:id="91">
    <w:p>
      <w:pPr>
        <w:pStyle w:val="Notaderodap"/>
        <w:jc w:val="both"/>
        <w:rPr/>
      </w:pPr>
      <w:r>
        <w:rPr>
          <w:rStyle w:val="Caracteresdenotaderodap"/>
        </w:rPr>
        <w:footnoteRef/>
      </w:r>
      <w:r>
        <w:rPr>
          <w:lang w:val="en-US"/>
        </w:rPr>
        <w:t xml:space="preserve"> </w:t>
      </w:r>
      <w:r>
        <w:rPr>
          <w:lang w:val="en-US"/>
        </w:rPr>
        <w:t xml:space="preserve">Combe apud Gall, F. J. </w:t>
      </w:r>
      <w:r>
        <w:rPr>
          <w:i/>
          <w:lang w:val="en-US"/>
        </w:rPr>
        <w:t>Op</w:t>
      </w:r>
      <w:r>
        <w:rPr>
          <w:lang w:val="en-US"/>
        </w:rPr>
        <w:t xml:space="preserve">. </w:t>
      </w:r>
      <w:r>
        <w:rPr>
          <w:i/>
          <w:lang w:val="en-US"/>
        </w:rPr>
        <w:t>Cit</w:t>
      </w:r>
      <w:r>
        <w:rPr>
          <w:lang w:val="en-US"/>
        </w:rPr>
        <w:t xml:space="preserve">., p. 186. </w:t>
      </w:r>
    </w:p>
  </w:footnote>
  <w:footnote w:id="92">
    <w:p>
      <w:pPr>
        <w:pStyle w:val="Notaderodap"/>
        <w:jc w:val="both"/>
        <w:rPr/>
      </w:pPr>
      <w:r>
        <w:rPr>
          <w:rStyle w:val="Caracteresdenotaderodap"/>
        </w:rPr>
        <w:footnoteRef/>
      </w:r>
      <w:r>
        <w:rPr>
          <w:lang w:val="en-US"/>
        </w:rPr>
        <w:t xml:space="preserve"> </w:t>
      </w:r>
      <w:r>
        <w:rPr>
          <w:lang w:val="en-US"/>
        </w:rPr>
        <w:t xml:space="preserve">Essa crítica de Bell encontra-se no </w:t>
      </w:r>
      <w:r>
        <w:rPr>
          <w:i/>
          <w:lang w:val="en-US"/>
        </w:rPr>
        <w:t>An Essay on the circulation of the blood</w:t>
      </w:r>
      <w:r>
        <w:rPr>
          <w:lang w:val="en-US"/>
        </w:rPr>
        <w:t xml:space="preserve">, por Charles Bell (1819, p. 25).  </w:t>
      </w:r>
    </w:p>
  </w:footnote>
  <w:footnote w:id="93">
    <w:p>
      <w:pPr>
        <w:pStyle w:val="Notaderodap"/>
        <w:rPr>
          <w:lang w:val="en-US"/>
        </w:rPr>
      </w:pPr>
      <w:r>
        <w:rPr>
          <w:rStyle w:val="Caracteresdenotaderodap"/>
        </w:rPr>
        <w:footnoteRef/>
      </w:r>
      <w:r>
        <w:rPr>
          <w:lang w:val="en-US"/>
        </w:rPr>
        <w:t xml:space="preserve"> </w:t>
      </w:r>
      <w:r>
        <w:rPr>
          <w:rFonts w:eastAsia="Calibri"/>
          <w:lang w:val="en-US"/>
        </w:rPr>
        <w:t xml:space="preserve">Brailsford, H. N. </w:t>
      </w:r>
      <w:r>
        <w:rPr>
          <w:rFonts w:eastAsia="Calibri"/>
          <w:b/>
          <w:i/>
          <w:lang w:val="en-US"/>
        </w:rPr>
        <w:t>Shelley, Godwin, and their circle</w:t>
      </w:r>
      <w:r>
        <w:rPr>
          <w:rFonts w:eastAsia="Calibri"/>
          <w:lang w:val="en-US"/>
        </w:rPr>
        <w:t>. London: Oxford University Press, 1949.</w:t>
      </w:r>
    </w:p>
  </w:footnote>
  <w:footnote w:id="94">
    <w:p>
      <w:pPr>
        <w:pStyle w:val="Notaderodap"/>
        <w:rPr/>
      </w:pPr>
      <w:r>
        <w:rPr>
          <w:rStyle w:val="Caracteresdenotaderodap"/>
        </w:rPr>
        <w:footnoteRef/>
      </w:r>
      <w:r>
        <w:rPr>
          <w:lang w:val="en-US"/>
        </w:rPr>
        <w:t xml:space="preserve"> </w:t>
      </w:r>
      <w:r>
        <w:rPr>
          <w:lang w:val="en-US"/>
        </w:rPr>
        <w:t xml:space="preserve">Watt, I. </w:t>
      </w:r>
      <w:r>
        <w:rPr>
          <w:b/>
          <w:i/>
          <w:lang w:val="en-US"/>
        </w:rPr>
        <w:t>The rise of the novel: Studies in Defoe, Richardson and Fielding</w:t>
      </w:r>
      <w:r>
        <w:rPr>
          <w:lang w:val="en-US"/>
        </w:rPr>
        <w:t xml:space="preserve">. </w:t>
      </w:r>
      <w:r>
        <w:rPr/>
        <w:t>London: Pimlico, 2000.</w:t>
      </w:r>
    </w:p>
  </w:footnote>
  <w:footnote w:id="95">
    <w:p>
      <w:pPr>
        <w:pStyle w:val="Notaderodap"/>
        <w:jc w:val="both"/>
        <w:rPr/>
      </w:pPr>
      <w:r>
        <w:rPr>
          <w:rStyle w:val="Caracteresdenotaderodap"/>
        </w:rPr>
        <w:footnoteRef/>
      </w:r>
      <w:r>
        <w:rPr/>
        <w:t xml:space="preserve"> </w:t>
      </w:r>
      <w:r>
        <w:rPr/>
        <w:t xml:space="preserve">Tradução livre de (Wordsworth apud Brailsford, 1949): </w:t>
      </w:r>
    </w:p>
    <w:p>
      <w:pPr>
        <w:pStyle w:val="Notaderodap"/>
        <w:jc w:val="both"/>
        <w:rPr/>
      </w:pPr>
      <w:r>
        <w:rPr>
          <w:lang w:val="en-US"/>
        </w:rPr>
        <w:t xml:space="preserve">"Not in Utopia, subterraneous fields, </w:t>
      </w:r>
    </w:p>
    <w:p>
      <w:pPr>
        <w:pStyle w:val="Notaderodap"/>
        <w:jc w:val="both"/>
        <w:rPr>
          <w:lang w:val="en-US"/>
        </w:rPr>
      </w:pPr>
      <w:r>
        <w:rPr>
          <w:lang w:val="en-US"/>
        </w:rPr>
        <w:t>Or some secreted island, Heaven knows where,</w:t>
      </w:r>
    </w:p>
    <w:p>
      <w:pPr>
        <w:pStyle w:val="Notaderodap"/>
        <w:jc w:val="both"/>
        <w:rPr>
          <w:lang w:val="en-US"/>
        </w:rPr>
      </w:pPr>
      <w:r>
        <w:rPr>
          <w:lang w:val="en-US"/>
        </w:rPr>
        <w:t>But in the very world which is the end</w:t>
      </w:r>
    </w:p>
    <w:p>
      <w:pPr>
        <w:pStyle w:val="Notaderodap"/>
        <w:jc w:val="both"/>
        <w:rPr/>
      </w:pPr>
      <w:r>
        <w:rPr>
          <w:lang w:val="en-US"/>
        </w:rPr>
        <w:t xml:space="preserve">We find our happiness, or not at all"  </w:t>
      </w:r>
    </w:p>
  </w:footnote>
  <w:footnote w:id="96">
    <w:p>
      <w:pPr>
        <w:pStyle w:val="Notaderodap"/>
        <w:jc w:val="both"/>
        <w:rPr/>
      </w:pPr>
      <w:r>
        <w:rPr>
          <w:rStyle w:val="Caracteresdenotaderodap"/>
        </w:rPr>
        <w:footnoteRef/>
      </w:r>
      <w:r>
        <w:rPr/>
        <w:t xml:space="preserve"> </w:t>
      </w:r>
      <w:r>
        <w:rPr/>
        <w:t xml:space="preserve">Tradução livre de (Percy Shelley apud Brailsford, 1949): </w:t>
      </w:r>
    </w:p>
    <w:p>
      <w:pPr>
        <w:pStyle w:val="Notaderodap"/>
        <w:jc w:val="both"/>
        <w:rPr>
          <w:lang w:val="en-US"/>
        </w:rPr>
      </w:pPr>
      <w:r>
        <w:rPr>
          <w:lang w:val="en-US"/>
        </w:rPr>
        <w:t>"Kingless continents, sinless as Eden</w:t>
      </w:r>
    </w:p>
    <w:p>
      <w:pPr>
        <w:pStyle w:val="Notaderodap"/>
        <w:jc w:val="both"/>
        <w:rPr>
          <w:lang w:val="en-US"/>
        </w:rPr>
      </w:pPr>
      <w:r>
        <w:rPr>
          <w:lang w:val="en-US"/>
        </w:rPr>
        <w:t>Around mountains and islands inviolably</w:t>
      </w:r>
    </w:p>
    <w:p>
      <w:pPr>
        <w:pStyle w:val="Notaderodap"/>
        <w:jc w:val="both"/>
        <w:rPr/>
      </w:pPr>
      <w:r>
        <w:rPr>
          <w:lang w:val="en-US"/>
        </w:rPr>
        <w:t xml:space="preserve">Pranks on the sapphire sea"  </w:t>
      </w:r>
    </w:p>
  </w:footnote>
  <w:footnote w:id="97">
    <w:p>
      <w:pPr>
        <w:pStyle w:val="Notaderodap"/>
        <w:rPr/>
      </w:pPr>
      <w:r>
        <w:rPr>
          <w:rStyle w:val="Caracteresdenotaderodap"/>
        </w:rPr>
        <w:footnoteRef/>
      </w:r>
      <w:r>
        <w:rPr/>
        <w:t xml:space="preserve"> </w:t>
      </w:r>
      <w:r>
        <w:rPr/>
        <w:t xml:space="preserve">Shelley, M. </w:t>
      </w:r>
      <w:r>
        <w:rPr>
          <w:b/>
          <w:i/>
        </w:rPr>
        <w:t>Frankenstein</w:t>
      </w:r>
      <w:r>
        <w:rPr/>
        <w:t xml:space="preserve">. Rio de Janeiro: Darkside Books, 2017 (introdução). </w:t>
      </w:r>
    </w:p>
  </w:footnote>
  <w:footnote w:id="98">
    <w:p>
      <w:pPr>
        <w:pStyle w:val="Notaderodap"/>
        <w:jc w:val="both"/>
        <w:rPr/>
      </w:pPr>
      <w:r>
        <w:rPr>
          <w:rStyle w:val="Caracteresdenotaderodap"/>
        </w:rPr>
        <w:footnoteRef/>
      </w:r>
      <w:r>
        <w:rPr/>
        <w:t xml:space="preserve"> </w:t>
      </w:r>
      <w:r>
        <w:rPr/>
        <w:t xml:space="preserve">Uma das características principais do romance gótico da segunda metade do século XVIII é o cenário medieval associado a personagens melodramáticas em que a narrativa se desenvolve envolta em tramas com mistérios, maldições, elementos sobrenaturais e sombrios. É possível traçar um paralelo entre o romance gótico e a literatura de terror (gênero mais associado ao século XIX a autores como Edgar Alan Poe e H. P. Lovecraft). Uma das principais representantes do romance gótico é a inglesa Ann Radcliffe (1764-1823). Radcliffe publicou obras como </w:t>
      </w:r>
      <w:r>
        <w:rPr>
          <w:i/>
        </w:rPr>
        <w:t>A Sicilian romance</w:t>
      </w:r>
      <w:r>
        <w:rPr/>
        <w:t xml:space="preserve"> (1790) e </w:t>
      </w:r>
      <w:r>
        <w:rPr>
          <w:i/>
        </w:rPr>
        <w:t>The mysteries of Udolpho</w:t>
      </w:r>
      <w:r>
        <w:rPr/>
        <w:t xml:space="preserve"> (1794). Sua última obra foi publicada postumamente em 1826 sob o título de </w:t>
      </w:r>
      <w:r>
        <w:rPr>
          <w:i/>
        </w:rPr>
        <w:t>Gaston de Blondeville</w:t>
      </w:r>
      <w:r>
        <w:rPr/>
        <w:t xml:space="preserve">. Obra ambientada no século XIII, em que a narrativa gira em torno da personagem principal Gaston e é recheada de elementos do gótico, incluindo a aparição de fantasmas como indicador dos pecados das personagens carregando forte carga moral ao desenvolvimento da trama.   </w:t>
      </w:r>
    </w:p>
  </w:footnote>
  <w:footnote w:id="99">
    <w:p>
      <w:pPr>
        <w:pStyle w:val="Notaderodap"/>
        <w:jc w:val="both"/>
        <w:rPr/>
      </w:pPr>
      <w:r>
        <w:rPr>
          <w:rStyle w:val="Caracteresdenotaderodap"/>
        </w:rPr>
        <w:footnoteRef/>
      </w:r>
      <w:r>
        <w:rPr>
          <w:lang w:val="en-US"/>
        </w:rPr>
        <w:t xml:space="preserve"> </w:t>
      </w:r>
      <w:r>
        <w:rPr>
          <w:rFonts w:eastAsia="Calibri"/>
          <w:lang w:val="en-US"/>
        </w:rPr>
        <w:t xml:space="preserve">Fara, P. </w:t>
      </w:r>
      <w:r>
        <w:rPr>
          <w:rFonts w:eastAsia="Calibri"/>
          <w:b/>
          <w:i/>
          <w:lang w:val="en-US"/>
        </w:rPr>
        <w:t>The flow of life: current electricity</w:t>
      </w:r>
      <w:r>
        <w:rPr>
          <w:rFonts w:eastAsia="Calibri"/>
          <w:lang w:val="en-US"/>
        </w:rPr>
        <w:t xml:space="preserve">. In: An entertainment for angels: Electricity in the Englightenment. </w:t>
      </w:r>
      <w:r>
        <w:rPr>
          <w:rFonts w:eastAsia="Calibri"/>
        </w:rPr>
        <w:t>New York: Columbia University Press, 2002. (pp. 133-170).</w:t>
      </w:r>
      <w:r>
        <w:rPr/>
        <w:t xml:space="preserve"> </w:t>
      </w:r>
    </w:p>
  </w:footnote>
  <w:footnote w:id="100">
    <w:p>
      <w:pPr>
        <w:pStyle w:val="Notaderodap"/>
        <w:jc w:val="both"/>
        <w:rPr/>
      </w:pPr>
      <w:r>
        <w:rPr>
          <w:rStyle w:val="Caracteresdenotaderodap"/>
        </w:rPr>
        <w:footnoteRef/>
      </w:r>
      <w:r>
        <w:rPr/>
        <w:t xml:space="preserve"> </w:t>
      </w:r>
      <w:r>
        <w:rPr/>
        <w:t xml:space="preserve">O verbete Electricité (Physique) foi escrito para a Encyclopedie em 1755 pelo físico Pierre Charles Le Monnier. Descrevo a seguir a definição (tradução livre do francês) dada por Monnier: "Esta palavra significa em geral os efeitos de uma matéria muito fluida e muito sútil, diferente em suas propriedades de todos os outros fluidos que conhecemos; o que foi reconhecido como sendo capaz de se unir com quase todos os corpos, mas sendo preferido a uns que a outros; parece se mover com grande velocidade de acordo com leis específicas".   </w:t>
      </w:r>
    </w:p>
  </w:footnote>
  <w:footnote w:id="101">
    <w:p>
      <w:pPr>
        <w:pStyle w:val="Notaderodap"/>
        <w:jc w:val="both"/>
        <w:rPr/>
      </w:pPr>
      <w:r>
        <w:rPr>
          <w:rStyle w:val="Caracteresdenotaderodap"/>
        </w:rPr>
        <w:footnoteRef/>
      </w:r>
      <w:r>
        <w:rPr/>
        <w:t xml:space="preserve"> </w:t>
      </w:r>
      <w:r>
        <w:rPr/>
        <w:t xml:space="preserve">Schaffer, S. </w:t>
      </w:r>
      <w:r>
        <w:rPr>
          <w:b/>
          <w:i/>
        </w:rPr>
        <w:t>Trabajos de cristal: Ensayos de historia de la ciencia, 1650-1900</w:t>
      </w:r>
      <w:r>
        <w:rPr/>
        <w:t xml:space="preserve">. </w:t>
      </w:r>
      <w:r>
        <w:rPr>
          <w:lang w:val="en-US"/>
        </w:rPr>
        <w:t>Madrid: Fundación Jorge Juan, 2011. p. 193.</w:t>
      </w:r>
    </w:p>
  </w:footnote>
  <w:footnote w:id="102">
    <w:p>
      <w:pPr>
        <w:pStyle w:val="Notaderodap"/>
        <w:jc w:val="both"/>
        <w:rPr/>
      </w:pPr>
      <w:r>
        <w:rPr>
          <w:rStyle w:val="Caracteresdenotaderodap"/>
        </w:rPr>
        <w:footnoteRef/>
      </w:r>
      <w:r>
        <w:rPr>
          <w:lang w:val="en-US"/>
        </w:rPr>
        <w:t xml:space="preserve"> </w:t>
      </w:r>
      <w:r>
        <w:rPr>
          <w:rFonts w:eastAsia="Calibri"/>
          <w:lang w:val="en-US"/>
        </w:rPr>
        <w:t xml:space="preserve">Griffin, A. </w:t>
      </w:r>
      <w:r>
        <w:rPr>
          <w:rFonts w:eastAsia="Calibri"/>
          <w:b/>
          <w:i/>
          <w:lang w:val="en-US"/>
        </w:rPr>
        <w:t>Fire and ice in Frankenstein</w:t>
      </w:r>
      <w:r>
        <w:rPr>
          <w:rFonts w:eastAsia="Calibri"/>
          <w:lang w:val="en-US"/>
        </w:rPr>
        <w:t xml:space="preserve">. In: Levine, G. &amp; Knoepflmacher, U. C. The endurance of Frankenstein. Essays on Mary Shelley's novel. Berkeley: California University Press, 1974. </w:t>
      </w:r>
      <w:r>
        <w:rPr>
          <w:rFonts w:eastAsia="Calibri"/>
        </w:rPr>
        <w:t>(pp. 49-73).</w:t>
      </w:r>
      <w:r>
        <w:rPr/>
        <w:t xml:space="preserve"> </w:t>
      </w:r>
    </w:p>
  </w:footnote>
  <w:footnote w:id="103">
    <w:p>
      <w:pPr>
        <w:pStyle w:val="Notaderodap"/>
        <w:jc w:val="both"/>
        <w:rPr/>
      </w:pPr>
      <w:r>
        <w:rPr>
          <w:rStyle w:val="Caracteresdenotaderodap"/>
        </w:rPr>
        <w:footnoteRef/>
      </w:r>
      <w:r>
        <w:rPr/>
        <w:t xml:space="preserve"> </w:t>
      </w:r>
      <w:r>
        <w:rPr/>
        <w:t xml:space="preserve">Nesse sentido, as análises de Cooper (2008) e Hunter (2008) não se afastam do ponto central no exame de Griffin, apenas deslocam para uma nova perspectiva. </w:t>
      </w:r>
    </w:p>
  </w:footnote>
  <w:footnote w:id="104">
    <w:p>
      <w:pPr>
        <w:pStyle w:val="Notaderodap"/>
        <w:jc w:val="both"/>
        <w:rPr/>
      </w:pPr>
      <w:r>
        <w:rPr>
          <w:rStyle w:val="Caracteresdenotaderodap"/>
        </w:rPr>
        <w:footnoteRef/>
      </w:r>
      <w:r>
        <w:rPr/>
        <w:t xml:space="preserve"> </w:t>
      </w:r>
      <w:r>
        <w:rPr/>
        <w:t xml:space="preserve">Shelley, Mary. </w:t>
      </w:r>
      <w:r>
        <w:rPr>
          <w:b/>
          <w:i/>
        </w:rPr>
        <w:t>O último homem</w:t>
      </w:r>
      <w:r>
        <w:rPr/>
        <w:t>. São Paulo: Landmark, 2007. p. 23.</w:t>
      </w:r>
    </w:p>
  </w:footnote>
  <w:footnote w:id="105">
    <w:p>
      <w:pPr>
        <w:pStyle w:val="Normal"/>
        <w:jc w:val="both"/>
        <w:rPr/>
      </w:pPr>
      <w:r>
        <w:rPr>
          <w:rStyle w:val="Caracteresdenotaderodap"/>
        </w:rPr>
        <w:footnoteRef/>
      </w:r>
      <w:r>
        <w:rPr>
          <w:sz w:val="20"/>
          <w:szCs w:val="20"/>
        </w:rPr>
        <w:t xml:space="preserve"> </w:t>
      </w:r>
      <w:r>
        <w:rPr>
          <w:sz w:val="20"/>
          <w:szCs w:val="20"/>
        </w:rPr>
        <w:t xml:space="preserve">Lovecraft, H. P. </w:t>
      </w:r>
      <w:r>
        <w:rPr>
          <w:b/>
          <w:i/>
          <w:sz w:val="20"/>
          <w:szCs w:val="20"/>
        </w:rPr>
        <w:t>O horror sobrenatural na literatura</w:t>
      </w:r>
      <w:r>
        <w:rPr>
          <w:sz w:val="20"/>
          <w:szCs w:val="20"/>
        </w:rPr>
        <w:t xml:space="preserve">. Rio de Janeiro: Francisco Alves, 1987. </w:t>
      </w:r>
    </w:p>
  </w:footnote>
  <w:footnote w:id="106">
    <w:p>
      <w:pPr>
        <w:pStyle w:val="Normal"/>
        <w:jc w:val="both"/>
        <w:rPr/>
      </w:pPr>
      <w:r>
        <w:rPr>
          <w:rStyle w:val="Caracteresdenotaderodap"/>
        </w:rPr>
        <w:footnoteRef/>
      </w:r>
      <w:r>
        <w:rPr>
          <w:sz w:val="20"/>
          <w:szCs w:val="20"/>
          <w:lang w:val="en-US"/>
        </w:rPr>
        <w:t xml:space="preserve"> </w:t>
      </w:r>
      <w:r>
        <w:rPr>
          <w:color w:val="000000"/>
          <w:sz w:val="20"/>
          <w:szCs w:val="20"/>
          <w:lang w:val="en-US"/>
        </w:rPr>
        <w:t>Walpole</w:t>
      </w:r>
      <w:r>
        <w:rPr>
          <w:sz w:val="20"/>
          <w:szCs w:val="20"/>
          <w:lang w:val="en-US"/>
        </w:rPr>
        <w:t xml:space="preserve">, H. </w:t>
      </w:r>
      <w:r>
        <w:rPr>
          <w:b/>
          <w:i/>
          <w:sz w:val="20"/>
          <w:szCs w:val="20"/>
          <w:lang w:val="en-US"/>
        </w:rPr>
        <w:t>The castle of Otranto</w:t>
      </w:r>
      <w:r>
        <w:rPr>
          <w:sz w:val="20"/>
          <w:szCs w:val="20"/>
          <w:lang w:val="en-US"/>
        </w:rPr>
        <w:t>. New York: Cassell &amp; Company, 1886. p.74.</w:t>
      </w:r>
    </w:p>
  </w:footnote>
  <w:footnote w:id="107">
    <w:p>
      <w:pPr>
        <w:pStyle w:val="Normal"/>
        <w:jc w:val="both"/>
        <w:rPr>
          <w:sz w:val="20"/>
          <w:szCs w:val="20"/>
        </w:rPr>
      </w:pPr>
      <w:r>
        <w:rPr>
          <w:rStyle w:val="Caracteresdenotaderodap"/>
        </w:rPr>
        <w:footnoteRef/>
      </w:r>
      <w:r>
        <w:rPr>
          <w:sz w:val="20"/>
          <w:szCs w:val="20"/>
        </w:rPr>
        <w:t xml:space="preserve"> </w:t>
      </w:r>
      <w:r>
        <w:rPr>
          <w:sz w:val="20"/>
          <w:szCs w:val="20"/>
        </w:rPr>
        <w:t xml:space="preserve">Todorov, T. </w:t>
      </w:r>
      <w:r>
        <w:rPr>
          <w:b/>
          <w:i/>
          <w:sz w:val="20"/>
          <w:szCs w:val="20"/>
        </w:rPr>
        <w:t>Introdução à literatura fantástica</w:t>
      </w:r>
      <w:r>
        <w:rPr>
          <w:sz w:val="20"/>
          <w:szCs w:val="20"/>
        </w:rPr>
        <w:t xml:space="preserve">. São Paulo: Perspectiva, 1981. p.05.  </w:t>
      </w:r>
    </w:p>
  </w:footnote>
  <w:footnote w:id="108">
    <w:p>
      <w:pPr>
        <w:pStyle w:val="Notaderodap"/>
        <w:rPr/>
      </w:pPr>
      <w:r>
        <w:rPr>
          <w:rStyle w:val="Caracteresdenotaderodap"/>
        </w:rPr>
        <w:footnoteRef/>
      </w:r>
      <w:r>
        <w:rPr>
          <w:lang w:val="es-ES_tradnl"/>
        </w:rPr>
        <w:t xml:space="preserve"> </w:t>
      </w:r>
      <w:r>
        <w:rPr>
          <w:lang w:val="es-ES_tradnl"/>
        </w:rPr>
        <w:t>Todorov, T. Op. Cit. p.19.</w:t>
      </w:r>
    </w:p>
  </w:footnote>
  <w:footnote w:id="109">
    <w:p>
      <w:pPr>
        <w:pStyle w:val="Notaderodap"/>
        <w:rPr/>
      </w:pPr>
      <w:r>
        <w:rPr>
          <w:rStyle w:val="Caracteresdenotaderodap"/>
        </w:rPr>
        <w:footnoteRef/>
      </w:r>
      <w:r>
        <w:rPr>
          <w:lang w:val="es-ES_tradnl"/>
        </w:rPr>
        <w:t xml:space="preserve"> </w:t>
      </w:r>
      <w:r>
        <w:rPr>
          <w:lang w:val="es-ES_tradnl"/>
        </w:rPr>
        <w:t>Todorov, T. Op. Cit. p.42.</w:t>
      </w:r>
    </w:p>
  </w:footnote>
  <w:footnote w:id="110">
    <w:p>
      <w:pPr>
        <w:pStyle w:val="Notaderodap"/>
        <w:rPr/>
      </w:pPr>
      <w:r>
        <w:rPr>
          <w:rStyle w:val="Caracteresdenotaderodap"/>
        </w:rPr>
        <w:footnoteRef/>
      </w:r>
      <w:r>
        <w:rPr>
          <w:lang w:val="en-US"/>
        </w:rPr>
        <w:t xml:space="preserve"> </w:t>
      </w:r>
      <w:r>
        <w:rPr>
          <w:lang w:val="en-US"/>
        </w:rPr>
        <w:t xml:space="preserve">Lovecraft, H.P. Op. </w:t>
      </w:r>
      <w:r>
        <w:rPr/>
        <w:t>Cit. p.4.</w:t>
      </w:r>
    </w:p>
  </w:footnote>
  <w:footnote w:id="111">
    <w:p>
      <w:pPr>
        <w:pStyle w:val="Notaderodap"/>
        <w:rPr/>
      </w:pPr>
      <w:r>
        <w:rPr>
          <w:rStyle w:val="Caracteresdenotaderodap"/>
        </w:rPr>
        <w:footnoteRef/>
      </w:r>
      <w:r>
        <w:rPr/>
        <w:t xml:space="preserve"> </w:t>
      </w:r>
      <w:r>
        <w:rPr/>
        <w:t xml:space="preserve">Carroll, N. </w:t>
      </w:r>
      <w:r>
        <w:rPr>
          <w:b/>
          <w:i/>
        </w:rPr>
        <w:t>A filosofia do horror ou paradoxos do coração</w:t>
      </w:r>
      <w:r>
        <w:rPr/>
        <w:t xml:space="preserve">. </w:t>
      </w:r>
      <w:r>
        <w:rPr>
          <w:lang w:val="en-US"/>
        </w:rPr>
        <w:t>Campinas: Papirus, 1999, p.17.</w:t>
      </w:r>
    </w:p>
  </w:footnote>
  <w:footnote w:id="112">
    <w:p>
      <w:pPr>
        <w:pStyle w:val="Notaderodap"/>
        <w:rPr/>
      </w:pPr>
      <w:r>
        <w:rPr>
          <w:rStyle w:val="Caracteresdenotaderodap"/>
        </w:rPr>
        <w:footnoteRef/>
      </w:r>
      <w:r>
        <w:rPr>
          <w:lang w:val="en-US"/>
        </w:rPr>
        <w:t xml:space="preserve"> </w:t>
      </w:r>
      <w:r>
        <w:rPr>
          <w:lang w:val="en-US"/>
        </w:rPr>
        <w:t>Carroll, N. Op. Cit. p.31.</w:t>
      </w:r>
    </w:p>
  </w:footnote>
  <w:footnote w:id="113">
    <w:p>
      <w:pPr>
        <w:pStyle w:val="Notaderodap"/>
        <w:rPr>
          <w:lang w:val="en-US"/>
        </w:rPr>
      </w:pPr>
      <w:r>
        <w:rPr>
          <w:rStyle w:val="Caracteresdenotaderodap"/>
        </w:rPr>
        <w:footnoteRef/>
      </w:r>
      <w:r>
        <w:rPr>
          <w:lang w:val="en-US"/>
        </w:rPr>
        <w:t xml:space="preserve"> </w:t>
      </w:r>
      <w:r>
        <w:rPr>
          <w:lang w:val="en-US"/>
        </w:rPr>
        <w:t>Carroll, N. Op. Cit. p.32.</w:t>
      </w:r>
    </w:p>
  </w:footnote>
  <w:footnote w:id="114">
    <w:p>
      <w:pPr>
        <w:pStyle w:val="Notaderodap"/>
        <w:rPr>
          <w:lang w:val="en-US"/>
        </w:rPr>
      </w:pPr>
      <w:r>
        <w:rPr>
          <w:rStyle w:val="Caracteresdenotaderodap"/>
        </w:rPr>
        <w:footnoteRef/>
      </w:r>
      <w:r>
        <w:rPr>
          <w:lang w:val="en-US"/>
        </w:rPr>
        <w:t xml:space="preserve"> </w:t>
      </w:r>
      <w:r>
        <w:rPr>
          <w:lang w:val="en-US"/>
        </w:rPr>
        <w:t>Carroll, N. Op. Cit. p.46.</w:t>
      </w:r>
    </w:p>
  </w:footnote>
  <w:footnote w:id="115">
    <w:p>
      <w:pPr>
        <w:pStyle w:val="Notaderodap"/>
        <w:rPr>
          <w:lang w:val="en-US"/>
        </w:rPr>
      </w:pPr>
      <w:r>
        <w:rPr>
          <w:rStyle w:val="Caracteresdenotaderodap"/>
        </w:rPr>
        <w:footnoteRef/>
      </w:r>
      <w:r>
        <w:rPr>
          <w:lang w:val="en-US"/>
        </w:rPr>
        <w:t xml:space="preserve"> </w:t>
      </w:r>
      <w:r>
        <w:rPr>
          <w:lang w:val="en-US"/>
        </w:rPr>
        <w:t>Carroll, N. Op. Cit. p.46</w:t>
      </w:r>
    </w:p>
  </w:footnote>
  <w:footnote w:id="116">
    <w:p>
      <w:pPr>
        <w:pStyle w:val="Notaderodap"/>
        <w:rPr/>
      </w:pPr>
      <w:r>
        <w:rPr>
          <w:rStyle w:val="Caracteresdenotaderodap"/>
        </w:rPr>
        <w:footnoteRef/>
      </w:r>
      <w:r>
        <w:rPr>
          <w:lang w:val="en-US"/>
        </w:rPr>
        <w:t xml:space="preserve"> </w:t>
      </w:r>
      <w:r>
        <w:rPr>
          <w:lang w:val="en-US"/>
        </w:rPr>
        <w:t>Carroll, N. Op. Cit. p.51.</w:t>
      </w:r>
    </w:p>
  </w:footnote>
  <w:footnote w:id="117">
    <w:p>
      <w:pPr>
        <w:pStyle w:val="Notaderodap"/>
        <w:rPr/>
      </w:pPr>
      <w:r>
        <w:rPr>
          <w:rStyle w:val="Caracteresdenotaderodap"/>
        </w:rPr>
        <w:footnoteRef/>
      </w:r>
      <w:r>
        <w:rPr>
          <w:lang w:val="en-US"/>
        </w:rPr>
        <w:t xml:space="preserve"> </w:t>
      </w:r>
      <w:r>
        <w:rPr>
          <w:lang w:val="en-US"/>
        </w:rPr>
        <w:t xml:space="preserve">Carroll, N. Op. </w:t>
      </w:r>
      <w:r>
        <w:rPr/>
        <w:t>Cit. p.54.</w:t>
      </w:r>
    </w:p>
  </w:footnote>
  <w:footnote w:id="118">
    <w:p>
      <w:pPr>
        <w:pStyle w:val="Normal"/>
        <w:jc w:val="both"/>
        <w:rPr/>
      </w:pPr>
      <w:r>
        <w:rPr>
          <w:rStyle w:val="Caracteresdenotaderodap"/>
        </w:rPr>
        <w:footnoteRef/>
      </w:r>
      <w:r>
        <w:rPr>
          <w:sz w:val="20"/>
          <w:szCs w:val="20"/>
        </w:rPr>
        <w:t xml:space="preserve"> </w:t>
      </w:r>
      <w:r>
        <w:rPr>
          <w:sz w:val="20"/>
          <w:szCs w:val="20"/>
        </w:rPr>
        <w:t xml:space="preserve">Bresciani, M. S. M. </w:t>
      </w:r>
      <w:r>
        <w:rPr>
          <w:b/>
          <w:bCs/>
          <w:i/>
          <w:iCs/>
          <w:sz w:val="20"/>
          <w:szCs w:val="20"/>
        </w:rPr>
        <w:t>Londres e Paris no século XIX: O espetáculo da pobreza</w:t>
      </w:r>
      <w:r>
        <w:rPr>
          <w:sz w:val="20"/>
          <w:szCs w:val="20"/>
        </w:rPr>
        <w:t>. São Paulo: Brasiliense, 2008, p.108.</w:t>
      </w:r>
    </w:p>
    <w:p>
      <w:pPr>
        <w:pStyle w:val="Notaderodap"/>
        <w:rPr>
          <w:sz w:val="20"/>
          <w:szCs w:val="20"/>
        </w:rPr>
      </w:pPr>
      <w:r>
        <w:rPr>
          <w:sz w:val="20"/>
          <w:szCs w:val="20"/>
        </w:rPr>
      </w:r>
    </w:p>
  </w:footnote>
  <w:footnote w:id="119">
    <w:p>
      <w:pPr>
        <w:pStyle w:val="Notaderodap"/>
        <w:jc w:val="both"/>
        <w:rPr/>
      </w:pPr>
      <w:r>
        <w:rPr>
          <w:rStyle w:val="Caracteresdenotaderodap"/>
        </w:rPr>
        <w:footnoteRef/>
      </w:r>
      <w:r>
        <w:rPr/>
        <w:t xml:space="preserve"> </w:t>
      </w:r>
      <w:r>
        <w:rPr/>
        <w:t xml:space="preserve">Mayer, A. J. </w:t>
      </w:r>
      <w:r>
        <w:rPr>
          <w:b/>
          <w:i/>
        </w:rPr>
        <w:t>Concepções de mundo: darwinismo social, Nietzsche, guerra</w:t>
      </w:r>
      <w:r>
        <w:rPr/>
        <w:t xml:space="preserve">. In: Mayer, A. J. </w:t>
      </w:r>
      <w:r>
        <w:rPr>
          <w:b/>
          <w:i/>
        </w:rPr>
        <w:t>A força da tradição: a persistência do antigo regime (1848-1914)</w:t>
      </w:r>
      <w:r>
        <w:rPr/>
        <w:t xml:space="preserve">. São Paulo: Companhia das letras, 1987. (pp. 267-335).  </w:t>
      </w:r>
    </w:p>
  </w:footnote>
  <w:footnote w:id="120">
    <w:p>
      <w:pPr>
        <w:pStyle w:val="Notaderodap"/>
        <w:rPr>
          <w:lang w:val="es-ES_tradnl"/>
        </w:rPr>
      </w:pPr>
      <w:r>
        <w:rPr>
          <w:rStyle w:val="Caracteresdenotaderodap"/>
        </w:rPr>
        <w:footnoteRef/>
      </w:r>
      <w:r>
        <w:rPr>
          <w:lang w:val="es-ES_tradnl"/>
        </w:rPr>
        <w:t xml:space="preserve"> </w:t>
      </w:r>
      <w:r>
        <w:rPr>
          <w:lang w:val="es-ES_tradnl"/>
        </w:rPr>
        <w:t>Bresciani, M. S. M. Op. Cit.</w:t>
      </w:r>
      <w:r>
        <w:rPr>
          <w:i/>
          <w:lang w:val="es-ES_tradnl"/>
        </w:rPr>
        <w:t xml:space="preserve"> </w:t>
      </w:r>
      <w:r>
        <w:rPr>
          <w:lang w:val="es-ES_tradnl"/>
        </w:rPr>
        <w:t>p.25.</w:t>
      </w:r>
    </w:p>
  </w:footnote>
  <w:footnote w:id="121">
    <w:p>
      <w:pPr>
        <w:pStyle w:val="Normal"/>
        <w:autoSpaceDE w:val="false"/>
        <w:jc w:val="both"/>
        <w:rPr/>
      </w:pPr>
      <w:r>
        <w:rPr>
          <w:rStyle w:val="Caracteresdenotaderodap"/>
        </w:rPr>
        <w:footnoteRef/>
      </w:r>
      <w:r>
        <w:rPr>
          <w:sz w:val="20"/>
          <w:szCs w:val="20"/>
        </w:rPr>
        <w:t xml:space="preserve"> </w:t>
      </w:r>
      <w:r>
        <w:rPr>
          <w:sz w:val="20"/>
          <w:szCs w:val="20"/>
        </w:rPr>
        <w:t>Rocque, L. de L. &amp; Teixeira</w:t>
      </w:r>
      <w:r>
        <w:rPr>
          <w:caps/>
          <w:sz w:val="20"/>
          <w:szCs w:val="20"/>
        </w:rPr>
        <w:t>,</w:t>
      </w:r>
      <w:r>
        <w:rPr>
          <w:sz w:val="20"/>
          <w:szCs w:val="20"/>
        </w:rPr>
        <w:t xml:space="preserve"> L. A. </w:t>
      </w:r>
      <w:r>
        <w:rPr>
          <w:i/>
          <w:iCs/>
          <w:sz w:val="20"/>
          <w:szCs w:val="20"/>
        </w:rPr>
        <w:t>‘</w:t>
      </w:r>
      <w:r>
        <w:rPr>
          <w:b/>
          <w:i/>
          <w:iCs/>
          <w:sz w:val="20"/>
          <w:szCs w:val="20"/>
        </w:rPr>
        <w:t>Frankenstein</w:t>
      </w:r>
      <w:r>
        <w:rPr>
          <w:b/>
          <w:i/>
          <w:sz w:val="20"/>
          <w:szCs w:val="20"/>
        </w:rPr>
        <w:t xml:space="preserve">, de Mary Shelley e </w:t>
      </w:r>
      <w:r>
        <w:rPr>
          <w:b/>
          <w:i/>
          <w:iCs/>
          <w:sz w:val="20"/>
          <w:szCs w:val="20"/>
        </w:rPr>
        <w:t>Drácula</w:t>
      </w:r>
      <w:r>
        <w:rPr>
          <w:b/>
          <w:i/>
          <w:sz w:val="20"/>
          <w:szCs w:val="20"/>
        </w:rPr>
        <w:t>, de Bram Stoker: gênero e ciência na literatura</w:t>
      </w:r>
      <w:r>
        <w:rPr>
          <w:sz w:val="20"/>
          <w:szCs w:val="20"/>
        </w:rPr>
        <w:t xml:space="preserve">’. </w:t>
      </w:r>
      <w:r>
        <w:rPr>
          <w:iCs/>
          <w:sz w:val="20"/>
          <w:szCs w:val="20"/>
        </w:rPr>
        <w:t xml:space="preserve">História, Ciências, Saúde – Manguinhos, </w:t>
      </w:r>
      <w:r>
        <w:rPr>
          <w:sz w:val="20"/>
          <w:szCs w:val="20"/>
        </w:rPr>
        <w:t>vol. VIII(1), 10-34, mar.-jun. 2001.</w:t>
      </w:r>
    </w:p>
    <w:p>
      <w:pPr>
        <w:pStyle w:val="Notaderodap"/>
        <w:jc w:val="both"/>
        <w:rPr>
          <w:sz w:val="20"/>
          <w:szCs w:val="20"/>
        </w:rPr>
      </w:pPr>
      <w:r>
        <w:rPr>
          <w:sz w:val="20"/>
          <w:szCs w:val="20"/>
        </w:rPr>
      </w:r>
    </w:p>
  </w:footnote>
  <w:footnote w:id="122">
    <w:p>
      <w:pPr>
        <w:pStyle w:val="Notaderodap"/>
        <w:jc w:val="both"/>
        <w:rPr/>
      </w:pPr>
      <w:r>
        <w:rPr>
          <w:rStyle w:val="Caracteresdenotaderodap"/>
        </w:rPr>
        <w:footnoteRef/>
      </w:r>
      <w:r>
        <w:rPr/>
        <w:t xml:space="preserve"> </w:t>
      </w:r>
      <w:r>
        <w:rPr/>
        <w:t xml:space="preserve">Um bom trabalho síntese pode ser encontrado em: Tarde, Gabriel de. </w:t>
      </w:r>
      <w:r>
        <w:rPr>
          <w:b/>
          <w:i/>
        </w:rPr>
        <w:t>La criminalité comparée</w:t>
      </w:r>
      <w:r>
        <w:rPr/>
        <w:t xml:space="preserve">. Paris: F. Alcan, 1886. </w:t>
      </w:r>
    </w:p>
  </w:footnote>
  <w:footnote w:id="123">
    <w:p>
      <w:pPr>
        <w:pStyle w:val="Notaderodap"/>
        <w:jc w:val="both"/>
        <w:rPr/>
      </w:pPr>
      <w:r>
        <w:rPr>
          <w:rStyle w:val="Caracteresdenotaderodap"/>
        </w:rPr>
        <w:footnoteRef/>
      </w:r>
      <w:r>
        <w:rPr/>
        <w:t xml:space="preserve"> </w:t>
      </w:r>
      <w:r>
        <w:rPr/>
        <w:t xml:space="preserve">Lombroso, Cesare. </w:t>
      </w:r>
      <w:r>
        <w:rPr>
          <w:b/>
          <w:i/>
        </w:rPr>
        <w:t>L’uomo delinquente</w:t>
      </w:r>
      <w:r>
        <w:rPr/>
        <w:t xml:space="preserve">. Vol. 1. Torino: Bocca, 1889. P. 247. </w:t>
      </w:r>
    </w:p>
  </w:footnote>
  <w:footnote w:id="124">
    <w:p>
      <w:pPr>
        <w:pStyle w:val="Notaderodap"/>
        <w:jc w:val="both"/>
        <w:rPr/>
      </w:pPr>
      <w:r>
        <w:rPr>
          <w:rStyle w:val="Caracteresdenotaderodap"/>
        </w:rPr>
        <w:footnoteRef/>
      </w:r>
      <w:r>
        <w:rPr/>
        <w:t xml:space="preserve"> </w:t>
      </w:r>
      <w:r>
        <w:rPr/>
        <w:t xml:space="preserve">É importante destacar que Lombroso considerava os condicionantes sociais, porém atribuía a eles pouca força em relação aos condicionantes biológicos. Embora Lombroso considerasse o homem mongol como o típico criminoso, muitos dos seus estudos foram feitos com populações de criminosos europeus. É importante não nos deixarmos levar por maniqueísmos historiográficos que se dirigem a esses estudos tão somente com o intuito de “fazer um julgamento” histórico. </w:t>
      </w:r>
    </w:p>
  </w:footnote>
  <w:footnote w:id="125">
    <w:p>
      <w:pPr>
        <w:pStyle w:val="Notaderodap"/>
        <w:jc w:val="both"/>
        <w:rPr/>
      </w:pPr>
      <w:r>
        <w:rPr>
          <w:rStyle w:val="Caracteresdenotaderodap"/>
        </w:rPr>
        <w:footnoteRef/>
      </w:r>
      <w:r>
        <w:rPr/>
        <w:t xml:space="preserve"> </w:t>
      </w:r>
      <w:r>
        <w:rPr/>
        <w:t>Lombroso, C. Op. Cit. p. 266.</w:t>
      </w:r>
    </w:p>
  </w:footnote>
  <w:footnote w:id="126">
    <w:p>
      <w:pPr>
        <w:pStyle w:val="Normal"/>
        <w:spacing w:lineRule="auto" w:line="360"/>
        <w:jc w:val="both"/>
        <w:rPr>
          <w:sz w:val="20"/>
          <w:szCs w:val="20"/>
        </w:rPr>
      </w:pPr>
      <w:r>
        <w:rPr>
          <w:rStyle w:val="Caracteresdenotaderodap"/>
        </w:rPr>
        <w:footnoteRef/>
      </w:r>
      <w:r>
        <w:rPr>
          <w:sz w:val="20"/>
          <w:szCs w:val="20"/>
        </w:rPr>
        <w:t xml:space="preserve"> </w:t>
      </w:r>
      <w:r>
        <w:rPr>
          <w:rFonts w:eastAsia="Calibri"/>
          <w:sz w:val="20"/>
          <w:szCs w:val="20"/>
        </w:rPr>
        <w:t>Todorov, Tzvetan. Op. Cit. 1981.</w:t>
      </w:r>
    </w:p>
  </w:footnote>
  <w:footnote w:id="127">
    <w:p>
      <w:pPr>
        <w:pStyle w:val="Normal"/>
        <w:jc w:val="both"/>
        <w:rPr>
          <w:rFonts w:eastAsia="Calibri"/>
          <w:sz w:val="20"/>
          <w:szCs w:val="20"/>
          <w:lang w:val="en-US"/>
        </w:rPr>
      </w:pPr>
      <w:r>
        <w:rPr>
          <w:rStyle w:val="Caracteresdenotaderodap"/>
        </w:rPr>
        <w:footnoteRef/>
      </w:r>
      <w:r>
        <w:rPr>
          <w:sz w:val="20"/>
          <w:szCs w:val="20"/>
        </w:rPr>
        <w:t xml:space="preserve"> </w:t>
      </w:r>
      <w:r>
        <w:rPr>
          <w:rFonts w:eastAsia="Calibri"/>
          <w:sz w:val="20"/>
          <w:szCs w:val="20"/>
        </w:rPr>
        <w:t xml:space="preserve">Suvin, Darko. </w:t>
      </w:r>
      <w:r>
        <w:rPr>
          <w:rFonts w:eastAsia="Calibri"/>
          <w:b/>
          <w:i/>
          <w:sz w:val="20"/>
          <w:szCs w:val="20"/>
          <w:lang w:val="en-US"/>
        </w:rPr>
        <w:t>On the poetics of the Science Fiction genre</w:t>
      </w:r>
      <w:r>
        <w:rPr>
          <w:rFonts w:eastAsia="Calibri"/>
          <w:sz w:val="20"/>
          <w:szCs w:val="20"/>
          <w:lang w:val="en-US"/>
        </w:rPr>
        <w:t xml:space="preserve">. College English, vol. 34, n. 3; 1972 (pp. 372-382). </w:t>
      </w:r>
    </w:p>
    <w:p>
      <w:pPr>
        <w:pStyle w:val="Normal"/>
        <w:jc w:val="both"/>
        <w:rPr/>
      </w:pPr>
      <w:r>
        <w:rPr>
          <w:rFonts w:eastAsia="Calibri"/>
          <w:sz w:val="20"/>
          <w:szCs w:val="20"/>
        </w:rPr>
        <w:t xml:space="preserve">______. </w:t>
      </w:r>
      <w:r>
        <w:rPr>
          <w:rFonts w:eastAsia="Calibri"/>
          <w:b/>
          <w:i/>
          <w:sz w:val="20"/>
          <w:szCs w:val="20"/>
        </w:rPr>
        <w:t>Metamorfosis de la ciencia ficción: sobre la poetica y la historia de un género literario</w:t>
      </w:r>
      <w:r>
        <w:rPr>
          <w:rFonts w:eastAsia="Calibri"/>
          <w:sz w:val="20"/>
          <w:szCs w:val="20"/>
        </w:rPr>
        <w:t xml:space="preserve">. </w:t>
      </w:r>
      <w:r>
        <w:rPr>
          <w:rFonts w:eastAsia="Calibri"/>
          <w:sz w:val="20"/>
          <w:szCs w:val="20"/>
          <w:lang w:val="en-US"/>
        </w:rPr>
        <w:t>México: Fondo de Cultura Económica, 1984.</w:t>
      </w:r>
      <w:r>
        <w:rPr>
          <w:lang w:val="en-US"/>
        </w:rPr>
        <w:t xml:space="preserve"> </w:t>
      </w:r>
    </w:p>
  </w:footnote>
  <w:footnote w:id="128">
    <w:p>
      <w:pPr>
        <w:pStyle w:val="Normal"/>
        <w:spacing w:lineRule="auto" w:line="360"/>
        <w:jc w:val="both"/>
        <w:rPr>
          <w:lang w:val="en-US"/>
        </w:rPr>
      </w:pPr>
      <w:r>
        <w:rPr>
          <w:rStyle w:val="Caracteresdenotaderodap"/>
        </w:rPr>
        <w:footnoteRef/>
      </w:r>
      <w:r>
        <w:rPr>
          <w:sz w:val="20"/>
          <w:szCs w:val="20"/>
          <w:lang w:val="en-US"/>
        </w:rPr>
        <w:t xml:space="preserve"> </w:t>
      </w:r>
      <w:r>
        <w:rPr>
          <w:rFonts w:eastAsia="Calibri"/>
          <w:sz w:val="20"/>
          <w:szCs w:val="20"/>
          <w:lang w:val="en-US"/>
        </w:rPr>
        <w:t xml:space="preserve">Roberts, Adam. </w:t>
      </w:r>
      <w:r>
        <w:rPr>
          <w:rFonts w:eastAsia="Calibri"/>
          <w:b/>
          <w:i/>
          <w:sz w:val="20"/>
          <w:szCs w:val="20"/>
          <w:lang w:val="en-US"/>
        </w:rPr>
        <w:t>The history of science fiction</w:t>
      </w:r>
      <w:r>
        <w:rPr>
          <w:rFonts w:eastAsia="Calibri"/>
          <w:sz w:val="20"/>
          <w:szCs w:val="20"/>
          <w:lang w:val="en-US"/>
        </w:rPr>
        <w:t>. Basingstoke: Palgrave Macmillan, 2007.</w:t>
      </w:r>
    </w:p>
  </w:footnote>
  <w:footnote w:id="129">
    <w:p>
      <w:pPr>
        <w:pStyle w:val="Notaderodap"/>
        <w:rPr/>
      </w:pPr>
      <w:r>
        <w:rPr>
          <w:rStyle w:val="Caracteresdenotaderodap"/>
        </w:rPr>
        <w:footnoteRef/>
      </w:r>
      <w:r>
        <w:rPr/>
        <w:t xml:space="preserve"> </w:t>
      </w:r>
      <w:r>
        <w:rPr>
          <w:rFonts w:eastAsia="Calibri"/>
        </w:rPr>
        <w:t xml:space="preserve">Asimov, Isaac. </w:t>
      </w:r>
      <w:r>
        <w:rPr>
          <w:rFonts w:eastAsia="Calibri"/>
          <w:b/>
          <w:i/>
        </w:rPr>
        <w:t>No mundo da ficção científica</w:t>
      </w:r>
      <w:r>
        <w:rPr>
          <w:rFonts w:eastAsia="Calibri"/>
        </w:rPr>
        <w:t>. São Paulo: Francisco Alves, 1984.</w:t>
      </w:r>
    </w:p>
  </w:footnote>
  <w:footnote w:id="130">
    <w:p>
      <w:pPr>
        <w:pStyle w:val="Notaderodap"/>
        <w:jc w:val="both"/>
        <w:rPr/>
      </w:pPr>
      <w:r>
        <w:rPr>
          <w:rStyle w:val="Caracteresdenotaderodap"/>
        </w:rPr>
        <w:footnoteRef/>
      </w:r>
      <w:r>
        <w:rPr/>
        <w:t xml:space="preserve"> </w:t>
      </w:r>
      <w:r>
        <w:rPr>
          <w:rFonts w:eastAsia="Calibri"/>
          <w:lang w:val="en-US"/>
        </w:rPr>
        <w:t xml:space="preserve">Ryle, G. </w:t>
      </w:r>
      <w:r>
        <w:rPr>
          <w:b/>
          <w:i/>
          <w:lang w:val="en-US"/>
        </w:rPr>
        <w:t>Systematically misleading expressions</w:t>
      </w:r>
      <w:r>
        <w:rPr>
          <w:lang w:val="en-US"/>
        </w:rPr>
        <w:t>. In: Proceedings of the Aristotelian Society. New Series, vol. 32 (1931-1932), p. 140.</w:t>
      </w:r>
    </w:p>
  </w:footnote>
  <w:footnote w:id="131">
    <w:p>
      <w:pPr>
        <w:pStyle w:val="Notaderodap"/>
        <w:jc w:val="both"/>
        <w:rPr/>
      </w:pPr>
      <w:r>
        <w:rPr>
          <w:rStyle w:val="Caracteresdenotaderodap"/>
        </w:rPr>
        <w:footnoteRef/>
      </w:r>
      <w:r>
        <w:rPr/>
        <w:t xml:space="preserve"> </w:t>
      </w:r>
      <w:r>
        <w:rPr>
          <w:lang w:val="en-US"/>
        </w:rPr>
        <w:t xml:space="preserve">Ryle, G. [1949] </w:t>
      </w:r>
      <w:r>
        <w:rPr>
          <w:b/>
          <w:i/>
          <w:lang w:val="en-US"/>
        </w:rPr>
        <w:t>The concept of mind</w:t>
      </w:r>
      <w:r>
        <w:rPr>
          <w:lang w:val="en-US"/>
        </w:rPr>
        <w:t>. New York: Taylor &amp; Francis Group, 2009. p. 79.</w:t>
      </w:r>
    </w:p>
  </w:footnote>
  <w:footnote w:id="132">
    <w:p>
      <w:pPr>
        <w:pStyle w:val="Notaderodap"/>
        <w:jc w:val="both"/>
        <w:rPr/>
      </w:pPr>
      <w:r>
        <w:rPr>
          <w:rStyle w:val="Caracteresdenotaderodap"/>
        </w:rPr>
        <w:footnoteRef/>
      </w:r>
      <w:r>
        <w:rPr/>
        <w:t xml:space="preserve"> </w:t>
      </w:r>
      <w:r>
        <w:rPr/>
        <w:t xml:space="preserve">O espectro do debate sobre a questão mente-cérebro comumente é referenciado pelos polos entre posições dualistas (nesse modelo se admite uma espécie de dualismo de substância que seria o modelo cartesiano ou um dualismo de propriedades, em que não se admite duas substâncias, mas cérebro e mente manifestariam propriedades distintas) e posições materialistas monistas (o espectro aqui é maior; Há as chamadas teorias da identidade, em que se propõe que para cada estado mental há um estado equivalente cerebral, dessa maneira podemos inferir a identidade de estados mentais em função dos estados cerebrais; tem-se as propostas funcionalistas, em que impera o paradigma computacional, essa proposta foi marcante principalmente na década de 1960, Hilary Putnam é um forte representante dessa posição na década de 1960, depois ele reviu suas posições; Há o chamado materialismo eliminativo, em que se propõe eliminar o vocabulário mentalista, uma vez que ele só atrapalharia o desenvolvimento de áreas como as Neurociências e em seu lugar deveríamos adotar um vocabulário mais específico e menos confuso. O casal Paul e Patricia Churchland são os principais defensores dessa posição, muitos pesquisadores experimentais seguem essa posição mesmo que se recusem a assumir de forma clara; e há propostas variadas a partir dessas principais posições.   </w:t>
      </w:r>
    </w:p>
  </w:footnote>
  <w:footnote w:id="133">
    <w:p>
      <w:pPr>
        <w:pStyle w:val="Notaderodap"/>
        <w:jc w:val="both"/>
        <w:rPr/>
      </w:pPr>
      <w:r>
        <w:rPr>
          <w:rStyle w:val="Caracteresdenotaderodap"/>
        </w:rPr>
        <w:footnoteRef/>
      </w:r>
      <w:r>
        <w:rPr/>
        <w:t xml:space="preserve"> </w:t>
      </w:r>
      <w:r>
        <w:rPr/>
        <w:t xml:space="preserve">De acordo com Eric J. Hobsbawm o ‘longo século XIX’ inicia-se com a revolução francesa no final do século XVIII indo até o advento da primeira grande guerra (1914), logo, o reconhecimento do século XIX com uma temporalidade que supere os cem anos indicativos de um século aponta fatores externos a mera contagem temporal do período em questão, Hobsbawm entende dessa mesma forma que o curto século XX se encerra com a queda do muro de Berlim. Ver a série: Hobsbawm, E. J. </w:t>
      </w:r>
      <w:r>
        <w:rPr>
          <w:b/>
          <w:i/>
        </w:rPr>
        <w:t>A era dos extremos</w:t>
      </w:r>
      <w:r>
        <w:rPr/>
        <w:t xml:space="preserve">. São Paulo: Companhia das letras, 2008; _____. </w:t>
      </w:r>
      <w:r>
        <w:rPr>
          <w:b/>
          <w:i/>
        </w:rPr>
        <w:t>A era dos impérios: 1875-1914</w:t>
      </w:r>
      <w:r>
        <w:rPr/>
        <w:t>. Rio de Janeiro: Paz e Terra, 1998; _____</w:t>
        <w:softHyphen/>
        <w:t xml:space="preserve">. </w:t>
      </w:r>
      <w:r>
        <w:rPr>
          <w:b/>
          <w:i/>
        </w:rPr>
        <w:t>A era do capital: 1848-1875</w:t>
      </w:r>
      <w:r>
        <w:rPr/>
        <w:t xml:space="preserve">. Rio de Janeiro: Paz e Terra, 2009; </w:t>
        <w:softHyphen/>
        <w:softHyphen/>
        <w:softHyphen/>
        <w:t xml:space="preserve">_____. </w:t>
      </w:r>
      <w:r>
        <w:rPr>
          <w:b/>
          <w:i/>
        </w:rPr>
        <w:t>A era das revoluções: 1789-1848</w:t>
      </w:r>
      <w:r>
        <w:rPr/>
        <w:t xml:space="preserve">. Rio de Janeiro: Paz e Terra, 2009.   </w:t>
        <w:softHyphen/>
        <w:softHyphen/>
        <w:softHyphen/>
        <w:softHyphen/>
        <w:t xml:space="preserve">        </w:t>
      </w:r>
    </w:p>
  </w:footnote>
  <w:footnote w:id="134">
    <w:p>
      <w:pPr>
        <w:pStyle w:val="Notaderodap"/>
        <w:jc w:val="both"/>
        <w:rPr/>
      </w:pPr>
      <w:r>
        <w:rPr>
          <w:rStyle w:val="Caracteresdenotaderodap"/>
        </w:rPr>
        <w:footnoteRef/>
      </w:r>
      <w:r>
        <w:rPr/>
        <w:t xml:space="preserve"> </w:t>
      </w:r>
      <w:r>
        <w:rPr/>
        <w:t xml:space="preserve">O termo pode assumir inúmeras imprecisões, mas admitiremos aqui burguesia apenas para designar a classe formada por profissionais liberais que compunham o terceiro estado na França do século XVIII e que reagiram ao antigo regime.  </w:t>
      </w:r>
    </w:p>
  </w:footnote>
  <w:footnote w:id="135">
    <w:p>
      <w:pPr>
        <w:pStyle w:val="Notaderodap"/>
        <w:jc w:val="both"/>
        <w:rPr/>
      </w:pPr>
      <w:r>
        <w:rPr>
          <w:rStyle w:val="Caracteresdenotaderodap"/>
        </w:rPr>
        <w:footnoteRef/>
      </w:r>
      <w:r>
        <w:rPr/>
        <w:t xml:space="preserve"> </w:t>
      </w:r>
      <w:r>
        <w:rPr/>
        <w:t xml:space="preserve">Ver Koselleck, R. </w:t>
      </w:r>
      <w:r>
        <w:rPr>
          <w:b/>
          <w:i/>
        </w:rPr>
        <w:t>Critica e Crise</w:t>
      </w:r>
      <w:r>
        <w:rPr/>
        <w:t xml:space="preserve">. São Paulo: contraponto editora, 1999. </w:t>
      </w:r>
    </w:p>
  </w:footnote>
  <w:footnote w:id="136">
    <w:p>
      <w:pPr>
        <w:pStyle w:val="Notaderodap"/>
        <w:jc w:val="both"/>
        <w:rPr/>
      </w:pPr>
      <w:r>
        <w:rPr>
          <w:rStyle w:val="Caracteresdenotaderodap"/>
        </w:rPr>
        <w:footnoteRef/>
      </w:r>
      <w:r>
        <w:rPr/>
        <w:t xml:space="preserve"> </w:t>
      </w:r>
      <w:r>
        <w:rPr/>
        <w:t xml:space="preserve">Foucault, M. </w:t>
      </w:r>
      <w:r>
        <w:rPr>
          <w:b/>
          <w:i/>
        </w:rPr>
        <w:t>História da sexualidade: O cuidado de si – Vol.3.</w:t>
      </w:r>
      <w:r>
        <w:rPr>
          <w:b/>
        </w:rPr>
        <w:t xml:space="preserve"> </w:t>
      </w:r>
      <w:r>
        <w:rPr/>
        <w:t>São Paulo: Graal editora, 2007.</w:t>
      </w:r>
    </w:p>
  </w:footnote>
  <w:footnote w:id="137">
    <w:p>
      <w:pPr>
        <w:pStyle w:val="Normal"/>
        <w:jc w:val="both"/>
        <w:rPr/>
      </w:pPr>
      <w:r>
        <w:rPr>
          <w:rStyle w:val="Caracteresdenotaderodap"/>
        </w:rPr>
        <w:footnoteRef/>
      </w:r>
      <w:r>
        <w:rPr/>
        <w:t xml:space="preserve"> </w:t>
      </w:r>
      <w:r>
        <w:rPr>
          <w:sz w:val="20"/>
          <w:szCs w:val="20"/>
        </w:rPr>
        <w:t xml:space="preserve">Ver Balázs, B. </w:t>
      </w:r>
      <w:r>
        <w:rPr>
          <w:b/>
          <w:i/>
          <w:iCs/>
          <w:sz w:val="20"/>
          <w:szCs w:val="20"/>
        </w:rPr>
        <w:t>El Film: Evolución y Esencia de uma arte nuevo</w:t>
      </w:r>
      <w:r>
        <w:rPr>
          <w:i/>
          <w:iCs/>
          <w:sz w:val="20"/>
          <w:szCs w:val="20"/>
        </w:rPr>
        <w:t xml:space="preserve">. </w:t>
      </w:r>
      <w:r>
        <w:rPr>
          <w:sz w:val="20"/>
          <w:szCs w:val="20"/>
        </w:rPr>
        <w:t>(Bueno Aires: Ediciones Losange, 1955.</w:t>
      </w:r>
      <w:r>
        <w:rPr/>
        <w:t xml:space="preserve"> </w:t>
      </w:r>
    </w:p>
  </w:footnote>
  <w:footnote w:id="138">
    <w:p>
      <w:pPr>
        <w:pStyle w:val="Notaderodap"/>
        <w:jc w:val="both"/>
        <w:rPr/>
      </w:pPr>
      <w:r>
        <w:rPr>
          <w:rStyle w:val="Caracteresdenotaderodap"/>
        </w:rPr>
        <w:footnoteRef/>
      </w:r>
      <w:r>
        <w:rPr/>
        <w:t xml:space="preserve"> </w:t>
      </w:r>
      <w:r>
        <w:rPr/>
        <w:t>Ricciotto Canudo cunha o termo sétima arte em seu ‘</w:t>
      </w:r>
      <w:r>
        <w:rPr>
          <w:i/>
        </w:rPr>
        <w:t>manifesto das sete artes</w:t>
      </w:r>
      <w:r>
        <w:rPr/>
        <w:t xml:space="preserve">’ em 1911, publicado somente em 1923. </w:t>
      </w:r>
    </w:p>
  </w:footnote>
  <w:footnote w:id="139">
    <w:p>
      <w:pPr>
        <w:pStyle w:val="Notaderodap"/>
        <w:jc w:val="both"/>
        <w:rPr/>
      </w:pPr>
      <w:r>
        <w:rPr>
          <w:rStyle w:val="Caracteresdenotaderodap"/>
        </w:rPr>
        <w:footnoteRef/>
      </w:r>
      <w:r>
        <w:rPr/>
        <w:t xml:space="preserve"> </w:t>
      </w:r>
      <w:r>
        <w:rPr/>
        <w:t>O modelo de historiografia no final do século XIX, principalmente na França, pode ser compreendido pela obra de Langlois e Seignobos, ‘</w:t>
      </w:r>
      <w:r>
        <w:rPr>
          <w:i/>
        </w:rPr>
        <w:t>Introdução aos estudos históricos</w:t>
      </w:r>
      <w:r>
        <w:rPr/>
        <w:t xml:space="preserve">’, que faz a defesa do uso das fontes, no caso, os documentos oficiais. Ver oposição a esse modelo de historiografia em: Simiand, F. </w:t>
      </w:r>
      <w:r>
        <w:rPr>
          <w:b/>
          <w:i/>
        </w:rPr>
        <w:t>Método histórico e ciência social</w:t>
      </w:r>
      <w:r>
        <w:rPr/>
        <w:t xml:space="preserve">, publicado originalmente em Janeiro de 1903 em Paris. </w:t>
      </w:r>
    </w:p>
  </w:footnote>
  <w:footnote w:id="140">
    <w:p>
      <w:pPr>
        <w:pStyle w:val="Notaderodap"/>
        <w:jc w:val="both"/>
        <w:rPr/>
      </w:pPr>
      <w:r>
        <w:rPr>
          <w:rStyle w:val="Caracteresdenotaderodap"/>
        </w:rPr>
        <w:footnoteRef/>
      </w:r>
      <w:r>
        <w:rPr/>
        <w:t xml:space="preserve"> </w:t>
      </w:r>
      <w:r>
        <w:rPr/>
        <w:t xml:space="preserve">Almeida, M. J. </w:t>
      </w:r>
      <w:r>
        <w:rPr>
          <w:b/>
          <w:i/>
        </w:rPr>
        <w:t>Imagens e sons: A nova cultura oral</w:t>
      </w:r>
      <w:r>
        <w:rPr/>
        <w:t xml:space="preserve">. São Paulo: Cortez, 2004. p. 08.  </w:t>
      </w:r>
    </w:p>
  </w:footnote>
  <w:footnote w:id="141">
    <w:p>
      <w:pPr>
        <w:pStyle w:val="Notaderodap"/>
        <w:jc w:val="both"/>
        <w:rPr/>
      </w:pPr>
      <w:r>
        <w:rPr>
          <w:rStyle w:val="Caracteresdenotaderodap"/>
        </w:rPr>
        <w:footnoteRef/>
      </w:r>
      <w:r>
        <w:rPr/>
        <w:t xml:space="preserve"> </w:t>
      </w:r>
      <w:r>
        <w:rPr/>
        <w:t xml:space="preserve">Almeida, M. J. Op. Cit. p. 45-46.  </w:t>
      </w:r>
    </w:p>
  </w:footnote>
  <w:footnote w:id="142">
    <w:p>
      <w:pPr>
        <w:pStyle w:val="Normal"/>
        <w:jc w:val="both"/>
        <w:rPr/>
      </w:pPr>
      <w:r>
        <w:rPr>
          <w:rStyle w:val="Caracteresdenotaderodap"/>
        </w:rPr>
        <w:footnoteRef/>
      </w:r>
      <w:r>
        <w:rPr>
          <w:sz w:val="20"/>
          <w:szCs w:val="20"/>
        </w:rPr>
        <w:t xml:space="preserve"> </w:t>
      </w:r>
      <w:r>
        <w:rPr>
          <w:sz w:val="20"/>
          <w:szCs w:val="20"/>
        </w:rPr>
        <w:t xml:space="preserve">Rosenfeld, A. </w:t>
      </w:r>
      <w:r>
        <w:rPr>
          <w:b/>
          <w:i/>
          <w:sz w:val="20"/>
          <w:szCs w:val="20"/>
        </w:rPr>
        <w:t>Cinema: Arte e Indústria</w:t>
      </w:r>
      <w:r>
        <w:rPr>
          <w:sz w:val="20"/>
          <w:szCs w:val="20"/>
        </w:rPr>
        <w:t xml:space="preserve">. São Paulo: Perspectiva, 2009. p. 33-34. </w:t>
      </w:r>
    </w:p>
  </w:footnote>
  <w:footnote w:id="143">
    <w:p>
      <w:pPr>
        <w:pStyle w:val="Normal"/>
        <w:jc w:val="both"/>
        <w:rPr/>
      </w:pPr>
      <w:r>
        <w:rPr>
          <w:rStyle w:val="Caracteresdenotaderodap"/>
        </w:rPr>
        <w:footnoteRef/>
      </w:r>
      <w:r>
        <w:rPr>
          <w:sz w:val="20"/>
          <w:szCs w:val="20"/>
        </w:rPr>
        <w:t xml:space="preserve"> </w:t>
      </w:r>
      <w:r>
        <w:rPr>
          <w:sz w:val="20"/>
          <w:szCs w:val="20"/>
        </w:rPr>
        <w:t xml:space="preserve">Ver: Xavier, I. </w:t>
      </w:r>
      <w:r>
        <w:rPr>
          <w:b/>
          <w:i/>
          <w:sz w:val="20"/>
          <w:szCs w:val="20"/>
        </w:rPr>
        <w:t>Sétima arte: Um culto moderno</w:t>
      </w:r>
      <w:r>
        <w:rPr>
          <w:sz w:val="20"/>
          <w:szCs w:val="20"/>
        </w:rPr>
        <w:t xml:space="preserve">. São Paulo: Perspectiva: Secretaria da Cultura, Ciência e Tecnologia do Estado de São Paulo, 1978. p. 19-20.  </w:t>
      </w:r>
    </w:p>
  </w:footnote>
  <w:footnote w:id="144">
    <w:p>
      <w:pPr>
        <w:pStyle w:val="Notaderodap"/>
        <w:jc w:val="both"/>
        <w:rPr/>
      </w:pPr>
      <w:r>
        <w:rPr>
          <w:rStyle w:val="Caracteresdenotaderodap"/>
        </w:rPr>
        <w:footnoteRef/>
      </w:r>
      <w:r>
        <w:rPr>
          <w:lang w:val="en-US"/>
        </w:rPr>
        <w:t xml:space="preserve"> </w:t>
      </w:r>
      <w:r>
        <w:rPr>
          <w:lang w:val="en-US"/>
        </w:rPr>
        <w:t>Rosenfeld, A. Op. Cit. p. 51.</w:t>
      </w:r>
    </w:p>
  </w:footnote>
  <w:footnote w:id="145">
    <w:p>
      <w:pPr>
        <w:pStyle w:val="Notaderodap"/>
        <w:jc w:val="both"/>
        <w:rPr/>
      </w:pPr>
      <w:r>
        <w:rPr>
          <w:rStyle w:val="Caracteresdenotaderodap"/>
        </w:rPr>
        <w:footnoteRef/>
      </w:r>
      <w:r>
        <w:rPr/>
        <w:t xml:space="preserve"> </w:t>
      </w:r>
      <w:r>
        <w:rPr/>
        <w:t xml:space="preserve">As imagens foram retiradas do </w:t>
      </w:r>
      <w:r>
        <w:rPr>
          <w:color w:val="000000"/>
        </w:rPr>
        <w:t xml:space="preserve">endereço </w:t>
      </w:r>
      <w:hyperlink r:id="rId1">
        <w:r>
          <w:rPr>
            <w:rStyle w:val="LinkdaInternet"/>
            <w:color w:val="000000"/>
            <w:u w:val="none"/>
          </w:rPr>
          <w:t>http://www.cinesonido.com/imagenes/predecesores_del_cine. 01/09/20</w:t>
        </w:r>
      </w:hyperlink>
      <w:r>
        <w:rPr>
          <w:color w:val="000000"/>
        </w:rPr>
        <w:t xml:space="preserve">15 </w:t>
      </w:r>
      <w:r>
        <w:rPr/>
        <w:t>às 19h00.</w:t>
      </w:r>
    </w:p>
  </w:footnote>
  <w:footnote w:id="146">
    <w:p>
      <w:pPr>
        <w:pStyle w:val="Notaderodap"/>
        <w:jc w:val="both"/>
        <w:rPr/>
      </w:pPr>
      <w:r>
        <w:rPr>
          <w:rStyle w:val="Caracteresdenotaderodap"/>
        </w:rPr>
        <w:footnoteRef/>
      </w:r>
      <w:r>
        <w:rPr/>
        <w:t xml:space="preserve"> </w:t>
      </w:r>
      <w:r>
        <w:rPr/>
        <w:t xml:space="preserve">Imagens 3, 4, 5 e 6 retiradas do endereço </w:t>
      </w:r>
      <w:hyperlink r:id="rId2">
        <w:r>
          <w:rPr>
            <w:rStyle w:val="LinkdaInternet"/>
            <w:color w:val="000000"/>
            <w:u w:val="none"/>
          </w:rPr>
          <w:t>http://www.cinematografo.com.br</w:t>
        </w:r>
      </w:hyperlink>
      <w:r>
        <w:rPr/>
        <w:t xml:space="preserve">. 05/08/2009 às 21h15min. </w:t>
      </w:r>
    </w:p>
  </w:footnote>
  <w:footnote w:id="147">
    <w:p>
      <w:pPr>
        <w:pStyle w:val="Notaderodap"/>
        <w:jc w:val="both"/>
        <w:rPr/>
      </w:pPr>
      <w:r>
        <w:rPr>
          <w:rStyle w:val="Caracteresdenotaderodap"/>
        </w:rPr>
        <w:footnoteRef/>
      </w:r>
      <w:r>
        <w:rPr/>
        <w:t xml:space="preserve"> </w:t>
      </w:r>
      <w:r>
        <w:rPr/>
        <w:t xml:space="preserve">Chama-se persistência retiniana a propriedade que o nervo ótico possui de ‘reter’ durante segundos imagens de objetos após o estímulo, garantindo assim a ilusão de movimento das imagens, que na verdade se apresentam de forma discreta. No entanto, Jacques Aumont em seu livro ‘A imagem’ questiona que o percepto cinematográfico seja efeito da persistência retiniana e sim do efeito-phi e do mascaramento visual. O efeito-phi se constitui como um intervalo negro entre a projeção entre fotogramas, fazendo com que se atenue a imagem persistente. Em um exame mais detalhado percebemos que o efeito-phi assume quase que a condição de complementar a teoria da persistência retiniana no intuito de explicar a ilusão do movimento.    </w:t>
      </w:r>
    </w:p>
  </w:footnote>
  <w:footnote w:id="148">
    <w:p>
      <w:pPr>
        <w:pStyle w:val="Notaderodap"/>
        <w:jc w:val="both"/>
        <w:rPr/>
      </w:pPr>
      <w:r>
        <w:rPr>
          <w:rStyle w:val="Caracteresdenotaderodap"/>
        </w:rPr>
        <w:footnoteRef/>
      </w:r>
      <w:r>
        <w:rPr>
          <w:lang w:val="en-US"/>
        </w:rPr>
        <w:t xml:space="preserve"> </w:t>
      </w:r>
      <w:r>
        <w:rPr>
          <w:lang w:val="en-US"/>
        </w:rPr>
        <w:t>Rosenfeld, A. Op. Cit. p. 56.</w:t>
      </w:r>
    </w:p>
  </w:footnote>
  <w:footnote w:id="149">
    <w:p>
      <w:pPr>
        <w:pStyle w:val="Normal"/>
        <w:jc w:val="both"/>
        <w:rPr/>
      </w:pPr>
      <w:r>
        <w:rPr>
          <w:rStyle w:val="Caracteresdenotaderodap"/>
        </w:rPr>
        <w:footnoteRef/>
      </w:r>
      <w:r>
        <w:rPr>
          <w:sz w:val="20"/>
          <w:szCs w:val="20"/>
        </w:rPr>
        <w:t xml:space="preserve"> </w:t>
      </w:r>
      <w:r>
        <w:rPr>
          <w:sz w:val="20"/>
          <w:szCs w:val="20"/>
        </w:rPr>
        <w:t xml:space="preserve">Crary, J. A visão que se desprende: Manet e o observador atento no fim do século XIX. In: Charney, L.; Schwartz, V. R. (orgs.). O cinema e a invenção da vida moderna. São Paulo: Cosac&amp;Naify, 2004. (pp. 67-94).   </w:t>
      </w:r>
    </w:p>
  </w:footnote>
  <w:footnote w:id="150">
    <w:p>
      <w:pPr>
        <w:pStyle w:val="Notaderodap"/>
        <w:jc w:val="both"/>
        <w:rPr/>
      </w:pPr>
      <w:r>
        <w:rPr>
          <w:rStyle w:val="Caracteresdenotaderodap"/>
        </w:rPr>
        <w:footnoteRef/>
      </w:r>
      <w:r>
        <w:rPr/>
        <w:t xml:space="preserve"> </w:t>
      </w:r>
      <w:r>
        <w:rPr/>
        <w:t xml:space="preserve">Foucault, em seu exame da questão disciplinar na sociedade moderna constata que a singularidade se configura em um desvio do individuo frente à norma. Dessa maneira foram desenvolvidos mecanismos e dispositivos de vigilância que pudessem servir de correção aos desvios, capazes de interiorizar a culpa no indivíduo. O panóptico, de </w:t>
      </w:r>
      <w:hyperlink r:id="rId3">
        <w:r>
          <w:rPr>
            <w:rStyle w:val="LinkdaInternet"/>
            <w:color w:val="000000"/>
            <w:u w:val="none"/>
          </w:rPr>
          <w:t>Jeremy Bentham</w:t>
        </w:r>
      </w:hyperlink>
      <w:r>
        <w:rPr>
          <w:color w:val="000000"/>
        </w:rPr>
        <w:t>,</w:t>
      </w:r>
      <w:r>
        <w:rPr/>
        <w:t xml:space="preserve"> é um mecanismo arquitetural, utilizado para o domínio da distribuição de corpos em diversificadas superfícies (prisões, manicômios, escolas, fábricas) e funciona da seguinte maneira.</w:t>
      </w:r>
      <w:r>
        <w:rPr>
          <w:color w:val="333399"/>
          <w:sz w:val="27"/>
          <w:szCs w:val="27"/>
        </w:rPr>
        <w:t xml:space="preserve"> </w:t>
      </w:r>
      <w:r>
        <w:rPr/>
        <w:t xml:space="preserve">O Panóptico era um edifício em forma de anel, no meio do qual havia um pátio com uma torre no centro. O anel dividia-se em pequenas celas que davam tanto para o interior quanto para o exterior. Em cada uma dessas pequenas celas, havia, segundo o objetivo da instituição, uma criança aprendendo a escrever, um operário a trabalhar, um prisioneiro a ser corrigido, um louco tentando corrigir a sua loucura etc. Na torre havia um vigilante. O panoptismo corresponde à observação total, é a tomada integral por parte do poder disciplinador da vida de um indivíduo. Ele é vigiado durante todo o tempo, sem que veja o seu observador, nem que saiba em que momento está a ser vigiado.   </w:t>
      </w:r>
    </w:p>
  </w:footnote>
  <w:footnote w:id="151">
    <w:p>
      <w:pPr>
        <w:pStyle w:val="Notaderodap"/>
        <w:jc w:val="both"/>
        <w:rPr/>
      </w:pPr>
      <w:r>
        <w:rPr>
          <w:rStyle w:val="Caracteresdenotaderodap"/>
        </w:rPr>
        <w:footnoteRef/>
      </w:r>
      <w:r>
        <w:rPr>
          <w:lang w:val="en-US"/>
        </w:rPr>
        <w:t xml:space="preserve"> </w:t>
      </w:r>
      <w:r>
        <w:rPr>
          <w:lang w:val="en-US"/>
        </w:rPr>
        <w:t xml:space="preserve">Crary, J. Op. Cit. p. 69-70. </w:t>
      </w:r>
    </w:p>
  </w:footnote>
  <w:footnote w:id="152">
    <w:p>
      <w:pPr>
        <w:pStyle w:val="Notaderodap"/>
        <w:jc w:val="both"/>
        <w:rPr/>
      </w:pPr>
      <w:r>
        <w:rPr>
          <w:rStyle w:val="Caracteresdenotaderodap"/>
        </w:rPr>
        <w:footnoteRef/>
      </w:r>
      <w:r>
        <w:rPr>
          <w:lang w:val="en-US"/>
        </w:rPr>
        <w:t xml:space="preserve"> </w:t>
      </w:r>
      <w:r>
        <w:rPr>
          <w:lang w:val="en-US"/>
        </w:rPr>
        <w:t xml:space="preserve">Crary, J. Op. Cit. p. 71. </w:t>
      </w:r>
    </w:p>
  </w:footnote>
  <w:footnote w:id="153">
    <w:p>
      <w:pPr>
        <w:pStyle w:val="Notaderodap"/>
        <w:jc w:val="both"/>
        <w:rPr/>
      </w:pPr>
      <w:r>
        <w:rPr>
          <w:rStyle w:val="Caracteresdenotaderodap"/>
        </w:rPr>
        <w:footnoteRef/>
      </w:r>
      <w:r>
        <w:rPr/>
        <w:t xml:space="preserve"> </w:t>
      </w:r>
      <w:r>
        <w:rPr/>
        <w:t xml:space="preserve">Wundt, W. </w:t>
      </w:r>
      <w:r>
        <w:rPr>
          <w:b/>
          <w:i/>
        </w:rPr>
        <w:t>Elementos de Psicologia de los pueblos: Bosquejo uma historia de la evolución psicológica de la humanidad</w:t>
      </w:r>
      <w:r>
        <w:rPr/>
        <w:t>. Madrid: Daniel Jorro, 1926.</w:t>
      </w:r>
    </w:p>
  </w:footnote>
  <w:footnote w:id="154">
    <w:p>
      <w:pPr>
        <w:pStyle w:val="Notaderodap"/>
        <w:jc w:val="both"/>
        <w:rPr/>
      </w:pPr>
      <w:r>
        <w:rPr>
          <w:rStyle w:val="Caracteresdenotaderodap"/>
        </w:rPr>
        <w:footnoteRef/>
      </w:r>
      <w:r>
        <w:rPr/>
        <w:t xml:space="preserve"> </w:t>
      </w:r>
      <w:r>
        <w:rPr/>
        <w:t xml:space="preserve">Crary, J. Op. Cit. p. 72. </w:t>
      </w:r>
    </w:p>
  </w:footnote>
  <w:footnote w:id="155">
    <w:p>
      <w:pPr>
        <w:pStyle w:val="Notaderodap"/>
        <w:jc w:val="both"/>
        <w:rPr/>
      </w:pPr>
      <w:r>
        <w:rPr>
          <w:rStyle w:val="Caracteresdenotaderodap"/>
        </w:rPr>
        <w:footnoteRef/>
      </w:r>
      <w:r>
        <w:rPr/>
        <w:t xml:space="preserve"> </w:t>
      </w:r>
      <w:r>
        <w:rPr/>
        <w:t xml:space="preserve">Singer, B. </w:t>
      </w:r>
      <w:r>
        <w:rPr>
          <w:b/>
          <w:i/>
        </w:rPr>
        <w:t>Modernidade, hiperestímulo e o início do sensacionalismo popular</w:t>
      </w:r>
      <w:r>
        <w:rPr/>
        <w:t xml:space="preserve">. In: Charney, L. ; Schwartz, V. R. (orgs.). </w:t>
      </w:r>
      <w:r>
        <w:rPr>
          <w:b/>
          <w:i/>
        </w:rPr>
        <w:t>O cinema e a invenção da vida moderna</w:t>
      </w:r>
      <w:r>
        <w:rPr/>
        <w:t xml:space="preserve">. São Paulo: Cosac&amp;Naify, 2004. (pp. 95-123).  </w:t>
      </w:r>
    </w:p>
  </w:footnote>
  <w:footnote w:id="156">
    <w:p>
      <w:pPr>
        <w:pStyle w:val="Notaderodap"/>
        <w:jc w:val="both"/>
        <w:rPr/>
      </w:pPr>
      <w:r>
        <w:rPr>
          <w:rStyle w:val="Caracteresdenotaderodap"/>
        </w:rPr>
        <w:footnoteRef/>
      </w:r>
      <w:r>
        <w:rPr/>
        <w:t xml:space="preserve"> </w:t>
      </w:r>
      <w:r>
        <w:rPr/>
        <w:t xml:space="preserve">A incapacidade de reação a novos e intensos estímulos constitui a atitude Blasé, a não percepção da diferença entre as coisas como significantes caracteriza a atitude blasé, termo cunhado por George Simmel em seu artigo </w:t>
      </w:r>
      <w:r>
        <w:rPr>
          <w:i/>
        </w:rPr>
        <w:t>The metropolis and mental life</w:t>
      </w:r>
      <w:r>
        <w:rPr/>
        <w:t xml:space="preserve">, publicado originalmente em 1902. </w:t>
      </w:r>
    </w:p>
  </w:footnote>
  <w:footnote w:id="157">
    <w:p>
      <w:pPr>
        <w:pStyle w:val="Notaderodap"/>
        <w:jc w:val="both"/>
        <w:rPr/>
      </w:pPr>
      <w:r>
        <w:rPr>
          <w:rStyle w:val="Caracteresdenotaderodap"/>
        </w:rPr>
        <w:footnoteRef/>
      </w:r>
      <w:r>
        <w:rPr/>
        <w:t xml:space="preserve"> </w:t>
      </w:r>
      <w:r>
        <w:rPr/>
        <w:t xml:space="preserve">É importante notar que essa racionalidade instrumental pode ser observada em uma das vertentes do romance moderno que se formaria no século XIX, como uma das dissidências do romance gótico, a que gera o romance naturalista em que elementos são apresentados no começo da narrativa para que o protagonista, por meio da razão, desvele o emaranhado construído no início da trama, exemplo desse tipo de narrativa é o romance policial que surgiria na segunda metade do século XIX com a popularização de personagens de detetives, tais como, Sherlock Holmes de Arthur Conan Doyle, o Hercule Poirot de Agatha Christie e Auguste Dupin de Edgar Allan Poe. Outro bom exemplo desse racionalismo pode ser visto no conto de Conan Doyle </w:t>
      </w:r>
      <w:r>
        <w:rPr>
          <w:i/>
        </w:rPr>
        <w:t>Charles Augustus Milverton</w:t>
      </w:r>
      <w:r>
        <w:rPr/>
        <w:t xml:space="preserve"> em que ao ser questionado por Watson sobre a dificuldade em resolver o caso Holmes apenas responde dizendo – Tenhamos calma, resolveremos qualquer problema utilizando nosso raciocínio indutivo.      </w:t>
      </w:r>
    </w:p>
  </w:footnote>
  <w:footnote w:id="158">
    <w:p>
      <w:pPr>
        <w:pStyle w:val="Notaderodap"/>
        <w:jc w:val="both"/>
        <w:rPr/>
      </w:pPr>
      <w:r>
        <w:rPr>
          <w:rStyle w:val="Caracteresdenotaderodap"/>
        </w:rPr>
        <w:footnoteRef/>
      </w:r>
      <w:r>
        <w:rPr/>
        <w:t xml:space="preserve"> </w:t>
      </w:r>
      <w:r>
        <w:rPr/>
        <w:t xml:space="preserve">A população urbana dos Estados Unidos teve um aumento de quase quatro vezes entre os anos de 1870 e 1910, passando de pouco menos que 10 milhões para 42 milhões de habitantes. Os quilômetros de trilhos de bondes elétricos na região do Atlântico norte aumentaram de 2.952, em 1890, para 10.175, 1902. Nos Estados Unidos a cobertura férrea aumentou 178%. Ver Singer, B. Op. Cit., p. 119. </w:t>
      </w:r>
    </w:p>
  </w:footnote>
  <w:footnote w:id="159">
    <w:p>
      <w:pPr>
        <w:pStyle w:val="Notaderodap"/>
        <w:jc w:val="both"/>
        <w:rPr/>
      </w:pPr>
      <w:r>
        <w:rPr>
          <w:rStyle w:val="Caracteresdenotaderodap"/>
        </w:rPr>
        <w:footnoteRef/>
      </w:r>
      <w:r>
        <w:rPr/>
        <w:t xml:space="preserve"> </w:t>
      </w:r>
      <w:r>
        <w:rPr/>
        <w:t xml:space="preserve">Singer, B. Op. Cit. p. 98. </w:t>
      </w:r>
    </w:p>
  </w:footnote>
  <w:footnote w:id="160">
    <w:p>
      <w:pPr>
        <w:pStyle w:val="Notaderodap"/>
        <w:jc w:val="both"/>
        <w:rPr/>
      </w:pPr>
      <w:r>
        <w:rPr>
          <w:rStyle w:val="Caracteresdenotaderodap"/>
        </w:rPr>
        <w:footnoteRef/>
      </w:r>
      <w:r>
        <w:rPr/>
        <w:t xml:space="preserve"> </w:t>
      </w:r>
      <w:r>
        <w:rPr/>
        <w:t xml:space="preserve">Imagens retiradas do site </w:t>
      </w:r>
      <w:hyperlink r:id="rId4">
        <w:r>
          <w:rPr>
            <w:rStyle w:val="LinkdaInternet"/>
            <w:color w:val="000000"/>
            <w:u w:val="none"/>
          </w:rPr>
          <w:t>www.nyc-architecture.com/MID/MID-TimesSquare3 em 15/03/2010 às 16h00</w:t>
        </w:r>
      </w:hyperlink>
      <w:r>
        <w:rPr>
          <w:color w:val="000000"/>
        </w:rPr>
        <w:t xml:space="preserve">. </w:t>
      </w:r>
    </w:p>
  </w:footnote>
  <w:footnote w:id="161">
    <w:p>
      <w:pPr>
        <w:pStyle w:val="Notaderodap"/>
        <w:jc w:val="both"/>
        <w:rPr/>
      </w:pPr>
      <w:r>
        <w:rPr>
          <w:rStyle w:val="Caracteresdenotaderodap"/>
        </w:rPr>
        <w:footnoteRef/>
      </w:r>
      <w:r>
        <w:rPr/>
        <w:t xml:space="preserve"> </w:t>
      </w:r>
      <w:r>
        <w:rPr/>
        <w:t xml:space="preserve">Simmel, G. </w:t>
      </w:r>
      <w:r>
        <w:rPr>
          <w:b/>
          <w:i/>
        </w:rPr>
        <w:t>A metrópole e a vida mental</w:t>
      </w:r>
      <w:r>
        <w:rPr/>
        <w:t xml:space="preserve">. In: Velho, O. (org.) </w:t>
      </w:r>
      <w:r>
        <w:rPr>
          <w:b/>
          <w:i/>
        </w:rPr>
        <w:t>O fenômeno urbano</w:t>
      </w:r>
      <w:r>
        <w:rPr/>
        <w:t xml:space="preserve">. Rio de Janeiro: Zahar, 1979. p. 18. </w:t>
      </w:r>
    </w:p>
  </w:footnote>
  <w:footnote w:id="162">
    <w:p>
      <w:pPr>
        <w:pStyle w:val="Notaderodap"/>
        <w:jc w:val="both"/>
        <w:rPr/>
      </w:pPr>
      <w:r>
        <w:rPr>
          <w:rStyle w:val="Caracteresdenotaderodap"/>
        </w:rPr>
        <w:footnoteRef/>
      </w:r>
      <w:r>
        <w:rPr/>
        <w:t xml:space="preserve"> </w:t>
      </w:r>
      <w:r>
        <w:rPr/>
        <w:t xml:space="preserve">Ver os romances de Zola, Poe, Dickens, Dostoievski entre outros e como contraponto aos romances que são narrados nas metrópoles ver Selma Langerlof, Gide, Proust, Anatole France, Lovecraft.    </w:t>
      </w:r>
    </w:p>
  </w:footnote>
  <w:footnote w:id="163">
    <w:p>
      <w:pPr>
        <w:pStyle w:val="Notaderodap"/>
        <w:jc w:val="both"/>
        <w:rPr/>
      </w:pPr>
      <w:r>
        <w:rPr>
          <w:rStyle w:val="Caracteresdenotaderodap"/>
        </w:rPr>
        <w:footnoteRef/>
      </w:r>
      <w:r>
        <w:rPr/>
        <w:t xml:space="preserve"> </w:t>
      </w:r>
      <w:r>
        <w:rPr/>
        <w:t xml:space="preserve">O primeiro filme das chamadas sinfonias urbanas é o </w:t>
      </w:r>
      <w:hyperlink r:id="rId5">
        <w:r>
          <w:rPr>
            <w:rStyle w:val="LinkdaInternet"/>
            <w:i/>
            <w:color w:val="000000"/>
            <w:u w:val="none"/>
            <w:lang w:val="pt-PT"/>
          </w:rPr>
          <w:t>Rien que les heures</w:t>
        </w:r>
      </w:hyperlink>
      <w:r>
        <w:rPr>
          <w:lang w:val="pt-PT"/>
        </w:rPr>
        <w:t xml:space="preserve"> filmado em Paris pelo brasileiro Alberto Cavalcanti, que servirá de modelo para os filmes de Joris Ivens (1928) e o filme que talvez seja o mais famoso dos três que é o </w:t>
      </w:r>
      <w:r>
        <w:rPr>
          <w:i/>
          <w:lang w:val="pt-PT"/>
        </w:rPr>
        <w:t xml:space="preserve">Berlim – sinfonia de uma metrópole </w:t>
      </w:r>
      <w:r>
        <w:rPr>
          <w:lang w:val="pt-PT"/>
        </w:rPr>
        <w:t xml:space="preserve">de Walther Ruttmann, filme de 1927.  </w:t>
      </w:r>
      <w:r>
        <w:rPr/>
        <w:t xml:space="preserve">  </w:t>
      </w:r>
    </w:p>
  </w:footnote>
  <w:footnote w:id="164">
    <w:p>
      <w:pPr>
        <w:pStyle w:val="Notaderodap"/>
        <w:jc w:val="both"/>
        <w:rPr/>
      </w:pPr>
      <w:r>
        <w:rPr>
          <w:rStyle w:val="Caracteresdenotaderodap"/>
        </w:rPr>
        <w:footnoteRef/>
      </w:r>
      <w:r>
        <w:rPr/>
        <w:t xml:space="preserve"> </w:t>
      </w:r>
      <w:r>
        <w:rPr/>
        <w:t xml:space="preserve">Dois trabalhos importantes sobre a psicologia das multidões são, </w:t>
      </w:r>
      <w:r>
        <w:rPr>
          <w:i/>
        </w:rPr>
        <w:t xml:space="preserve">Psychologie des foules </w:t>
      </w:r>
      <w:r>
        <w:rPr/>
        <w:t xml:space="preserve">(1895), de Gustave Le Bon, e </w:t>
      </w:r>
      <w:r>
        <w:rPr>
          <w:i/>
        </w:rPr>
        <w:t xml:space="preserve">Opinion and the Crowd </w:t>
      </w:r>
      <w:r>
        <w:rPr/>
        <w:t xml:space="preserve">(1901), de Gabriel Tarde.  </w:t>
      </w:r>
    </w:p>
  </w:footnote>
  <w:footnote w:id="165">
    <w:p>
      <w:pPr>
        <w:pStyle w:val="Notaderodap"/>
        <w:jc w:val="both"/>
        <w:rPr/>
      </w:pPr>
      <w:r>
        <w:rPr>
          <w:rStyle w:val="Caracteresdenotaderodap"/>
        </w:rPr>
        <w:footnoteRef/>
      </w:r>
      <w:r>
        <w:rPr/>
        <w:t xml:space="preserve"> </w:t>
      </w:r>
      <w:r>
        <w:rPr/>
        <w:t xml:space="preserve">A principal obra de Munsterberg (1863-1916) sobre sua teoria do cinema é </w:t>
      </w:r>
      <w:r>
        <w:rPr>
          <w:i/>
          <w:iCs/>
        </w:rPr>
        <w:t>The Film: A psychological study</w:t>
      </w:r>
      <w:r>
        <w:rPr/>
        <w:t xml:space="preserve">. Encontram-se capítulos da obra traduzidos na antologia </w:t>
      </w:r>
      <w:r>
        <w:rPr>
          <w:i/>
          <w:iCs/>
        </w:rPr>
        <w:t>A experiência do cinema</w:t>
      </w:r>
      <w:r>
        <w:rPr/>
        <w:t xml:space="preserve">, organizada por Ismail Xavier e publicada pela editora Graal. Dudley J. Andrew analisa a teoria de Munsterberg no primeiro capítulo de seu livro </w:t>
      </w:r>
      <w:r>
        <w:rPr>
          <w:i/>
          <w:iCs/>
        </w:rPr>
        <w:t>As principais teorias do cinema: uma introdução</w:t>
      </w:r>
      <w:r>
        <w:rPr/>
        <w:t xml:space="preserve">. Publicado pela Jorge Zahar.     </w:t>
      </w:r>
    </w:p>
  </w:footnote>
  <w:footnote w:id="166">
    <w:p>
      <w:pPr>
        <w:pStyle w:val="Notaderodap"/>
        <w:jc w:val="both"/>
        <w:rPr/>
      </w:pPr>
      <w:r>
        <w:rPr>
          <w:rStyle w:val="Caracteresdenotaderodap"/>
        </w:rPr>
        <w:footnoteRef/>
      </w:r>
      <w:r>
        <w:rPr/>
        <w:t xml:space="preserve"> </w:t>
      </w:r>
      <w:r>
        <w:rPr/>
        <w:t xml:space="preserve">A afirmação de que a fotografia ou outro aparelho que fizesse o registro de um momento, ao fazê-lo capta a realidade possui sérias implicações filosóficas e mesmo epistemológicas, que implicaria uma discussão prévia sobre o que garante estatuto ontológico a noção de realidade usada aqui e objetividade no acesso a realidade, supondo sua existência externa ao sujeito. Tal debate vai além das intenções desse ensaio, portanto, utilizo a expressão captar a realidade em seu sentido mais simples, ou seja, o registro de um evento que ocorreu independente daqueles que o presenciaram.   </w:t>
      </w:r>
    </w:p>
  </w:footnote>
  <w:footnote w:id="167">
    <w:p>
      <w:pPr>
        <w:pStyle w:val="Notaderodap"/>
        <w:jc w:val="both"/>
        <w:rPr/>
      </w:pPr>
      <w:r>
        <w:rPr>
          <w:rStyle w:val="Caracteresdenotaderodap"/>
        </w:rPr>
        <w:footnoteRef/>
      </w:r>
      <w:r>
        <w:rPr/>
        <w:t xml:space="preserve"> </w:t>
      </w:r>
      <w:r>
        <w:rPr/>
        <w:t xml:space="preserve">Xavier, I (Org.). </w:t>
      </w:r>
      <w:r>
        <w:rPr>
          <w:b/>
          <w:bCs/>
          <w:i/>
          <w:iCs/>
        </w:rPr>
        <w:t>A experiência do cinema: antologia.</w:t>
      </w:r>
      <w:r>
        <w:rPr/>
        <w:t xml:space="preserve"> Rio de Janeiro: Graal, 1983. p. 25.   </w:t>
      </w:r>
    </w:p>
  </w:footnote>
  <w:footnote w:id="168">
    <w:p>
      <w:pPr>
        <w:pStyle w:val="Notaderodap"/>
        <w:jc w:val="both"/>
        <w:rPr>
          <w:lang w:val="en-US"/>
        </w:rPr>
      </w:pPr>
      <w:r>
        <w:rPr>
          <w:rStyle w:val="Caracteresdenotaderodap"/>
        </w:rPr>
        <w:footnoteRef/>
      </w:r>
      <w:r>
        <w:rPr>
          <w:lang w:val="en-US"/>
        </w:rPr>
        <w:t xml:space="preserve"> </w:t>
      </w:r>
      <w:r>
        <w:rPr>
          <w:lang w:val="en-US"/>
        </w:rPr>
        <w:t xml:space="preserve">Munsterberg, H. </w:t>
      </w:r>
      <w:r>
        <w:rPr>
          <w:b/>
          <w:bCs/>
          <w:i/>
          <w:iCs/>
          <w:lang w:val="en-US"/>
        </w:rPr>
        <w:t>The film: A psychological study</w:t>
      </w:r>
      <w:r>
        <w:rPr>
          <w:lang w:val="en-US"/>
        </w:rPr>
        <w:t>. USA: Dover publications, 2004.</w:t>
      </w:r>
    </w:p>
  </w:footnote>
  <w:footnote w:id="169">
    <w:p>
      <w:pPr>
        <w:pStyle w:val="Notaderodap"/>
        <w:jc w:val="both"/>
        <w:rPr/>
      </w:pPr>
      <w:r>
        <w:rPr>
          <w:rStyle w:val="Caracteresdenotaderodap"/>
        </w:rPr>
        <w:footnoteRef/>
      </w:r>
      <w:r>
        <w:rPr>
          <w:lang w:val="en-US"/>
        </w:rPr>
        <w:t xml:space="preserve"> </w:t>
      </w:r>
      <w:r>
        <w:rPr>
          <w:lang w:val="en-US"/>
        </w:rPr>
        <w:t>Munsterberg, H. Op. Cit. p. 34.</w:t>
      </w:r>
    </w:p>
  </w:footnote>
  <w:footnote w:id="170">
    <w:p>
      <w:pPr>
        <w:pStyle w:val="Notaderodap"/>
        <w:jc w:val="both"/>
        <w:rPr/>
      </w:pPr>
      <w:r>
        <w:rPr>
          <w:rStyle w:val="Caracteresdenotaderodap"/>
        </w:rPr>
        <w:footnoteRef/>
      </w:r>
      <w:r>
        <w:rPr>
          <w:lang w:val="en-US"/>
        </w:rPr>
        <w:t xml:space="preserve"> </w:t>
      </w:r>
      <w:r>
        <w:rPr>
          <w:lang w:val="en-US"/>
        </w:rPr>
        <w:t>Munsterberg, H. Op. Cit. p. 37.</w:t>
      </w:r>
    </w:p>
  </w:footnote>
  <w:footnote w:id="171">
    <w:p>
      <w:pPr>
        <w:pStyle w:val="Notaderodap"/>
        <w:rPr/>
      </w:pPr>
      <w:r>
        <w:rPr>
          <w:rStyle w:val="Caracteresdenotaderodap"/>
        </w:rPr>
        <w:footnoteRef/>
      </w:r>
      <w:r>
        <w:rPr>
          <w:lang w:val="en-US"/>
        </w:rPr>
        <w:t xml:space="preserve"> </w:t>
      </w:r>
      <w:r>
        <w:rPr>
          <w:lang w:val="en-US"/>
        </w:rPr>
        <w:t>Munsterberg, H. Op. Cit. p. 41.</w:t>
      </w:r>
    </w:p>
  </w:footnote>
  <w:footnote w:id="172">
    <w:p>
      <w:pPr>
        <w:pStyle w:val="Notaderodap"/>
        <w:jc w:val="both"/>
        <w:rPr/>
      </w:pPr>
      <w:r>
        <w:rPr>
          <w:rStyle w:val="Caracteresdenotaderodap"/>
        </w:rPr>
        <w:footnoteRef/>
      </w:r>
      <w:r>
        <w:rPr/>
        <w:t xml:space="preserve"> </w:t>
      </w:r>
      <w:r>
        <w:rPr>
          <w:lang w:val="en-US"/>
        </w:rPr>
        <w:t xml:space="preserve">Shepherd, G. M. </w:t>
      </w:r>
      <w:r>
        <w:rPr>
          <w:b/>
          <w:i/>
          <w:lang w:val="en-US"/>
        </w:rPr>
        <w:t>Foundations of the neuron doctrine</w:t>
      </w:r>
      <w:r>
        <w:rPr>
          <w:lang w:val="en-US"/>
        </w:rPr>
        <w:t>. New York: Oxford University Press, 1991</w:t>
      </w:r>
    </w:p>
  </w:footnote>
  <w:footnote w:id="173">
    <w:p>
      <w:pPr>
        <w:pStyle w:val="Notaderodap"/>
        <w:jc w:val="both"/>
        <w:rPr/>
      </w:pPr>
      <w:r>
        <w:rPr>
          <w:rStyle w:val="Caracteresdenotaderodap"/>
        </w:rPr>
        <w:footnoteRef/>
      </w:r>
      <w:r>
        <w:rPr/>
        <w:t xml:space="preserve"> </w:t>
      </w:r>
      <w:r>
        <w:rPr/>
        <w:t xml:space="preserve">Para um estudo histórico mais amplo sobre o tema sugiro a obra de Franklin Fearing (1930). </w:t>
      </w:r>
      <w:r>
        <w:rPr>
          <w:b/>
          <w:i/>
          <w:lang w:val="en-US"/>
        </w:rPr>
        <w:t>Reflex Action: A study in the history of physiological psychology</w:t>
      </w:r>
      <w:r>
        <w:rPr>
          <w:lang w:val="en-US"/>
        </w:rPr>
        <w:t xml:space="preserve">. </w:t>
      </w:r>
      <w:r>
        <w:rPr/>
        <w:t xml:space="preserve">Já a formação do conceito de reflexo na ciência moderna farei alusão, quando não às fontes primárias, aos trabalhos de Canguilhem, 1955; 2000; 2012.  </w:t>
      </w:r>
    </w:p>
  </w:footnote>
  <w:footnote w:id="174">
    <w:p>
      <w:pPr>
        <w:pStyle w:val="Notaderodap"/>
        <w:jc w:val="both"/>
        <w:rPr>
          <w:lang w:val="en-US"/>
        </w:rPr>
      </w:pPr>
      <w:r>
        <w:rPr>
          <w:rStyle w:val="Caracteresdenotaderodap"/>
        </w:rPr>
        <w:footnoteRef/>
      </w:r>
      <w:r>
        <w:rPr>
          <w:lang w:val="en-US"/>
        </w:rPr>
        <w:t xml:space="preserve"> </w:t>
      </w:r>
      <w:r>
        <w:rPr>
          <w:lang w:val="en-US"/>
        </w:rPr>
        <w:t xml:space="preserve">Harvey, W. </w:t>
      </w:r>
      <w:r>
        <w:rPr>
          <w:b/>
          <w:i/>
          <w:lang w:val="en-US"/>
        </w:rPr>
        <w:t>On animal generation</w:t>
      </w:r>
      <w:r>
        <w:rPr>
          <w:lang w:val="en-US"/>
        </w:rPr>
        <w:t xml:space="preserve">. In: </w:t>
      </w:r>
      <w:r>
        <w:rPr>
          <w:b/>
          <w:i/>
          <w:lang w:val="en-US"/>
        </w:rPr>
        <w:t>The works of William Harvey</w:t>
      </w:r>
      <w:r>
        <w:rPr>
          <w:lang w:val="en-US"/>
        </w:rPr>
        <w:t>. London: Sydenham Society, 1817. (pp. 169-520).</w:t>
      </w:r>
    </w:p>
  </w:footnote>
  <w:footnote w:id="175">
    <w:p>
      <w:pPr>
        <w:pStyle w:val="Notaderodap"/>
        <w:jc w:val="both"/>
        <w:rPr>
          <w:lang w:val="en-US"/>
        </w:rPr>
      </w:pPr>
      <w:r>
        <w:rPr>
          <w:rStyle w:val="Caracteresdenotaderodap"/>
        </w:rPr>
        <w:footnoteRef/>
      </w:r>
      <w:r>
        <w:rPr>
          <w:lang w:val="en-US"/>
        </w:rPr>
        <w:t xml:space="preserve"> </w:t>
      </w:r>
      <w:r>
        <w:rPr>
          <w:bCs/>
          <w:lang w:val="en-US"/>
        </w:rPr>
        <w:t xml:space="preserve">Whytt Apud Boring &amp; Herrnstein, 1971 [1751], p. 348. </w:t>
      </w:r>
    </w:p>
  </w:footnote>
  <w:footnote w:id="176">
    <w:p>
      <w:pPr>
        <w:pStyle w:val="Notaderodap"/>
        <w:jc w:val="both"/>
        <w:rPr/>
      </w:pPr>
      <w:r>
        <w:rPr>
          <w:rStyle w:val="Caracteresdenotaderodap"/>
        </w:rPr>
        <w:footnoteRef/>
      </w:r>
      <w:r>
        <w:rPr/>
        <w:t xml:space="preserve"> </w:t>
      </w:r>
      <w:r>
        <w:rPr/>
        <w:t xml:space="preserve">Boring &amp; Herrnstein, 1971. </w:t>
      </w:r>
    </w:p>
  </w:footnote>
  <w:footnote w:id="177">
    <w:p>
      <w:pPr>
        <w:pStyle w:val="Notaderodap"/>
        <w:jc w:val="both"/>
        <w:rPr>
          <w:lang w:val="en-US"/>
        </w:rPr>
      </w:pPr>
      <w:r>
        <w:rPr>
          <w:rStyle w:val="Caracteresdenotaderodap"/>
        </w:rPr>
        <w:footnoteRef/>
      </w:r>
      <w:r>
        <w:rPr/>
        <w:t xml:space="preserve"> </w:t>
      </w:r>
      <w:r>
        <w:rPr/>
        <w:t xml:space="preserve">A noção de </w:t>
      </w:r>
      <w:r>
        <w:rPr>
          <w:i/>
        </w:rPr>
        <w:t>poder</w:t>
      </w:r>
      <w:r>
        <w:rPr/>
        <w:t xml:space="preserve"> pode ser considerada em relação de sinonímia com o conceito de força física. Em outros autores (Haller, Prochaska e mesmo Darwin em seu livro </w:t>
      </w:r>
      <w:r>
        <w:rPr>
          <w:i/>
        </w:rPr>
        <w:t>A expressão das emoções no homem e nos animais</w:t>
      </w:r>
      <w:r>
        <w:rPr/>
        <w:t xml:space="preserve">) aparece o termo </w:t>
      </w:r>
      <w:r>
        <w:rPr>
          <w:i/>
        </w:rPr>
        <w:t>força nervosa</w:t>
      </w:r>
      <w:r>
        <w:rPr/>
        <w:t xml:space="preserve"> referindo-se ao mesmo arcabouço fenomênico que o descrito pela expressão </w:t>
      </w:r>
      <w:r>
        <w:rPr>
          <w:i/>
        </w:rPr>
        <w:t>poder nervoso</w:t>
      </w:r>
      <w:r>
        <w:rPr/>
        <w:t xml:space="preserve">. Para uma discussão sobre o conceito de força na Física ver a obra de Max Jammer </w:t>
      </w:r>
      <w:r>
        <w:rPr>
          <w:b/>
          <w:i/>
        </w:rPr>
        <w:t>Concepts of force: a study in the foundation of dynamics</w:t>
      </w:r>
      <w:r>
        <w:rPr/>
        <w:t xml:space="preserve">. </w:t>
      </w:r>
      <w:r>
        <w:rPr>
          <w:lang w:val="en-US"/>
        </w:rPr>
        <w:t>New York: Dover Publications, 1999.</w:t>
      </w:r>
      <w:r>
        <w:rPr>
          <w:sz w:val="22"/>
          <w:szCs w:val="22"/>
          <w:lang w:val="en-US"/>
        </w:rPr>
        <w:t xml:space="preserve">    </w:t>
      </w:r>
    </w:p>
  </w:footnote>
  <w:footnote w:id="178">
    <w:p>
      <w:pPr>
        <w:pStyle w:val="Notaderodap"/>
        <w:jc w:val="both"/>
        <w:rPr>
          <w:lang w:val="en-US"/>
        </w:rPr>
      </w:pPr>
      <w:r>
        <w:rPr>
          <w:rStyle w:val="Caracteresdenotaderodap"/>
        </w:rPr>
        <w:footnoteRef/>
      </w:r>
      <w:r>
        <w:rPr>
          <w:lang w:val="en-US"/>
        </w:rPr>
        <w:t xml:space="preserve"> </w:t>
      </w:r>
      <w:r>
        <w:rPr>
          <w:bCs/>
          <w:lang w:val="en-US"/>
        </w:rPr>
        <w:t xml:space="preserve">Hartley Apud Boring &amp; Herrnstein, 1971 [1749], p. 342. </w:t>
      </w:r>
    </w:p>
  </w:footnote>
  <w:footnote w:id="179">
    <w:p>
      <w:pPr>
        <w:pStyle w:val="Notaderodap"/>
        <w:rPr/>
      </w:pPr>
      <w:r>
        <w:rPr>
          <w:rStyle w:val="Caracteresdenotaderodap"/>
        </w:rPr>
        <w:footnoteRef/>
      </w:r>
      <w:r>
        <w:rPr>
          <w:lang w:val="en-US"/>
        </w:rPr>
        <w:t xml:space="preserve"> </w:t>
      </w:r>
      <w:r>
        <w:rPr>
          <w:lang w:val="en-US"/>
        </w:rPr>
        <w:t xml:space="preserve">Carlson &amp; Simpson, 1969. </w:t>
      </w:r>
    </w:p>
  </w:footnote>
  <w:footnote w:id="180">
    <w:p>
      <w:pPr>
        <w:pStyle w:val="Notaderodap"/>
        <w:jc w:val="both"/>
        <w:rPr/>
      </w:pPr>
      <w:r>
        <w:rPr>
          <w:rStyle w:val="Caracteresdenotaderodap"/>
        </w:rPr>
        <w:footnoteRef/>
      </w:r>
      <w:r>
        <w:rPr/>
        <w:t xml:space="preserve"> </w:t>
      </w:r>
      <w:r>
        <w:rPr/>
        <w:t xml:space="preserve">A principal obra de Hartley em que está exposta toda sua teoria é a </w:t>
      </w:r>
      <w:r>
        <w:rPr>
          <w:b/>
          <w:i/>
        </w:rPr>
        <w:t>Observations on man, his frame, his duty, and his expectations</w:t>
      </w:r>
      <w:r>
        <w:rPr/>
        <w:t xml:space="preserve"> publicada originalmente em 1749. Há uma edição de 1791 (New York: Johnson &amp; Church-yard, 1791) dividida em três volumes, sendo que a obra original divide-se em duas partes. Utilizei nesse exame uma edição de 1801 publicada pelos mesmos editores de 1791 em volume único. Há trechos da primeira parte reunidas em Boring &amp; Herrnstein (1971) que se referem especificamente à explicação do movimento voluntário e involuntário pelo princípio de associação.  </w:t>
      </w:r>
      <w:r>
        <w:rPr>
          <w:sz w:val="22"/>
          <w:szCs w:val="22"/>
        </w:rPr>
        <w:t xml:space="preserve"> </w:t>
      </w:r>
    </w:p>
  </w:footnote>
  <w:footnote w:id="181">
    <w:p>
      <w:pPr>
        <w:pStyle w:val="Notaderodap"/>
        <w:jc w:val="both"/>
        <w:rPr/>
      </w:pPr>
      <w:r>
        <w:rPr>
          <w:rStyle w:val="Caracteresdenotaderodap"/>
        </w:rPr>
        <w:footnoteRef/>
      </w:r>
      <w:r>
        <w:rPr>
          <w:lang w:val="en-US"/>
        </w:rPr>
        <w:t xml:space="preserve"> </w:t>
      </w:r>
      <w:r>
        <w:rPr>
          <w:lang w:val="en-US"/>
        </w:rPr>
        <w:t xml:space="preserve">Boring, 1929. </w:t>
      </w:r>
    </w:p>
  </w:footnote>
  <w:footnote w:id="182">
    <w:p>
      <w:pPr>
        <w:pStyle w:val="Notaderodap"/>
        <w:jc w:val="both"/>
        <w:rPr/>
      </w:pPr>
      <w:r>
        <w:rPr>
          <w:rStyle w:val="Caracteresdenotaderodap"/>
        </w:rPr>
        <w:footnoteRef/>
      </w:r>
      <w:r>
        <w:rPr>
          <w:lang w:val="en-US"/>
        </w:rPr>
        <w:t xml:space="preserve"> </w:t>
      </w:r>
      <w:r>
        <w:rPr>
          <w:bCs/>
          <w:lang w:val="en-US"/>
        </w:rPr>
        <w:t xml:space="preserve">Hartley Apud Boring &amp; Herrnstein, 1971 [1749], p. 429. </w:t>
      </w:r>
      <w:r>
        <w:rPr>
          <w:lang w:val="en-US"/>
        </w:rPr>
        <w:t xml:space="preserve"> </w:t>
      </w:r>
    </w:p>
  </w:footnote>
  <w:footnote w:id="183">
    <w:p>
      <w:pPr>
        <w:pStyle w:val="Notaderodap"/>
        <w:jc w:val="both"/>
        <w:rPr/>
      </w:pPr>
      <w:r>
        <w:rPr>
          <w:rStyle w:val="Caracteresdenotaderodap"/>
        </w:rPr>
        <w:footnoteRef/>
      </w:r>
      <w:r>
        <w:rPr>
          <w:lang w:val="en-US"/>
        </w:rPr>
        <w:t xml:space="preserve"> </w:t>
      </w:r>
      <w:r>
        <w:rPr>
          <w:lang w:val="en-US"/>
        </w:rPr>
        <w:t xml:space="preserve">Hartley, 1801. </w:t>
      </w:r>
    </w:p>
  </w:footnote>
  <w:footnote w:id="184">
    <w:p>
      <w:pPr>
        <w:pStyle w:val="Notaderodap"/>
        <w:jc w:val="both"/>
        <w:rPr/>
      </w:pPr>
      <w:r>
        <w:rPr>
          <w:rStyle w:val="Caracteresdenotaderodap"/>
        </w:rPr>
        <w:footnoteRef/>
      </w:r>
      <w:r>
        <w:rPr/>
        <w:t xml:space="preserve"> </w:t>
      </w:r>
      <w:r>
        <w:rPr/>
        <w:t xml:space="preserve">Esse é um ponto importante, pois, a condição primária dos movimentos involuntários será considerada como a estrutura matriz, no caso do arco reflexo, de todos os outros movimentos. Os autores examinados mais à frente (Hall, Sechenov e Ramón y Cajal) manterão e ampliarão essa ideia. </w:t>
      </w:r>
    </w:p>
  </w:footnote>
  <w:footnote w:id="185">
    <w:p>
      <w:pPr>
        <w:pStyle w:val="Notaderodap"/>
        <w:jc w:val="both"/>
        <w:rPr/>
      </w:pPr>
      <w:r>
        <w:rPr>
          <w:rStyle w:val="Caracteresdenotaderodap"/>
        </w:rPr>
        <w:footnoteRef/>
      </w:r>
      <w:r>
        <w:rPr/>
        <w:t xml:space="preserve"> </w:t>
      </w:r>
      <w:r>
        <w:rPr/>
        <w:t xml:space="preserve">Canguilhem defende que o século XIX não contribuiu na conceitualização do reflexo, mas apenas retificou o conceito criado por Thomas Willis (Canguilhem, 1955). Defendo que, mesmo não apresentando algo novo para o conceito de reflexo, é no século XIX, principalmente a partir dos trabalhos de Marshall Hall (1790-1857), que o conceito de reflexo deixa de ser apenas mais um dos fenômenos fisiológicos associados ao movimento e assume o estatuto de princípio biológico (Clarke &amp; Jacyna, 1987).      </w:t>
      </w:r>
    </w:p>
  </w:footnote>
  <w:footnote w:id="186">
    <w:p>
      <w:pPr>
        <w:pStyle w:val="Notaderodap"/>
        <w:jc w:val="both"/>
        <w:rPr/>
      </w:pPr>
      <w:r>
        <w:rPr>
          <w:rStyle w:val="Caracteresdenotaderodap"/>
        </w:rPr>
        <w:footnoteRef/>
      </w:r>
      <w:r>
        <w:rPr/>
        <w:t xml:space="preserve"> </w:t>
      </w:r>
      <w:r>
        <w:rPr/>
        <w:t xml:space="preserve">Os resultados do trabalho de Prochaska encontram-se na dissertação </w:t>
      </w:r>
      <w:r>
        <w:rPr>
          <w:b/>
          <w:i/>
        </w:rPr>
        <w:t>On the functions of the nervous system</w:t>
      </w:r>
      <w:r>
        <w:rPr/>
        <w:t xml:space="preserve">. A obra consultada aqui foi publicada em 1851 em Londres pela Sydenham Society em conjunto com </w:t>
      </w:r>
      <w:r>
        <w:rPr>
          <w:b/>
          <w:i/>
        </w:rPr>
        <w:t>The principles of physiology</w:t>
      </w:r>
      <w:r>
        <w:rPr/>
        <w:t xml:space="preserve"> de John Augustus Unzer. </w:t>
      </w:r>
    </w:p>
  </w:footnote>
  <w:footnote w:id="187">
    <w:p>
      <w:pPr>
        <w:pStyle w:val="Notaderodap"/>
        <w:tabs>
          <w:tab w:val="clear" w:pos="708"/>
          <w:tab w:val="left" w:pos="720" w:leader="none"/>
        </w:tabs>
        <w:jc w:val="both"/>
        <w:rPr/>
      </w:pPr>
      <w:r>
        <w:rPr>
          <w:rStyle w:val="Caracteresdenotaderodap"/>
        </w:rPr>
        <w:footnoteRef/>
      </w:r>
      <w:r>
        <w:rPr/>
        <w:t xml:space="preserve"> </w:t>
      </w:r>
      <w:r>
        <w:rPr/>
        <w:t xml:space="preserve">Por princípio isomórfico entendo que a intensidade equivalente de dado estímulo se expressa na resposta motora seguida. O princípio isomórfico é um princípio psicofisiológico, não constitui uma escola de pensamento da Psicologia, apesar de ser tratado separadamente em alguns manuais de Psicologia dando impressão de um sistema independente. Na segunda metade do século XIX apareceram alguns trabalhos organizando e justificando esse princípio, em Prochaska não há tal tentativa. Para interesse em alguns desses trabalhos de sistematização do princípio de isomorfismo recomendo a leitura de: Ewald Hering, </w:t>
      </w:r>
      <w:r>
        <w:rPr>
          <w:b/>
          <w:i/>
        </w:rPr>
        <w:t>Zur Lehre vom Lichtsinne</w:t>
      </w:r>
      <w:r>
        <w:rPr/>
        <w:t xml:space="preserve"> (Wien, 1878), pp. 74-80; Georg Elias Muller, </w:t>
      </w:r>
      <w:r>
        <w:rPr>
          <w:b/>
          <w:i/>
        </w:rPr>
        <w:t>Zur Psychophysik der Gesichtsempfindungen</w:t>
      </w:r>
      <w:r>
        <w:rPr/>
        <w:t xml:space="preserve">. </w:t>
      </w:r>
      <w:r>
        <w:rPr>
          <w:lang w:val="en-US"/>
        </w:rPr>
        <w:t xml:space="preserve">Zeitschrift für Psychologie, 10, 1-4 (1896); Max Wertheimer, </w:t>
      </w:r>
      <w:r>
        <w:rPr>
          <w:b/>
          <w:i/>
          <w:lang w:val="en-US"/>
        </w:rPr>
        <w:t>Experimentelle Studien über das Sehen von Bewegung</w:t>
      </w:r>
      <w:r>
        <w:rPr>
          <w:lang w:val="en-US"/>
        </w:rPr>
        <w:t xml:space="preserve">. Zeitschrift für Psychologie, 61, 247-250 (1912); Wolfgang Köhler, </w:t>
      </w:r>
      <w:r>
        <w:rPr>
          <w:b/>
          <w:i/>
          <w:lang w:val="en-US"/>
        </w:rPr>
        <w:t>Die physische Gestalten in Ruhe und in stationären Zustand</w:t>
      </w:r>
      <w:r>
        <w:rPr>
          <w:lang w:val="en-US"/>
        </w:rPr>
        <w:t xml:space="preserve">. </w:t>
      </w:r>
      <w:r>
        <w:rPr/>
        <w:t xml:space="preserve">(Brunswick: Vieweg, 1920), pp. 189-193. Todos foram traduzidos por Don Cantor para a coletânea organizada por Boring &amp; Herrnstein, 1971.    </w:t>
      </w:r>
    </w:p>
  </w:footnote>
  <w:footnote w:id="188">
    <w:p>
      <w:pPr>
        <w:pStyle w:val="Notaderodap"/>
        <w:jc w:val="both"/>
        <w:rPr/>
      </w:pPr>
      <w:r>
        <w:rPr>
          <w:rStyle w:val="Caracteresdenotaderodap"/>
        </w:rPr>
        <w:footnoteRef/>
      </w:r>
      <w:r>
        <w:rPr/>
        <w:t xml:space="preserve"> </w:t>
      </w:r>
      <w:r>
        <w:rPr/>
        <w:t xml:space="preserve">O </w:t>
      </w:r>
      <w:r>
        <w:rPr>
          <w:i/>
        </w:rPr>
        <w:t>sensorium commune</w:t>
      </w:r>
      <w:r>
        <w:rPr/>
        <w:t xml:space="preserve"> já foi considerado para diversas regiões do sistema nervoso. Algumas mais conhecidas foram: O corpo caloso, por Bontekoe, Lancisi e De La Peyronie; os corpos estriados, por Thomas Willis; a glândula pineal por Descartes; o centro oval por Vieussens; a </w:t>
      </w:r>
      <w:r>
        <w:rPr>
          <w:i/>
        </w:rPr>
        <w:t>medulla fornicata</w:t>
      </w:r>
      <w:r>
        <w:rPr/>
        <w:t xml:space="preserve"> que cerca a cavidade dos ventrículos por Boerhaave; a medula oblonga por Mayer e Metzger. (Boring &amp; Herrnstein, 1971; Boring, 1929). </w:t>
      </w:r>
    </w:p>
  </w:footnote>
  <w:footnote w:id="189">
    <w:p>
      <w:pPr>
        <w:pStyle w:val="Notaderodap"/>
        <w:jc w:val="both"/>
        <w:rPr/>
      </w:pPr>
      <w:r>
        <w:rPr>
          <w:rStyle w:val="Caracteresdenotaderodap"/>
        </w:rPr>
        <w:footnoteRef/>
      </w:r>
      <w:r>
        <w:rPr/>
        <w:t xml:space="preserve"> </w:t>
      </w:r>
      <w:r>
        <w:rPr/>
        <w:t xml:space="preserve">Para os dados biográficos de Hall consultei duas obras principais: Manuel, D. E. </w:t>
      </w:r>
      <w:r>
        <w:rPr>
          <w:b/>
          <w:i/>
        </w:rPr>
        <w:t>Marshall Hall 1790-1857</w:t>
      </w:r>
      <w:r>
        <w:rPr/>
        <w:t xml:space="preserve">. </w:t>
      </w:r>
      <w:r>
        <w:rPr>
          <w:lang w:val="en-US"/>
        </w:rPr>
        <w:t xml:space="preserve">Amsterdam-Atlanta: Editions Rodopi, 1996; e uma biografia escrita por sua esposa Charlotte Hall, </w:t>
      </w:r>
      <w:r>
        <w:rPr>
          <w:b/>
          <w:i/>
          <w:lang w:val="en-US"/>
        </w:rPr>
        <w:t>Memoirs of Marshall Hall by his widow</w:t>
      </w:r>
      <w:r>
        <w:rPr>
          <w:lang w:val="en-US"/>
        </w:rPr>
        <w:t xml:space="preserve">. </w:t>
      </w:r>
      <w:r>
        <w:rPr/>
        <w:t xml:space="preserve">London: New Burlington Street, 1861. Na leitura da biografia escrita por Charlotte, saltei os três primeiros capítulos por se referirem à infância e adolescência de Hall e assim, por uma questão de economia de tempo, me detive nos capítulos quatro ao oitavo, que se referem especificamente ao trabalho científico do biografado. Das obras de Marshall Hall, consultei: Hall, M. Memória segunda: A verdade sobre a medula espinhal e o sistema excito-motor dos nervos. </w:t>
      </w:r>
      <w:r>
        <w:rPr>
          <w:lang w:val="en-US"/>
        </w:rPr>
        <w:t xml:space="preserve">In: </w:t>
      </w:r>
      <w:r>
        <w:rPr>
          <w:b/>
          <w:i/>
          <w:lang w:val="en-US"/>
        </w:rPr>
        <w:t>Memoirs on the nervous system</w:t>
      </w:r>
      <w:r>
        <w:rPr>
          <w:lang w:val="en-US"/>
        </w:rPr>
        <w:t xml:space="preserve">. London: Gilbert &amp; Piper, 1837. (pp. 43-108); Hall, M. O sistema cerebral, senciente ou voluntário (capítulo 1). In: </w:t>
      </w:r>
      <w:r>
        <w:rPr>
          <w:b/>
          <w:i/>
          <w:lang w:val="en-US"/>
        </w:rPr>
        <w:t>On the diseases and derangements of the nervous system</w:t>
      </w:r>
      <w:r>
        <w:rPr>
          <w:lang w:val="en-US"/>
        </w:rPr>
        <w:t xml:space="preserve">. London: Baillière, 1841. (pp. 16-38); e Hall, M. </w:t>
      </w:r>
      <w:r>
        <w:rPr>
          <w:b/>
          <w:i/>
          <w:lang w:val="en-US"/>
        </w:rPr>
        <w:t>On the reflex function of the medulla oblongata and medulla spinalis</w:t>
      </w:r>
      <w:r>
        <w:rPr>
          <w:lang w:val="en-US"/>
        </w:rPr>
        <w:t xml:space="preserve">. </w:t>
      </w:r>
      <w:r>
        <w:rPr/>
        <w:t xml:space="preserve">Philosophical Transactions of London. 1833 [1832]. (pp. 635-665). Este último trabalho encontra-se nas </w:t>
      </w:r>
      <w:r>
        <w:rPr>
          <w:i/>
        </w:rPr>
        <w:t>Memoirs on the nervous system</w:t>
      </w:r>
      <w:r>
        <w:rPr/>
        <w:t xml:space="preserve">, mas optei pela versão original, sem, no entanto, fazer qualquer cotejamento entre os dois textos.    </w:t>
      </w:r>
    </w:p>
  </w:footnote>
  <w:footnote w:id="190">
    <w:p>
      <w:pPr>
        <w:pStyle w:val="Notaderodap"/>
        <w:jc w:val="both"/>
        <w:rPr/>
      </w:pPr>
      <w:r>
        <w:rPr>
          <w:rStyle w:val="Caracteresdenotaderodap"/>
        </w:rPr>
        <w:footnoteRef/>
      </w:r>
      <w:r>
        <w:rPr/>
        <w:t xml:space="preserve"> </w:t>
      </w:r>
      <w:r>
        <w:rPr/>
        <w:t xml:space="preserve">Hall, 1837, p. 78. </w:t>
      </w:r>
    </w:p>
  </w:footnote>
  <w:footnote w:id="191">
    <w:p>
      <w:pPr>
        <w:pStyle w:val="Notaderodap"/>
        <w:jc w:val="both"/>
        <w:rPr/>
      </w:pPr>
      <w:r>
        <w:rPr>
          <w:rStyle w:val="Caracteresdenotaderodap"/>
        </w:rPr>
        <w:footnoteRef/>
      </w:r>
      <w:r>
        <w:rPr/>
        <w:t xml:space="preserve"> </w:t>
      </w:r>
      <w:r>
        <w:rPr/>
        <w:t xml:space="preserve">Charles Bell (1811) descobriu que excitando diretamente a raiz ventral da medula espinhal ocorriam convulsões nos músculos das costas e quando excitava a raiz dorsal não acontecia nada aparentemente. Bell supôs que a raiz dorsal tem função sensorial, enquanto que a raiz ventral possui função motora. Onze anos depois, François Magendie (1783-1855) publica suas </w:t>
      </w:r>
      <w:r>
        <w:rPr>
          <w:b/>
          <w:i/>
        </w:rPr>
        <w:t>Expériences sur les fonctions des racines des nerfs rachidiens</w:t>
      </w:r>
      <w:r>
        <w:rPr/>
        <w:t>, no Journal de Physiologie expérimental et pathologique, 1822; (p. 276-279). Magendie obteve os mesmos resultados que Bell, porém, seus experimentos foram mais precisos. Magendie utilizou venenos e estimulação elétrica nos nervos. “</w:t>
      </w:r>
      <w:r>
        <w:rPr>
          <w:i/>
        </w:rPr>
        <w:t>Repeti e variei tais experimentos com diferentes espécies de animais; os resultados que acabei de descrever foram verificados em todos os casos, tanto para os membros anteriores quanto para os posteriores. Estou continuando esta pesquisa. (...) Atualmente, para mim é suficiente dizer aqui, positivamente, que as raízes anteriores e posteriores dos nervos que saem da medula espinhal tem funções diferentes; que os posteriores parecem ligar-se especificamente à sensibilidade, enquanto que os anteriores parecem, sobretudo ligados ao movimento.”</w:t>
      </w:r>
      <w:r>
        <w:rPr/>
        <w:t xml:space="preserve"> Magendie, 1822.      </w:t>
      </w:r>
    </w:p>
  </w:footnote>
  <w:footnote w:id="192">
    <w:p>
      <w:pPr>
        <w:pStyle w:val="Notaderodap"/>
        <w:jc w:val="both"/>
        <w:rPr/>
      </w:pPr>
      <w:r>
        <w:rPr>
          <w:rStyle w:val="Caracteresdenotaderodap"/>
        </w:rPr>
        <w:footnoteRef/>
      </w:r>
      <w:r>
        <w:rPr/>
        <w:t xml:space="preserve"> </w:t>
      </w:r>
      <w:r>
        <w:rPr/>
        <w:t xml:space="preserve">Bell, 1964 [1811]. </w:t>
      </w:r>
    </w:p>
  </w:footnote>
  <w:footnote w:id="193">
    <w:p>
      <w:pPr>
        <w:pStyle w:val="Notaderodap"/>
        <w:jc w:val="both"/>
        <w:rPr/>
      </w:pPr>
      <w:r>
        <w:rPr>
          <w:rStyle w:val="Caracteresdenotaderodap"/>
        </w:rPr>
        <w:footnoteRef/>
      </w:r>
      <w:r>
        <w:rPr/>
        <w:t xml:space="preserve"> </w:t>
      </w:r>
      <w:r>
        <w:rPr/>
        <w:t>Hall, 1841.</w:t>
      </w:r>
    </w:p>
  </w:footnote>
  <w:footnote w:id="194">
    <w:p>
      <w:pPr>
        <w:pStyle w:val="Notaderodap"/>
        <w:jc w:val="both"/>
        <w:rPr/>
      </w:pPr>
      <w:r>
        <w:rPr>
          <w:rStyle w:val="Caracteresdenotaderodap"/>
        </w:rPr>
        <w:footnoteRef/>
      </w:r>
      <w:r>
        <w:rPr/>
        <w:t xml:space="preserve"> </w:t>
      </w:r>
      <w:r>
        <w:rPr/>
        <w:t xml:space="preserve">Sobre a formação do conceito de sistema nervoso vegetativo (autônomo) no século XIX ver o capítulo 7 de Clarke &amp; Jacyna (1987). </w:t>
      </w:r>
    </w:p>
  </w:footnote>
  <w:footnote w:id="195">
    <w:p>
      <w:pPr>
        <w:pStyle w:val="Notaderodap"/>
        <w:jc w:val="both"/>
        <w:rPr/>
      </w:pPr>
      <w:r>
        <w:rPr>
          <w:rStyle w:val="Caracteresdenotaderodap"/>
        </w:rPr>
        <w:footnoteRef/>
      </w:r>
      <w:r>
        <w:rPr>
          <w:lang w:val="en-US"/>
        </w:rPr>
        <w:t xml:space="preserve"> </w:t>
      </w:r>
      <w:r>
        <w:rPr>
          <w:lang w:val="en-US"/>
        </w:rPr>
        <w:t xml:space="preserve">Grainger, 1837. </w:t>
      </w:r>
    </w:p>
  </w:footnote>
  <w:footnote w:id="196">
    <w:p>
      <w:pPr>
        <w:pStyle w:val="Notaderodap"/>
        <w:jc w:val="both"/>
        <w:rPr/>
      </w:pPr>
      <w:r>
        <w:rPr>
          <w:rStyle w:val="Caracteresdenotaderodap"/>
        </w:rPr>
        <w:footnoteRef/>
      </w:r>
      <w:r>
        <w:rPr>
          <w:lang w:val="en-US"/>
        </w:rPr>
        <w:t xml:space="preserve"> </w:t>
      </w:r>
      <w:r>
        <w:rPr>
          <w:lang w:val="en-US"/>
        </w:rPr>
        <w:t xml:space="preserve">Clarke &amp; Jacyna, 1987. </w:t>
      </w:r>
    </w:p>
  </w:footnote>
  <w:footnote w:id="197">
    <w:p>
      <w:pPr>
        <w:pStyle w:val="Notaderodap"/>
        <w:jc w:val="both"/>
        <w:rPr/>
      </w:pPr>
      <w:r>
        <w:rPr>
          <w:rStyle w:val="Caracteresdenotaderodap"/>
        </w:rPr>
        <w:footnoteRef/>
      </w:r>
      <w:r>
        <w:rPr>
          <w:lang w:val="en-US"/>
        </w:rPr>
        <w:t xml:space="preserve"> </w:t>
      </w:r>
      <w:r>
        <w:rPr>
          <w:lang w:val="en-US"/>
        </w:rPr>
        <w:t xml:space="preserve">Sechenov, 1965. </w:t>
      </w:r>
    </w:p>
  </w:footnote>
  <w:footnote w:id="198">
    <w:p>
      <w:pPr>
        <w:pStyle w:val="Notaderodap"/>
        <w:jc w:val="both"/>
        <w:rPr/>
      </w:pPr>
      <w:r>
        <w:rPr>
          <w:rStyle w:val="Caracteresdenotaderodap"/>
        </w:rPr>
        <w:footnoteRef/>
      </w:r>
      <w:r>
        <w:rPr>
          <w:lang w:val="en-US"/>
        </w:rPr>
        <w:t xml:space="preserve"> </w:t>
      </w:r>
      <w:r>
        <w:rPr>
          <w:bCs/>
          <w:lang w:val="en-US"/>
        </w:rPr>
        <w:t xml:space="preserve">Sechenov Apud Boring &amp; Herrnstein, 1971 [1863], p. 378. </w:t>
      </w:r>
      <w:r>
        <w:rPr>
          <w:lang w:val="en-US"/>
        </w:rPr>
        <w:t xml:space="preserve"> </w:t>
      </w:r>
    </w:p>
  </w:footnote>
  <w:footnote w:id="199">
    <w:p>
      <w:pPr>
        <w:pStyle w:val="Notaderodap"/>
        <w:jc w:val="both"/>
        <w:rPr/>
      </w:pPr>
      <w:r>
        <w:rPr>
          <w:rStyle w:val="Caracteresdenotaderodap"/>
        </w:rPr>
        <w:footnoteRef/>
      </w:r>
      <w:r>
        <w:rPr/>
        <w:t xml:space="preserve"> </w:t>
      </w:r>
      <w:r>
        <w:rPr/>
        <w:t xml:space="preserve">Idem, p. 380. </w:t>
      </w:r>
    </w:p>
  </w:footnote>
  <w:footnote w:id="200">
    <w:p>
      <w:pPr>
        <w:pStyle w:val="Notaderodap"/>
        <w:jc w:val="both"/>
        <w:rPr/>
      </w:pPr>
      <w:r>
        <w:rPr>
          <w:rStyle w:val="Caracteresdenotaderodap"/>
        </w:rPr>
        <w:footnoteRef/>
      </w:r>
      <w:r>
        <w:rPr/>
        <w:t xml:space="preserve"> </w:t>
      </w:r>
      <w:r>
        <w:rPr/>
        <w:t xml:space="preserve">Sechenov, 1965, p. 76. </w:t>
      </w:r>
    </w:p>
  </w:footnote>
  <w:footnote w:id="201">
    <w:p>
      <w:pPr>
        <w:pStyle w:val="Notaderodap"/>
        <w:jc w:val="both"/>
        <w:rPr/>
      </w:pPr>
      <w:r>
        <w:rPr>
          <w:rStyle w:val="Caracteresdenotaderodap"/>
        </w:rPr>
        <w:footnoteRef/>
      </w:r>
      <w:r>
        <w:rPr/>
        <w:t xml:space="preserve"> </w:t>
      </w:r>
      <w:r>
        <w:rPr/>
        <w:t xml:space="preserve">Idem, p. 80. </w:t>
      </w:r>
    </w:p>
  </w:footnote>
  <w:footnote w:id="202">
    <w:p>
      <w:pPr>
        <w:pStyle w:val="Notaderodap"/>
        <w:jc w:val="both"/>
        <w:rPr/>
      </w:pPr>
      <w:r>
        <w:rPr>
          <w:rStyle w:val="Caracteresdenotaderodap"/>
        </w:rPr>
        <w:footnoteRef/>
      </w:r>
      <w:r>
        <w:rPr>
          <w:lang w:val="en-US"/>
        </w:rPr>
        <w:t xml:space="preserve"> </w:t>
      </w:r>
      <w:r>
        <w:rPr>
          <w:bCs/>
          <w:lang w:val="en-US"/>
        </w:rPr>
        <w:t>Boring &amp; Herrnstein, 1971.</w:t>
      </w:r>
      <w:r>
        <w:rPr>
          <w:lang w:val="en-US"/>
        </w:rPr>
        <w:t xml:space="preserve"> </w:t>
      </w:r>
    </w:p>
  </w:footnote>
  <w:footnote w:id="203">
    <w:p>
      <w:pPr>
        <w:pStyle w:val="Notaderodap"/>
        <w:jc w:val="both"/>
        <w:rPr>
          <w:lang w:val="en-US"/>
        </w:rPr>
      </w:pPr>
      <w:r>
        <w:rPr>
          <w:rStyle w:val="Caracteresdenotaderodap"/>
        </w:rPr>
        <w:footnoteRef/>
      </w:r>
      <w:r>
        <w:rPr>
          <w:lang w:val="en-US"/>
        </w:rPr>
        <w:t xml:space="preserve"> </w:t>
      </w:r>
      <w:r>
        <w:rPr>
          <w:bCs/>
          <w:lang w:val="en-US"/>
        </w:rPr>
        <w:t xml:space="preserve">Sechenov Apud Boring &amp; Herrnstein, 1971 [1863], p. 387. </w:t>
      </w:r>
    </w:p>
  </w:footnote>
  <w:footnote w:id="204">
    <w:p>
      <w:pPr>
        <w:pStyle w:val="Notaderodap"/>
        <w:jc w:val="both"/>
        <w:rPr/>
      </w:pPr>
      <w:r>
        <w:rPr>
          <w:rStyle w:val="Caracteresdenotaderodap"/>
        </w:rPr>
        <w:footnoteRef/>
      </w:r>
      <w:r>
        <w:rPr/>
        <w:t xml:space="preserve"> </w:t>
      </w:r>
      <w:r>
        <w:rPr/>
        <w:t xml:space="preserve">Sechenov, 1965, p. 91-92. </w:t>
      </w:r>
    </w:p>
  </w:footnote>
  <w:footnote w:id="205">
    <w:p>
      <w:pPr>
        <w:pStyle w:val="Notaderodap"/>
        <w:jc w:val="both"/>
        <w:rPr/>
      </w:pPr>
      <w:r>
        <w:rPr>
          <w:rStyle w:val="Caracteresdenotaderodap"/>
        </w:rPr>
        <w:footnoteRef/>
      </w:r>
      <w:r>
        <w:rPr/>
        <w:t xml:space="preserve"> </w:t>
      </w:r>
      <w:r>
        <w:rPr/>
        <w:t xml:space="preserve">Idem, p. 98. </w:t>
      </w:r>
    </w:p>
  </w:footnote>
  <w:footnote w:id="206">
    <w:p>
      <w:pPr>
        <w:pStyle w:val="Notaderodap"/>
        <w:jc w:val="both"/>
        <w:rPr/>
      </w:pPr>
      <w:r>
        <w:rPr>
          <w:rStyle w:val="Caracteresdenotaderodap"/>
        </w:rPr>
        <w:footnoteRef/>
      </w:r>
      <w:r>
        <w:rPr/>
        <w:t xml:space="preserve"> </w:t>
      </w:r>
      <w:r>
        <w:rPr/>
        <w:t xml:space="preserve">Idem, p. 165-6. </w:t>
      </w:r>
    </w:p>
  </w:footnote>
  <w:footnote w:id="207">
    <w:p>
      <w:pPr>
        <w:pStyle w:val="Notaderodap"/>
        <w:jc w:val="both"/>
        <w:rPr/>
      </w:pPr>
      <w:r>
        <w:rPr>
          <w:rStyle w:val="Caracteresdenotaderodap"/>
        </w:rPr>
        <w:footnoteRef/>
      </w:r>
      <w:r>
        <w:rPr/>
        <w:t xml:space="preserve"> </w:t>
      </w:r>
      <w:r>
        <w:rPr/>
        <w:t xml:space="preserve">Ramón y Cajal, 1881, p. 265. </w:t>
      </w:r>
    </w:p>
  </w:footnote>
  <w:footnote w:id="208">
    <w:p>
      <w:pPr>
        <w:pStyle w:val="Notaderodap"/>
        <w:jc w:val="both"/>
        <w:rPr/>
      </w:pPr>
      <w:r>
        <w:rPr>
          <w:rStyle w:val="Caracteresdenotaderodap"/>
        </w:rPr>
        <w:footnoteRef/>
      </w:r>
      <w:r>
        <w:rPr/>
        <w:t xml:space="preserve"> </w:t>
      </w:r>
      <w:r>
        <w:rPr/>
        <w:t xml:space="preserve">Refiro-me a centros nervosos concebidos por Ramón y Cajal a todos os centros constituintes do sistema nervoso. Nesse momento examinarei mais em detalhes a medula espinhal, mas é importante não considerarmos apenas a medula e o cérebro como centros nervosos na formulação cajaliana em estudos que extrapolem os interesses desse ensaio. </w:t>
      </w:r>
    </w:p>
  </w:footnote>
  <w:footnote w:id="209">
    <w:p>
      <w:pPr>
        <w:pStyle w:val="Notaderodap"/>
        <w:jc w:val="both"/>
        <w:rPr/>
      </w:pPr>
      <w:r>
        <w:rPr>
          <w:rStyle w:val="Caracteresdenotaderodap"/>
        </w:rPr>
        <w:footnoteRef/>
      </w:r>
      <w:r>
        <w:rPr/>
        <w:t xml:space="preserve"> </w:t>
      </w:r>
      <w:r>
        <w:rPr/>
        <w:t xml:space="preserve">Ramón y Cajal, 1899a, p. 281. </w:t>
      </w:r>
    </w:p>
  </w:footnote>
  <w:footnote w:id="210">
    <w:p>
      <w:pPr>
        <w:pStyle w:val="Notaderodap"/>
        <w:jc w:val="both"/>
        <w:rPr/>
      </w:pPr>
      <w:r>
        <w:rPr>
          <w:rStyle w:val="Caracteresdenotaderodap"/>
        </w:rPr>
        <w:footnoteRef/>
      </w:r>
      <w:r>
        <w:rPr/>
        <w:t xml:space="preserve"> </w:t>
      </w:r>
      <w:r>
        <w:rPr/>
        <w:t xml:space="preserve">Sabine, 1850. </w:t>
      </w:r>
    </w:p>
  </w:footnote>
  <w:footnote w:id="211">
    <w:p>
      <w:pPr>
        <w:pStyle w:val="Notaderodap"/>
        <w:jc w:val="both"/>
        <w:rPr/>
      </w:pPr>
      <w:r>
        <w:rPr>
          <w:rStyle w:val="Caracteresdenotaderodap"/>
        </w:rPr>
        <w:footnoteRef/>
      </w:r>
      <w:r>
        <w:rPr/>
        <w:t xml:space="preserve"> </w:t>
      </w:r>
      <w:r>
        <w:rPr/>
        <w:t xml:space="preserve">Gusmão &amp; Ribas, 2009. </w:t>
      </w:r>
    </w:p>
  </w:footnote>
  <w:footnote w:id="212">
    <w:p>
      <w:pPr>
        <w:pStyle w:val="Notaderodap"/>
        <w:jc w:val="both"/>
        <w:rPr/>
      </w:pPr>
      <w:r>
        <w:rPr>
          <w:rStyle w:val="Caracteresdenotaderodap"/>
        </w:rPr>
        <w:footnoteRef/>
      </w:r>
      <w:r>
        <w:rPr/>
        <w:t xml:space="preserve"> </w:t>
      </w:r>
      <w:r>
        <w:rPr/>
        <w:t xml:space="preserve">Clarke se refere à substância gelatinosa de Rolando, descrita pelo anatomista italiano Luigi Rolando (1773-1831) em 1809. Em 1964, em um número especial no periódico </w:t>
      </w:r>
      <w:r>
        <w:rPr>
          <w:i/>
        </w:rPr>
        <w:t>Progress in brain research</w:t>
      </w:r>
      <w:r>
        <w:rPr/>
        <w:t xml:space="preserve">, Rexed (Rexed, 1964) propõe uma divisão esquemática e mais precisa da substância cinzenta medular, dividindo-a em lâminas, numeradas de I a X, no sentido dorsoventral. O corno posterior é composto pelas lâminas de I a IV. A substância de Rolando corresponde à lâmina espinal II.  </w:t>
      </w:r>
    </w:p>
  </w:footnote>
  <w:footnote w:id="213">
    <w:p>
      <w:pPr>
        <w:pStyle w:val="Notaderodap"/>
        <w:jc w:val="both"/>
        <w:rPr/>
      </w:pPr>
      <w:r>
        <w:rPr>
          <w:rStyle w:val="Caracteresdenotaderodap"/>
        </w:rPr>
        <w:footnoteRef/>
      </w:r>
      <w:r>
        <w:rPr/>
        <w:t xml:space="preserve"> </w:t>
      </w:r>
      <w:r>
        <w:rPr/>
        <w:t xml:space="preserve">Não examinei a obra de Blich e Goldscheider. No livro de Roselyne Rey (Rey, 2012; especificamente o capítulo sexto há uma boa descrição da teoria da somação de Goldscheider. Cito uma longa passagem em que Rey descreve a proposta de Goldscheider: </w:t>
      </w:r>
      <w:r>
        <w:rPr>
          <w:i/>
        </w:rPr>
        <w:t>Os esforços feitos na primeira metade do século XX para confirmar esse mosaico de pontos específicos e para encontrar correspondências estritas entre estruturas histológicas e sensação não chegaram a resultados positivos. (...) Ele [Goldscheider] admitia de fato uma distribuição em mosaico de pontos que correspondiam a sensações particulares, de calor, de frio, de pressão e de dor, constituindo uma espécie de rede com zonas de forte densidade onde os pontos formavam agregados e zonas quase vazias. Goldscheider propunha uma interpretação completamente diferente. Sua atenção tinha sido atraída por três tipos de fatos: inicialmente, um dado patológico, que é a exacerbação da dor durante a aplicação repetida de um estímulo, por exemplo, térmico, e sempre desproporcional à intensidade do estímulo. Esta hiperalgesia, sensibilidade aumentada da dor, não parecia poder explicar-se somente no nível do receptor, mas colocava em jogo um processo de acúmulo, agindo no nível das estruturas centrais, medula e encéfalo. Em segundo lugar, tinha observado que uma pressão feita sobre a pele com uma ponta de alfinete provoca em alguns locais, inicialmente, uma sensação de pressão, depois, após um breve intervalo, uma sensação de dor: este atraso no aparecimento da dor, que era também constatado pela coincidência de duas espécies de receptores diferentes no mesmo local, mas implicava um efeito secundário, supondo aqui, ainda, a transmissão pelo sistema nervoso central. (...) nas pequenas áreas formadas por uma série de ‘pontos de pressão’, representando, consequentemente, uma superfície intermediária sem pontos, ele tinha observado fenômenos estranhos de conversão da sensação de pressão em sensação de dor, mesmo quando o aumento de grau de pressão não era discernido, assim como situações de transição: fora dos pontos de pressão propriamente ditos. (...) Qual explicação dar para essa dupla constatação, de um lado a impressão de pontos especificamente ligados a um tipo de sensação, de outro lado observações clínicas e experimentais que tornavam impossível uma interpretação em termos de receptores específicos? Para Goldscheider, os nervos ‘táteis’ podem revestir três modalidades diferentes, as cócegas, o tato e a dor; a sensação de cócegas seria a resposta mecânica normal ao mais fraco estímulo, a sensação específica das fibras nervosas táteis, podendo, com um aumento de intensidade, dar nascimento a uma impressão de picada e, para além dela, de dor. A diferença entre as sensações provinha não de receptores diferentes, mas da bifurcação das fibras nervosas em seu trajeto da periferia ao centro, aquelas que conduzem às cócegas ou à picada indo em direção ao feixe posterior da substância branca, aquelas da dor transitando pela substância cinzenta da medula, mais precisamente, pelos cornos posteriores. (...) Sobre o fato da sensação de pressão ser de uma ordem diferente, e de não se transformar necessariamente em sensação de dor, Goldscheider evocava então a existência de fibras táteis especiais que, levemente excitadas, dariam também nascimento à sensação de cócegas e, em função do aumento da intensidade, à pressão e à dor, seguiriam a mesma especialização dos trajetos na medula.</w:t>
      </w:r>
      <w:r>
        <w:rPr/>
        <w:t xml:space="preserve"> (Rey, 2012, p. 269-70).              </w:t>
      </w:r>
    </w:p>
  </w:footnote>
  <w:footnote w:id="214">
    <w:p>
      <w:pPr>
        <w:pStyle w:val="Notaderodap"/>
        <w:jc w:val="both"/>
        <w:rPr/>
      </w:pPr>
      <w:r>
        <w:rPr>
          <w:rStyle w:val="Caracteresdenotaderodap"/>
        </w:rPr>
        <w:footnoteRef/>
      </w:r>
      <w:r>
        <w:rPr/>
        <w:t xml:space="preserve"> </w:t>
      </w:r>
      <w:r>
        <w:rPr/>
        <w:t xml:space="preserve">Márquez, M. </w:t>
      </w:r>
      <w:r>
        <w:rPr>
          <w:b/>
          <w:i/>
        </w:rPr>
        <w:t>Algunas aplicaciones de las nuevas ideas sobre la estructura del sistema nervioso</w:t>
      </w:r>
      <w:r>
        <w:rPr/>
        <w:t xml:space="preserve">. Madrid: Ciência Moderna 4, 1897. (pp. 456-459). [Este artigo não consta na bibliografia, pois, não pude consultá-lo na íntegra. Tive acesso apenas a uma microfotografia das duas primeiras páginas].  </w:t>
      </w:r>
    </w:p>
  </w:footnote>
  <w:footnote w:id="215">
    <w:p>
      <w:pPr>
        <w:pStyle w:val="Notaderodap"/>
        <w:jc w:val="both"/>
        <w:rPr/>
      </w:pPr>
      <w:r>
        <w:rPr>
          <w:rStyle w:val="Caracteresdenotaderodap"/>
        </w:rPr>
        <w:footnoteRef/>
      </w:r>
      <w:r>
        <w:rPr/>
        <w:t xml:space="preserve"> </w:t>
      </w:r>
      <w:r>
        <w:rPr/>
        <w:t xml:space="preserve">Ramón y Cajal, 1899a, p. 518. </w:t>
      </w:r>
    </w:p>
  </w:footnote>
  <w:footnote w:id="216">
    <w:p>
      <w:pPr>
        <w:pStyle w:val="Notaderodap"/>
        <w:jc w:val="both"/>
        <w:rPr/>
      </w:pPr>
      <w:r>
        <w:rPr>
          <w:rStyle w:val="Caracteresdenotaderodap"/>
        </w:rPr>
        <w:footnoteRef/>
      </w:r>
      <w:r>
        <w:rPr/>
        <w:t xml:space="preserve"> </w:t>
      </w:r>
      <w:r>
        <w:rPr/>
        <w:t xml:space="preserve">Ramón y Cajal, S. Op. Cit. p. 521-22. </w:t>
      </w:r>
    </w:p>
  </w:footnote>
  <w:footnote w:id="217">
    <w:p>
      <w:pPr>
        <w:pStyle w:val="Corpodotexto"/>
        <w:spacing w:lineRule="auto" w:line="360"/>
        <w:ind w:hanging="0"/>
        <w:rPr/>
      </w:pPr>
      <w:r>
        <w:rPr>
          <w:rStyle w:val="Caracteresdenotaderodap"/>
        </w:rPr>
        <w:footnoteRef/>
      </w:r>
      <w:r>
        <w:rPr>
          <w:rFonts w:cs="Times New Roman" w:ascii="Times New Roman" w:hAnsi="Times New Roman"/>
          <w:color w:val="000000"/>
          <w:sz w:val="20"/>
        </w:rPr>
        <w:t xml:space="preserve"> </w:t>
      </w:r>
      <w:r>
        <w:rPr>
          <w:rFonts w:cs="Times New Roman" w:ascii="Times New Roman" w:hAnsi="Times New Roman"/>
          <w:color w:val="000000"/>
          <w:sz w:val="20"/>
        </w:rPr>
        <w:t>A Pathé foi um dos principais estúdios de cinema na Europa.</w:t>
      </w:r>
    </w:p>
    <w:p>
      <w:pPr>
        <w:pStyle w:val="Notaderodap"/>
        <w:jc w:val="both"/>
        <w:rPr>
          <w:rFonts w:ascii="Times New Roman" w:hAnsi="Times New Roman" w:cs="Times New Roman"/>
          <w:color w:val="000000"/>
          <w:sz w:val="20"/>
        </w:rPr>
      </w:pPr>
      <w:r>
        <w:rPr>
          <w:rFonts w:cs="Times New Roman"/>
          <w:color w:val="000000"/>
          <w:sz w:val="20"/>
        </w:rPr>
      </w:r>
    </w:p>
  </w:footnote>
  <w:footnote w:id="218">
    <w:p>
      <w:pPr>
        <w:pStyle w:val="Corpodotexto"/>
        <w:spacing w:lineRule="auto" w:line="360" w:before="0" w:after="0"/>
        <w:ind w:hanging="0"/>
        <w:rPr/>
      </w:pPr>
      <w:r>
        <w:rPr>
          <w:rStyle w:val="Caracteresdenotaderodap"/>
        </w:rPr>
        <w:footnoteRef/>
      </w:r>
      <w:r>
        <w:rPr>
          <w:rFonts w:cs="Times New Roman" w:ascii="Times New Roman" w:hAnsi="Times New Roman"/>
          <w:color w:val="000000"/>
          <w:sz w:val="20"/>
        </w:rPr>
        <w:t xml:space="preserve"> </w:t>
      </w:r>
      <w:r>
        <w:rPr>
          <w:rFonts w:cs="Times New Roman" w:ascii="Times New Roman" w:hAnsi="Times New Roman"/>
          <w:color w:val="000000"/>
          <w:sz w:val="20"/>
        </w:rPr>
        <w:t>Kulechov pretendia demonstrar que a técnica (fotografia, montagem, movimento da câmera, escolha e duração dos planos) muitas vezes confere ao ator a intensidade expressiva que ele não pode ter.</w:t>
      </w:r>
    </w:p>
    <w:p>
      <w:pPr>
        <w:pStyle w:val="Notaderodap"/>
        <w:jc w:val="both"/>
        <w:rPr>
          <w:rFonts w:ascii="Times New Roman" w:hAnsi="Times New Roman" w:cs="Times New Roman"/>
          <w:color w:val="000000"/>
          <w:sz w:val="20"/>
        </w:rPr>
      </w:pPr>
      <w:r>
        <w:rPr>
          <w:rFonts w:cs="Times New Roman"/>
          <w:color w:val="000000"/>
          <w:sz w:val="20"/>
        </w:rPr>
      </w:r>
    </w:p>
  </w:footnote>
  <w:footnote w:id="219">
    <w:p>
      <w:pPr>
        <w:pStyle w:val="Notaderodap"/>
        <w:jc w:val="both"/>
        <w:rPr/>
      </w:pPr>
      <w:r>
        <w:rPr>
          <w:rStyle w:val="Caracteresdenotaderodap"/>
        </w:rPr>
        <w:footnoteRef/>
      </w:r>
      <w:r>
        <w:rPr/>
        <w:t xml:space="preserve"> </w:t>
      </w:r>
      <w:r>
        <w:rPr/>
        <w:t xml:space="preserve">Torna-se imperativo o alerta de que o conceito de condicionamento na obra de Pavlov é exclusivamente um conceito fisiológico. A afirmação de que Pavlov compartilhava da crença de que os comportamentos sociais no homem pudessem ser compreendidos e inventariados a partir desse conceito central não é objeto desse ensaio. A associação da aplicação desse conceito ao modo como a montagem artística (no caso do teatro e cinema) deve se dar é atribuída à Kulechov. Nosso objetivo aqui é somente mostrar essa relação entre o conceito advindo da Fisiologia e sua conexão com o cinema soviético na década de 1920 e a maneira como um conceito de longo alcance foi importado. Outro alerta importante se refere à noção de que, com a centralidade que dou ao conceito de condicionamento, estaria incorrendo no erro de enfraquecer os elementos estéticos que marcam essa escola cinematográfica. Certamente não é essa a intenção aqui defendida. O cinema soviético, e principalmente de Eisenstein, possui tamanha riqueza e complexidade que pretendo apenas tangenciar uma de suas características, talvez a menos rica do ponto de vista estético, mas não menos importante.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8.9pt;height:18.9pt" o:bullet="t">
        <v:imagedata r:id="rId1" o:title=""/>
      </v:shape>
    </w:pict>
  </w:numPicBullet>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428"/>
        </w:tabs>
        <w:ind w:left="1428" w:hanging="360"/>
      </w:pPr>
      <w:rPr>
        <w:rFonts w:ascii="Symbol" w:hAnsi="Symbol" w:cs="Symbol" w:hint="default"/>
        <w:sz w:val="24"/>
        <w:szCs w:val="24"/>
      </w:rPr>
    </w:lvl>
  </w:abstractNum>
  <w:abstractNum w:abstractNumId="3">
    <w:lvl w:ilvl="0">
      <w:start w:val="1"/>
      <w:numFmt w:val="bullet"/>
      <w:lvlText w:val=""/>
      <w:lvlJc w:val="left"/>
      <w:pPr>
        <w:tabs>
          <w:tab w:val="num" w:pos="0"/>
        </w:tabs>
        <w:ind w:left="720" w:hanging="360"/>
      </w:pPr>
      <w:rPr>
        <w:rFonts w:ascii="Symbol" w:hAnsi="Symbol" w:cs="Symbol" w:hint="default"/>
        <w:sz w:val="24"/>
        <w:szCs w:val="24"/>
      </w:rPr>
    </w:lvl>
  </w:abstractNum>
  <w:abstractNum w:abstractNumId="4">
    <w:lvl w:ilvl="0">
      <w:start w:val="1"/>
      <w:numFmt w:val="bullet"/>
      <w:lvlText w:val=""/>
      <w:lvlJc w:val="left"/>
      <w:pPr>
        <w:tabs>
          <w:tab w:val="num" w:pos="1033"/>
        </w:tabs>
        <w:ind w:left="1033" w:hanging="360"/>
      </w:pPr>
      <w:rPr>
        <w:rFonts w:ascii="Wingdings" w:hAnsi="Wingdings" w:cs="Wingdings" w:hint="default"/>
        <w:sz w:val="16"/>
      </w:rPr>
    </w:lvl>
  </w:abstractNum>
  <w:abstractNum w:abstractNumId="5">
    <w:lvl w:ilvl="0">
      <w:start w:val="1"/>
      <w:numFmt w:val="bullet"/>
      <w:lvlText w:val="-"/>
      <w:lvlJc w:val="left"/>
      <w:pPr>
        <w:tabs>
          <w:tab w:val="num" w:pos="1068"/>
        </w:tabs>
        <w:ind w:left="1068" w:hanging="360"/>
      </w:pPr>
      <w:rPr>
        <w:rFonts w:ascii="Times New Roman" w:hAnsi="Times New Roman" w:cs="Times New Roman" w:hint="default"/>
      </w:rPr>
    </w:lvl>
    <w:lvl w:ilvl="1">
      <w:start w:val="1"/>
      <w:numFmt w:val="bullet"/>
      <w:lvlText w:val="-"/>
      <w:lvlJc w:val="left"/>
      <w:pPr>
        <w:tabs>
          <w:tab w:val="num" w:pos="1788"/>
        </w:tabs>
        <w:ind w:left="1788" w:hanging="360"/>
      </w:pPr>
      <w:rPr>
        <w:rFonts w:ascii="Times New Roman" w:hAnsi="Times New Roman" w:cs="Times New Roman" w:hint="default"/>
      </w:rPr>
    </w:lvl>
    <w:lvl w:ilvl="2">
      <w:start w:val="1"/>
      <w:numFmt w:val="bullet"/>
      <w:lvlText w:val="-"/>
      <w:lvlJc w:val="left"/>
      <w:pPr>
        <w:tabs>
          <w:tab w:val="num" w:pos="2508"/>
        </w:tabs>
        <w:ind w:left="2508" w:hanging="360"/>
      </w:pPr>
      <w:rPr>
        <w:rFonts w:ascii="Times New Roman" w:hAnsi="Times New Roman" w:cs="Times New Roman" w:hint="default"/>
      </w:rPr>
    </w:lvl>
    <w:lvl w:ilvl="3">
      <w:start w:val="1"/>
      <w:numFmt w:val="bullet"/>
      <w:lvlText w:val="-"/>
      <w:lvlJc w:val="left"/>
      <w:pPr>
        <w:tabs>
          <w:tab w:val="num" w:pos="3228"/>
        </w:tabs>
        <w:ind w:left="3228" w:hanging="360"/>
      </w:pPr>
      <w:rPr>
        <w:rFonts w:ascii="Times New Roman" w:hAnsi="Times New Roman" w:cs="Times New Roman" w:hint="default"/>
      </w:rPr>
    </w:lvl>
    <w:lvl w:ilvl="4">
      <w:start w:val="1"/>
      <w:numFmt w:val="bullet"/>
      <w:lvlText w:val="-"/>
      <w:lvlJc w:val="left"/>
      <w:pPr>
        <w:tabs>
          <w:tab w:val="num" w:pos="3948"/>
        </w:tabs>
        <w:ind w:left="3948" w:hanging="360"/>
      </w:pPr>
      <w:rPr>
        <w:rFonts w:ascii="Times New Roman" w:hAnsi="Times New Roman" w:cs="Times New Roman" w:hint="default"/>
      </w:rPr>
    </w:lvl>
    <w:lvl w:ilvl="5">
      <w:start w:val="1"/>
      <w:numFmt w:val="bullet"/>
      <w:lvlText w:val="-"/>
      <w:lvlJc w:val="left"/>
      <w:pPr>
        <w:tabs>
          <w:tab w:val="num" w:pos="4668"/>
        </w:tabs>
        <w:ind w:left="4668" w:hanging="360"/>
      </w:pPr>
      <w:rPr>
        <w:rFonts w:ascii="Times New Roman" w:hAnsi="Times New Roman" w:cs="Times New Roman" w:hint="default"/>
      </w:rPr>
    </w:lvl>
    <w:lvl w:ilvl="6">
      <w:start w:val="1"/>
      <w:numFmt w:val="bullet"/>
      <w:lvlText w:val="-"/>
      <w:lvlJc w:val="left"/>
      <w:pPr>
        <w:tabs>
          <w:tab w:val="num" w:pos="5388"/>
        </w:tabs>
        <w:ind w:left="5388" w:hanging="360"/>
      </w:pPr>
      <w:rPr>
        <w:rFonts w:ascii="Times New Roman" w:hAnsi="Times New Roman" w:cs="Times New Roman" w:hint="default"/>
      </w:rPr>
    </w:lvl>
    <w:lvl w:ilvl="7">
      <w:start w:val="1"/>
      <w:numFmt w:val="bullet"/>
      <w:lvlText w:val="-"/>
      <w:lvlJc w:val="left"/>
      <w:pPr>
        <w:tabs>
          <w:tab w:val="num" w:pos="6108"/>
        </w:tabs>
        <w:ind w:left="6108" w:hanging="360"/>
      </w:pPr>
      <w:rPr>
        <w:rFonts w:ascii="Times New Roman" w:hAnsi="Times New Roman" w:cs="Times New Roman" w:hint="default"/>
      </w:rPr>
    </w:lvl>
    <w:lvl w:ilvl="8">
      <w:start w:val="1"/>
      <w:numFmt w:val="bullet"/>
      <w:lvlText w:val="-"/>
      <w:lvlJc w:val="left"/>
      <w:pPr>
        <w:tabs>
          <w:tab w:val="num" w:pos="6828"/>
        </w:tabs>
        <w:ind w:left="6828" w:hanging="360"/>
      </w:pPr>
      <w:rPr>
        <w:rFonts w:ascii="Times New Roman" w:hAnsi="Times New Roman" w:cs="Times New Roman"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0"/>
  <w:defaultTabStop w:val="709"/>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pt-BR"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pt-BR" w:bidi="ar-SA" w:eastAsia="zh-CN"/>
    </w:rPr>
  </w:style>
  <w:style w:type="paragraph" w:styleId="Ttulo1">
    <w:name w:val="Heading 1"/>
    <w:basedOn w:val="Normal"/>
    <w:next w:val="Corpodotexto"/>
    <w:qFormat/>
    <w:pPr>
      <w:numPr>
        <w:ilvl w:val="0"/>
        <w:numId w:val="1"/>
      </w:numPr>
      <w:spacing w:before="280" w:after="280"/>
      <w:outlineLvl w:val="0"/>
    </w:pPr>
    <w:rPr>
      <w:b/>
      <w:bCs/>
      <w:kern w:val="2"/>
      <w:sz w:val="48"/>
      <w:szCs w:val="48"/>
      <w:lang w:val="pt-BR"/>
    </w:rPr>
  </w:style>
  <w:style w:type="paragraph" w:styleId="Ttulo2">
    <w:name w:val="Heading 2"/>
    <w:basedOn w:val="Normal"/>
    <w:next w:val="Normal"/>
    <w:qFormat/>
    <w:pPr>
      <w:keepNext w:val="true"/>
      <w:numPr>
        <w:ilvl w:val="1"/>
        <w:numId w:val="1"/>
      </w:numPr>
      <w:spacing w:before="240" w:after="60"/>
      <w:outlineLvl w:val="1"/>
    </w:pPr>
    <w:rPr>
      <w:rFonts w:ascii="Cambria" w:hAnsi="Cambria" w:eastAsia="Times New Roman" w:cs="Times New Roman"/>
      <w:b/>
      <w:bCs/>
      <w:i/>
      <w:iCs/>
      <w:sz w:val="28"/>
      <w:szCs w:val="28"/>
    </w:rPr>
  </w:style>
  <w:style w:type="character" w:styleId="WW8Num1z0">
    <w:name w:val="WW8Num1z0"/>
    <w:qFormat/>
    <w:rPr>
      <w:rFonts w:ascii="Symbol" w:hAnsi="Symbol" w:cs="Symbol"/>
      <w:sz w:val="24"/>
      <w:szCs w:val="24"/>
    </w:rPr>
  </w:style>
  <w:style w:type="character" w:styleId="WW8Num2z0">
    <w:name w:val="WW8Num2z0"/>
    <w:qFormat/>
    <w:rPr>
      <w:rFonts w:ascii="Wingdings" w:hAnsi="Wingdings" w:cs="Wingdings"/>
    </w:rPr>
  </w:style>
  <w:style w:type="character" w:styleId="WW8Num3z0">
    <w:name w:val="WW8Num3z0"/>
    <w:qFormat/>
    <w:rPr>
      <w:rFonts w:ascii="Symbol" w:hAnsi="Symbol" w:cs="Symbol"/>
      <w:sz w:val="24"/>
      <w:szCs w:val="24"/>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style>
  <w:style w:type="character" w:styleId="WW8Num6z0">
    <w:name w:val="WW8Num6z0"/>
    <w:qFormat/>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Wingdings" w:hAnsi="Wingdings" w:cs="Wingdings"/>
      <w:sz w:val="16"/>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rFonts w:ascii="Symbol" w:hAnsi="Symbol" w:cs="Symbol"/>
    </w:rPr>
  </w:style>
  <w:style w:type="character" w:styleId="WW8Num12z0">
    <w:name w:val="WW8Num12z0"/>
    <w:qFormat/>
    <w:rPr>
      <w:rFonts w:ascii="Times New Roman" w:hAnsi="Times New Roman" w:cs="Times New Roman"/>
    </w:rPr>
  </w:style>
  <w:style w:type="character" w:styleId="Fontepargpadro">
    <w:name w:val="Fonte parág. padrão"/>
    <w:qFormat/>
    <w:rPr/>
  </w:style>
  <w:style w:type="character" w:styleId="Caracteresdenotaderodap">
    <w:name w:val="Caracteres de nota de rodapé"/>
    <w:qFormat/>
    <w:rPr>
      <w:vertAlign w:val="superscript"/>
    </w:rPr>
  </w:style>
  <w:style w:type="character" w:styleId="Appleconvertedspace">
    <w:name w:val="apple-converted-space"/>
    <w:basedOn w:val="Fontepargpadro"/>
    <w:qFormat/>
    <w:rPr/>
  </w:style>
  <w:style w:type="character" w:styleId="TextodenotaderodapChar">
    <w:name w:val="Texto de nota de rodapé Char"/>
    <w:qFormat/>
    <w:rPr/>
  </w:style>
  <w:style w:type="character" w:styleId="Ttulo1Char">
    <w:name w:val="Título 1 Char"/>
    <w:qFormat/>
    <w:rPr>
      <w:b/>
      <w:bCs/>
      <w:kern w:val="2"/>
      <w:sz w:val="48"/>
      <w:szCs w:val="48"/>
    </w:rPr>
  </w:style>
  <w:style w:type="character" w:styleId="PrformataoHTMLChar">
    <w:name w:val="Pré-formatação HTML Char"/>
    <w:qFormat/>
    <w:rPr>
      <w:rFonts w:ascii="Courier New" w:hAnsi="Courier New" w:cs="Courier New"/>
    </w:rPr>
  </w:style>
  <w:style w:type="character" w:styleId="CabealhoChar">
    <w:name w:val="Cabeçalho Char"/>
    <w:qFormat/>
    <w:rPr>
      <w:sz w:val="24"/>
      <w:szCs w:val="24"/>
    </w:rPr>
  </w:style>
  <w:style w:type="character" w:styleId="RodapChar">
    <w:name w:val="Rodapé Char"/>
    <w:qFormat/>
    <w:rPr>
      <w:sz w:val="24"/>
      <w:szCs w:val="24"/>
    </w:rPr>
  </w:style>
  <w:style w:type="character" w:styleId="CorpodetextoChar">
    <w:name w:val="Corpo de texto Char"/>
    <w:qFormat/>
    <w:rPr>
      <w:rFonts w:ascii="Garamond" w:hAnsi="Garamond" w:cs="Mangal"/>
      <w:sz w:val="22"/>
      <w:szCs w:val="22"/>
      <w:lang w:bidi="sa-IN"/>
    </w:rPr>
  </w:style>
  <w:style w:type="character" w:styleId="RecuodecorpodetextoChar">
    <w:name w:val="Recuo de corpo de texto Char"/>
    <w:qFormat/>
    <w:rPr>
      <w:sz w:val="24"/>
      <w:szCs w:val="24"/>
    </w:rPr>
  </w:style>
  <w:style w:type="character" w:styleId="Nfase">
    <w:name w:val="Ênfase"/>
    <w:qFormat/>
    <w:rPr>
      <w:b/>
      <w:bCs/>
      <w:i w:val="false"/>
      <w:iCs w:val="false"/>
    </w:rPr>
  </w:style>
  <w:style w:type="character" w:styleId="LinkdaInternet">
    <w:name w:val="Link da Internet"/>
    <w:rPr>
      <w:color w:val="0000FF"/>
      <w:u w:val="single"/>
    </w:rPr>
  </w:style>
  <w:style w:type="character" w:styleId="TextodebaloChar">
    <w:name w:val="Texto de balão Char"/>
    <w:qFormat/>
    <w:rPr>
      <w:rFonts w:ascii="Tahoma" w:hAnsi="Tahoma" w:cs="Tahoma"/>
      <w:sz w:val="16"/>
      <w:szCs w:val="16"/>
    </w:rPr>
  </w:style>
  <w:style w:type="character" w:styleId="Corpodetexto2Char">
    <w:name w:val="Corpo de texto 2 Char"/>
    <w:qFormat/>
    <w:rPr>
      <w:sz w:val="24"/>
      <w:szCs w:val="24"/>
    </w:rPr>
  </w:style>
  <w:style w:type="character" w:styleId="Nfaseforte">
    <w:name w:val="Ênfase forte"/>
    <w:qFormat/>
    <w:rPr>
      <w:b/>
      <w:bCs/>
    </w:rPr>
  </w:style>
  <w:style w:type="character" w:styleId="Ttulo2Char">
    <w:name w:val="Título 2 Char"/>
    <w:qFormat/>
    <w:rPr>
      <w:rFonts w:ascii="Cambria" w:hAnsi="Cambria" w:eastAsia="Times New Roman" w:cs="Times New Roman"/>
      <w:b/>
      <w:bCs/>
      <w:i/>
      <w:iCs/>
      <w:sz w:val="28"/>
      <w:szCs w:val="28"/>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widowControl w:val="false"/>
      <w:spacing w:before="0" w:after="120"/>
      <w:ind w:firstLine="284"/>
      <w:jc w:val="both"/>
    </w:pPr>
    <w:rPr>
      <w:rFonts w:ascii="Garamond" w:hAnsi="Garamond" w:cs="Mangal"/>
      <w:sz w:val="22"/>
      <w:szCs w:val="22"/>
      <w:lang w:bidi="sa-IN"/>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taderodap">
    <w:name w:val="Footnote Text"/>
    <w:basedOn w:val="Normal"/>
    <w:pPr/>
    <w:rPr>
      <w:sz w:val="20"/>
      <w:szCs w:val="20"/>
    </w:rPr>
  </w:style>
  <w:style w:type="paragraph" w:styleId="PrformataoHTML">
    <w:name w:val="Pré-formatação HTML"/>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lang w:val="pt-BR"/>
    </w:rPr>
  </w:style>
  <w:style w:type="paragraph" w:styleId="CabealhoeRodap">
    <w:name w:val="Cabeçalho e Rodapé"/>
    <w:basedOn w:val="Normal"/>
    <w:qFormat/>
    <w:pPr>
      <w:suppressLineNumbers/>
      <w:tabs>
        <w:tab w:val="clear" w:pos="708"/>
        <w:tab w:val="center" w:pos="4819" w:leader="none"/>
        <w:tab w:val="right" w:pos="9638" w:leader="none"/>
      </w:tabs>
    </w:pPr>
    <w:rPr/>
  </w:style>
  <w:style w:type="paragraph" w:styleId="Cabealho">
    <w:name w:val="Header"/>
    <w:basedOn w:val="Normal"/>
    <w:pPr>
      <w:tabs>
        <w:tab w:val="clear" w:pos="708"/>
        <w:tab w:val="center" w:pos="4252" w:leader="none"/>
        <w:tab w:val="right" w:pos="8504" w:leader="none"/>
      </w:tabs>
    </w:pPr>
    <w:rPr>
      <w:lang w:val="pt-BR"/>
    </w:rPr>
  </w:style>
  <w:style w:type="paragraph" w:styleId="Rodap">
    <w:name w:val="Footer"/>
    <w:basedOn w:val="Normal"/>
    <w:pPr>
      <w:tabs>
        <w:tab w:val="clear" w:pos="708"/>
        <w:tab w:val="center" w:pos="4252" w:leader="none"/>
        <w:tab w:val="right" w:pos="8504" w:leader="none"/>
      </w:tabs>
    </w:pPr>
    <w:rPr>
      <w:lang w:val="pt-BR"/>
    </w:rPr>
  </w:style>
  <w:style w:type="paragraph" w:styleId="Corpodotextorecuado">
    <w:name w:val="Body Text Indent"/>
    <w:basedOn w:val="Normal"/>
    <w:pPr>
      <w:spacing w:before="0" w:after="120"/>
      <w:ind w:left="283" w:hanging="0"/>
    </w:pPr>
    <w:rPr/>
  </w:style>
  <w:style w:type="paragraph" w:styleId="NormalWeb">
    <w:name w:val="Normal (Web)"/>
    <w:basedOn w:val="Normal"/>
    <w:qFormat/>
    <w:pPr>
      <w:spacing w:before="280" w:after="280"/>
    </w:pPr>
    <w:rPr/>
  </w:style>
  <w:style w:type="paragraph" w:styleId="Textodebalo">
    <w:name w:val="Texto de balão"/>
    <w:basedOn w:val="Normal"/>
    <w:qFormat/>
    <w:pPr/>
    <w:rPr>
      <w:rFonts w:ascii="Tahoma" w:hAnsi="Tahoma" w:cs="Tahoma"/>
      <w:sz w:val="16"/>
      <w:szCs w:val="16"/>
    </w:rPr>
  </w:style>
  <w:style w:type="paragraph" w:styleId="Corpodetexto2">
    <w:name w:val="Corpo de texto 2"/>
    <w:basedOn w:val="Normal"/>
    <w:qFormat/>
    <w:pPr>
      <w:spacing w:lineRule="auto" w:line="480" w:before="0" w:after="120"/>
    </w:pPr>
    <w:rPr/>
  </w:style>
  <w:style w:type="paragraph" w:styleId="Corpodetexto21">
    <w:name w:val="Corpo de texto 21"/>
    <w:basedOn w:val="Normal"/>
    <w:qFormat/>
    <w:pPr>
      <w:suppressAutoHyphens w:val="true"/>
      <w:jc w:val="center"/>
    </w:pPr>
    <w:rPr>
      <w:szCs w:val="20"/>
    </w:rPr>
  </w:style>
  <w:style w:type="paragraph" w:styleId="Citaes">
    <w:name w:val="Citações"/>
    <w:basedOn w:val="Normal"/>
    <w:qFormat/>
    <w:pPr>
      <w:widowControl w:val="false"/>
      <w:suppressAutoHyphens w:val="true"/>
      <w:spacing w:before="0" w:after="283"/>
      <w:ind w:left="567" w:right="567" w:hanging="0"/>
    </w:pPr>
    <w:rPr>
      <w:rFonts w:ascii="Bitstream Vera Serif;Times New Roman" w:hAnsi="Bitstream Vera Serif;Times New Roman" w:eastAsia="Bitstream Vera Sans" w:cs="Bitstream Vera Serif;Times New Roman"/>
    </w:rPr>
  </w:style>
  <w:style w:type="paragraph" w:styleId="Contedodoquadro">
    <w:name w:val="Conteúdo do quadro"/>
    <w:basedOn w:val="Normal"/>
    <w:qFormat/>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hyperlink" Target="http://pt.wikipedia.org/wiki/Alemanha" TargetMode="External"/><Relationship Id="rId6" Type="http://schemas.openxmlformats.org/officeDocument/2006/relationships/hyperlink" Target="http://pt.wikipedia.org/wiki/Franz_Joseph_Gall" TargetMode="External"/><Relationship Id="rId7" Type="http://schemas.openxmlformats.org/officeDocument/2006/relationships/hyperlink" Target="http://pt.wikipedia.org/wiki/1758" TargetMode="External"/><Relationship Id="rId8" Type="http://schemas.openxmlformats.org/officeDocument/2006/relationships/hyperlink" Target="http://pt.wikipedia.org/wiki/1828"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wmf"/><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footer" Target="footer1.xml"/><Relationship Id="rId42" Type="http://schemas.openxmlformats.org/officeDocument/2006/relationships/footnotes" Target="footnotes.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www.cinesonido.com/imagenes/predecesores_del_cine. 01/09/20" TargetMode="External"/><Relationship Id="rId2" Type="http://schemas.openxmlformats.org/officeDocument/2006/relationships/hyperlink" Target="http://www.cinematografo.com.br/" TargetMode="External"/><Relationship Id="rId3" Type="http://schemas.openxmlformats.org/officeDocument/2006/relationships/hyperlink" Target="http://www.ucl.ac.uk/Bentham-Project/" TargetMode="External"/><Relationship Id="rId4" Type="http://schemas.openxmlformats.org/officeDocument/2006/relationships/hyperlink" Target="http://www.nyc-architecture.com/MID/MID-TimesSquare3 em 15/03/2010 &#224;s 16h00" TargetMode="External"/><Relationship Id="rId5" Type="http://schemas.openxmlformats.org/officeDocument/2006/relationships/hyperlink" Target="http://pt.wikipedia.org/w/index.php?title=Rien_que_les_Heures&amp;action=edit&amp;redlink=1" TargetMode="External"/>
</Relationships>
</file>

<file path=word/_rels/numbering.xml.rels><?xml version="1.0" encoding="UTF-8"?>
<Relationships xmlns="http://schemas.openxmlformats.org/package/2006/relationships"><Relationship Id="rId1" Type="http://schemas.openxmlformats.org/officeDocument/2006/relationships/image" Target="media/image36.wmf"/>
</Relationships>
</file>

<file path=docProps/app.xml><?xml version="1.0" encoding="utf-8"?>
<Properties xmlns="http://schemas.openxmlformats.org/officeDocument/2006/extended-properties" xmlns:vt="http://schemas.openxmlformats.org/officeDocument/2006/docPropsVTypes">
  <Template>Normal_x0000_</Template>
  <TotalTime>7446</TotalTime>
  <Application>LibreOffice/7.1.6.2$Windows_X86_64 LibreOffice_project/0e133318fcee89abacd6a7d077e292f1145735c3</Application>
  <AppVersion>15.0000</AppVersion>
  <Pages>184</Pages>
  <Words>66315</Words>
  <Characters>357954</Characters>
  <CharactersWithSpaces>427295</CharactersWithSpaces>
  <Paragraphs>1221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2020-02-22T09:45:00Z</dcterms:created>
  <dc:creator>Usuario01</dc:creator>
  <dc:description/>
  <dc:language>pt-BR</dc:language>
  <cp:lastModifiedBy/>
  <cp:lastPrinted>2021-01-20T18:45:00Z</cp:lastPrinted>
  <dcterms:modified xsi:type="dcterms:W3CDTF">2023-11-22T13:58:56Z</dcterms:modified>
  <cp:revision>907</cp:revision>
  <dc:subject/>
  <dc:title>História, Ciência e Literatura</dc:title>
</cp:coreProperties>
</file>