
<file path=[Content_Types].xml><?xml version="1.0" encoding="utf-8"?>
<Types xmlns="http://schemas.openxmlformats.org/package/2006/content-types">
  <Default Extension="crdownload"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64AD5" w14:textId="77777777" w:rsidR="00863B19" w:rsidRDefault="00863B19" w:rsidP="002F7E08">
      <w:pPr>
        <w:spacing w:after="0" w:line="360" w:lineRule="auto"/>
        <w:jc w:val="center"/>
        <w:rPr>
          <w:rFonts w:ascii="Times New Roman" w:eastAsia="Times New Roman" w:hAnsi="Times New Roman" w:cs="Times New Roman"/>
          <w:sz w:val="40"/>
          <w:szCs w:val="40"/>
        </w:rPr>
      </w:pPr>
    </w:p>
    <w:p w14:paraId="68DFEA88" w14:textId="77777777" w:rsidR="00F518AA" w:rsidRPr="00F518AA" w:rsidRDefault="00F518AA" w:rsidP="00F518AA">
      <w:pPr>
        <w:spacing w:after="0" w:line="240" w:lineRule="auto"/>
        <w:jc w:val="center"/>
        <w:rPr>
          <w:rFonts w:ascii="Times New Roman" w:eastAsia="Times New Roman" w:hAnsi="Times New Roman" w:cs="Times New Roman"/>
          <w:sz w:val="32"/>
          <w:szCs w:val="32"/>
        </w:rPr>
      </w:pPr>
      <w:r w:rsidRPr="00F518AA">
        <w:rPr>
          <w:rFonts w:ascii="Times New Roman" w:eastAsia="Times New Roman" w:hAnsi="Times New Roman" w:cs="Times New Roman"/>
          <w:sz w:val="32"/>
          <w:szCs w:val="32"/>
        </w:rPr>
        <w:t>Natália Bolfarini Tognoli</w:t>
      </w:r>
    </w:p>
    <w:p w14:paraId="4C6A8D28" w14:textId="77777777" w:rsidR="00F518AA" w:rsidRPr="00F518AA" w:rsidRDefault="00F518AA" w:rsidP="00F518AA">
      <w:pPr>
        <w:spacing w:after="0" w:line="240" w:lineRule="auto"/>
        <w:jc w:val="center"/>
        <w:rPr>
          <w:rFonts w:ascii="Times New Roman" w:eastAsia="Times New Roman" w:hAnsi="Times New Roman" w:cs="Times New Roman"/>
          <w:sz w:val="32"/>
          <w:szCs w:val="32"/>
        </w:rPr>
      </w:pPr>
      <w:r w:rsidRPr="00F518AA">
        <w:rPr>
          <w:rFonts w:ascii="Times New Roman" w:eastAsia="Times New Roman" w:hAnsi="Times New Roman" w:cs="Times New Roman"/>
          <w:sz w:val="32"/>
          <w:szCs w:val="32"/>
        </w:rPr>
        <w:t>Ivanilma de Oliveira Gama</w:t>
      </w:r>
    </w:p>
    <w:p w14:paraId="7AD75690" w14:textId="77777777" w:rsidR="00F518AA" w:rsidRPr="00F518AA" w:rsidRDefault="00F518AA" w:rsidP="00F518AA">
      <w:pPr>
        <w:spacing w:after="0" w:line="240" w:lineRule="auto"/>
        <w:jc w:val="center"/>
        <w:rPr>
          <w:rFonts w:ascii="Times New Roman" w:eastAsia="Times New Roman" w:hAnsi="Times New Roman" w:cs="Times New Roman"/>
          <w:sz w:val="32"/>
          <w:szCs w:val="32"/>
        </w:rPr>
      </w:pPr>
      <w:r w:rsidRPr="00F518AA">
        <w:rPr>
          <w:rFonts w:ascii="Times New Roman" w:eastAsia="Times New Roman" w:hAnsi="Times New Roman" w:cs="Times New Roman"/>
          <w:sz w:val="32"/>
          <w:szCs w:val="32"/>
        </w:rPr>
        <w:t>Juliana Loureiro Alvim Carvalho</w:t>
      </w:r>
    </w:p>
    <w:p w14:paraId="77812E01" w14:textId="159316CC" w:rsidR="00863B19" w:rsidRPr="00F518AA" w:rsidRDefault="00F518AA" w:rsidP="00F518AA">
      <w:pPr>
        <w:spacing w:after="0" w:line="240" w:lineRule="auto"/>
        <w:jc w:val="center"/>
        <w:rPr>
          <w:rFonts w:ascii="Times New Roman" w:eastAsia="Times New Roman" w:hAnsi="Times New Roman" w:cs="Times New Roman"/>
          <w:sz w:val="32"/>
          <w:szCs w:val="32"/>
        </w:rPr>
      </w:pPr>
      <w:r w:rsidRPr="00F518AA">
        <w:rPr>
          <w:rFonts w:ascii="Times New Roman" w:eastAsia="Times New Roman" w:hAnsi="Times New Roman" w:cs="Times New Roman"/>
          <w:sz w:val="32"/>
          <w:szCs w:val="32"/>
        </w:rPr>
        <w:t xml:space="preserve">(Organizadoras) </w:t>
      </w:r>
    </w:p>
    <w:p w14:paraId="698E65CC" w14:textId="77777777" w:rsidR="00863B19" w:rsidRDefault="00863B19" w:rsidP="002F7E08">
      <w:pPr>
        <w:spacing w:after="0" w:line="360" w:lineRule="auto"/>
        <w:jc w:val="center"/>
        <w:rPr>
          <w:rFonts w:ascii="Times New Roman" w:eastAsia="Times New Roman" w:hAnsi="Times New Roman" w:cs="Times New Roman"/>
          <w:sz w:val="40"/>
          <w:szCs w:val="40"/>
        </w:rPr>
      </w:pPr>
    </w:p>
    <w:p w14:paraId="7B5F0961" w14:textId="77777777" w:rsidR="00863B19" w:rsidRDefault="00863B19" w:rsidP="002F7E08">
      <w:pPr>
        <w:spacing w:after="0" w:line="360" w:lineRule="auto"/>
        <w:jc w:val="center"/>
        <w:rPr>
          <w:rFonts w:ascii="Times New Roman" w:eastAsia="Times New Roman" w:hAnsi="Times New Roman" w:cs="Times New Roman"/>
          <w:sz w:val="40"/>
          <w:szCs w:val="40"/>
        </w:rPr>
      </w:pPr>
    </w:p>
    <w:p w14:paraId="5AECFF78" w14:textId="77777777" w:rsidR="00F518AA" w:rsidRDefault="00F518AA" w:rsidP="002F7E08">
      <w:pPr>
        <w:spacing w:after="0" w:line="360" w:lineRule="auto"/>
        <w:jc w:val="center"/>
        <w:rPr>
          <w:rFonts w:ascii="Times New Roman" w:eastAsia="Times New Roman" w:hAnsi="Times New Roman" w:cs="Times New Roman"/>
          <w:sz w:val="44"/>
          <w:szCs w:val="44"/>
        </w:rPr>
      </w:pPr>
    </w:p>
    <w:p w14:paraId="283A357F" w14:textId="77777777" w:rsidR="00F518AA" w:rsidRDefault="00F518AA" w:rsidP="002F7E08">
      <w:pPr>
        <w:spacing w:after="0" w:line="360" w:lineRule="auto"/>
        <w:jc w:val="center"/>
        <w:rPr>
          <w:rFonts w:ascii="Times New Roman" w:eastAsia="Times New Roman" w:hAnsi="Times New Roman" w:cs="Times New Roman"/>
          <w:sz w:val="44"/>
          <w:szCs w:val="44"/>
        </w:rPr>
      </w:pPr>
    </w:p>
    <w:p w14:paraId="055E2C44" w14:textId="51118578" w:rsidR="00863B19" w:rsidRPr="00863B19" w:rsidRDefault="00863B19" w:rsidP="002F7E08">
      <w:pPr>
        <w:spacing w:after="0" w:line="360" w:lineRule="auto"/>
        <w:jc w:val="center"/>
        <w:rPr>
          <w:rFonts w:ascii="Times New Roman" w:eastAsia="Times New Roman" w:hAnsi="Times New Roman" w:cs="Times New Roman"/>
          <w:sz w:val="44"/>
          <w:szCs w:val="44"/>
        </w:rPr>
      </w:pPr>
      <w:r w:rsidRPr="00863B19">
        <w:rPr>
          <w:rFonts w:ascii="Times New Roman" w:eastAsia="Times New Roman" w:hAnsi="Times New Roman" w:cs="Times New Roman"/>
          <w:sz w:val="44"/>
          <w:szCs w:val="44"/>
        </w:rPr>
        <w:t xml:space="preserve">Tendências de pesquisas </w:t>
      </w:r>
      <w:r w:rsidR="0047726A">
        <w:rPr>
          <w:rFonts w:ascii="Times New Roman" w:eastAsia="Times New Roman" w:hAnsi="Times New Roman" w:cs="Times New Roman"/>
          <w:sz w:val="44"/>
          <w:szCs w:val="44"/>
        </w:rPr>
        <w:t>no Programa de Pós-Graduação em Ciência da Informação da Universidade Federal Fluminense (PPGCI/UFF)</w:t>
      </w:r>
    </w:p>
    <w:p w14:paraId="3C3EE5E3" w14:textId="2849D280" w:rsidR="00863B19" w:rsidRPr="00F518AA" w:rsidRDefault="00863B19" w:rsidP="00F518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40"/>
          <w:szCs w:val="40"/>
        </w:rPr>
        <w:br w:type="page"/>
      </w:r>
    </w:p>
    <w:p w14:paraId="3492A4A2" w14:textId="77777777" w:rsidR="00F518AA" w:rsidRPr="00F518AA" w:rsidRDefault="00F518AA">
      <w:pPr>
        <w:rPr>
          <w:rFonts w:ascii="Times New Roman" w:eastAsia="Times New Roman" w:hAnsi="Times New Roman" w:cs="Times New Roman"/>
          <w:sz w:val="24"/>
          <w:szCs w:val="24"/>
        </w:rPr>
      </w:pPr>
    </w:p>
    <w:p w14:paraId="2167DE6F" w14:textId="77777777" w:rsidR="0050415D" w:rsidRDefault="0050415D" w:rsidP="0050415D">
      <w:pPr>
        <w:jc w:val="center"/>
        <w:rPr>
          <w:rFonts w:ascii="Times New Roman" w:eastAsia="Times New Roman" w:hAnsi="Times New Roman" w:cs="Times New Roman"/>
          <w:b/>
          <w:bCs/>
          <w:sz w:val="24"/>
          <w:szCs w:val="24"/>
        </w:rPr>
      </w:pPr>
      <w:r w:rsidRPr="00D121C1">
        <w:rPr>
          <w:rFonts w:ascii="Times New Roman" w:eastAsia="Times New Roman" w:hAnsi="Times New Roman" w:cs="Times New Roman"/>
          <w:b/>
          <w:bCs/>
          <w:sz w:val="24"/>
          <w:szCs w:val="24"/>
        </w:rPr>
        <w:t xml:space="preserve">LISTA DE </w:t>
      </w:r>
      <w:r>
        <w:rPr>
          <w:rFonts w:ascii="Times New Roman" w:eastAsia="Times New Roman" w:hAnsi="Times New Roman" w:cs="Times New Roman"/>
          <w:b/>
          <w:bCs/>
          <w:sz w:val="24"/>
          <w:szCs w:val="24"/>
        </w:rPr>
        <w:t>ILUSTRAÇÕES</w:t>
      </w:r>
    </w:p>
    <w:p w14:paraId="28CD08B0" w14:textId="77777777" w:rsidR="0050415D" w:rsidRDefault="0050415D" w:rsidP="0050415D">
      <w:pPr>
        <w:jc w:val="center"/>
        <w:rPr>
          <w:rFonts w:ascii="Times New Roman" w:eastAsia="Times New Roman" w:hAnsi="Times New Roman" w:cs="Times New Roman"/>
          <w:b/>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20"/>
        <w:gridCol w:w="1128"/>
      </w:tblGrid>
      <w:tr w:rsidR="0050415D" w:rsidRPr="002766DF" w14:paraId="752E0F87" w14:textId="77777777" w:rsidTr="00201465">
        <w:tc>
          <w:tcPr>
            <w:tcW w:w="1413" w:type="dxa"/>
          </w:tcPr>
          <w:p w14:paraId="5CD322E6"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1</w:t>
            </w:r>
          </w:p>
        </w:tc>
        <w:tc>
          <w:tcPr>
            <w:tcW w:w="6520" w:type="dxa"/>
          </w:tcPr>
          <w:p w14:paraId="2AEEBF07" w14:textId="77777777" w:rsidR="0050415D" w:rsidRPr="002766DF" w:rsidRDefault="0050415D" w:rsidP="00201465">
            <w:pPr>
              <w:spacing w:line="360" w:lineRule="auto"/>
              <w:jc w:val="both"/>
              <w:rPr>
                <w:rFonts w:ascii="Times New Roman" w:eastAsia="Times New Roman" w:hAnsi="Times New Roman"/>
                <w:sz w:val="24"/>
                <w:szCs w:val="24"/>
              </w:rPr>
            </w:pPr>
            <w:r w:rsidRPr="002766DF">
              <w:rPr>
                <w:rFonts w:ascii="Times New Roman" w:eastAsia="Times New Roman" w:hAnsi="Times New Roman"/>
                <w:sz w:val="24"/>
                <w:szCs w:val="24"/>
              </w:rPr>
              <w:t>Estratos informacionais</w:t>
            </w:r>
            <w:r>
              <w:rPr>
                <w:rFonts w:ascii="Times New Roman" w:eastAsia="Times New Roman" w:hAnsi="Times New Roman"/>
                <w:sz w:val="24"/>
                <w:szCs w:val="24"/>
              </w:rPr>
              <w:t>…………………………………………..</w:t>
            </w:r>
          </w:p>
        </w:tc>
        <w:tc>
          <w:tcPr>
            <w:tcW w:w="1128" w:type="dxa"/>
          </w:tcPr>
          <w:p w14:paraId="2423317B"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1</w:t>
            </w:r>
            <w:r>
              <w:rPr>
                <w:rFonts w:ascii="Times New Roman" w:eastAsia="Times New Roman" w:hAnsi="Times New Roman"/>
                <w:sz w:val="24"/>
                <w:szCs w:val="24"/>
              </w:rPr>
              <w:t>3</w:t>
            </w:r>
          </w:p>
        </w:tc>
      </w:tr>
      <w:tr w:rsidR="0050415D" w:rsidRPr="002766DF" w14:paraId="23A6685D" w14:textId="77777777" w:rsidTr="00201465">
        <w:tc>
          <w:tcPr>
            <w:tcW w:w="1413" w:type="dxa"/>
          </w:tcPr>
          <w:p w14:paraId="031691B4"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Figura 1</w:t>
            </w:r>
          </w:p>
        </w:tc>
        <w:tc>
          <w:tcPr>
            <w:tcW w:w="6520" w:type="dxa"/>
          </w:tcPr>
          <w:p w14:paraId="13E049FC" w14:textId="77777777" w:rsidR="0050415D" w:rsidRPr="002766DF" w:rsidRDefault="0050415D" w:rsidP="00201465">
            <w:pPr>
              <w:spacing w:line="360" w:lineRule="auto"/>
              <w:jc w:val="both"/>
              <w:rPr>
                <w:rFonts w:ascii="Times New Roman" w:eastAsia="Times New Roman" w:hAnsi="Times New Roman"/>
                <w:sz w:val="24"/>
                <w:szCs w:val="24"/>
              </w:rPr>
            </w:pPr>
            <w:r w:rsidRPr="002766DF">
              <w:rPr>
                <w:rFonts w:ascii="Times New Roman" w:hAnsi="Times New Roman"/>
                <w:sz w:val="24"/>
                <w:szCs w:val="24"/>
              </w:rPr>
              <w:t>Etapas da análise de regime de informação em uma instituição de pesquisa</w:t>
            </w:r>
            <w:r>
              <w:rPr>
                <w:rFonts w:ascii="Times New Roman" w:hAnsi="Times New Roman"/>
                <w:sz w:val="24"/>
                <w:szCs w:val="24"/>
              </w:rPr>
              <w:t>…………………………………………………………..</w:t>
            </w:r>
          </w:p>
        </w:tc>
        <w:tc>
          <w:tcPr>
            <w:tcW w:w="1128" w:type="dxa"/>
            <w:vAlign w:val="bottom"/>
          </w:tcPr>
          <w:p w14:paraId="1E8306BE" w14:textId="77777777" w:rsidR="0050415D" w:rsidRPr="002766DF" w:rsidRDefault="0050415D" w:rsidP="00201465">
            <w:pPr>
              <w:spacing w:line="360" w:lineRule="auto"/>
              <w:rPr>
                <w:rFonts w:ascii="Times New Roman" w:eastAsia="Times New Roman" w:hAnsi="Times New Roman"/>
                <w:sz w:val="24"/>
                <w:szCs w:val="24"/>
              </w:rPr>
            </w:pPr>
            <w:r>
              <w:rPr>
                <w:rFonts w:ascii="Times New Roman" w:eastAsia="Times New Roman" w:hAnsi="Times New Roman"/>
                <w:sz w:val="24"/>
                <w:szCs w:val="24"/>
              </w:rPr>
              <w:t>20</w:t>
            </w:r>
          </w:p>
        </w:tc>
      </w:tr>
      <w:tr w:rsidR="0050415D" w:rsidRPr="002766DF" w14:paraId="03C95477" w14:textId="77777777" w:rsidTr="00201465">
        <w:tc>
          <w:tcPr>
            <w:tcW w:w="1413" w:type="dxa"/>
          </w:tcPr>
          <w:p w14:paraId="41FE7A3F"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1</w:t>
            </w:r>
          </w:p>
        </w:tc>
        <w:tc>
          <w:tcPr>
            <w:tcW w:w="6520" w:type="dxa"/>
          </w:tcPr>
          <w:p w14:paraId="5AA4A125" w14:textId="77777777" w:rsidR="0050415D" w:rsidRPr="002766DF" w:rsidRDefault="0050415D" w:rsidP="00201465">
            <w:pPr>
              <w:spacing w:line="360" w:lineRule="auto"/>
              <w:jc w:val="both"/>
              <w:rPr>
                <w:rFonts w:ascii="Times New Roman" w:eastAsia="Times New Roman" w:hAnsi="Times New Roman"/>
                <w:sz w:val="24"/>
                <w:szCs w:val="24"/>
              </w:rPr>
            </w:pPr>
            <w:r w:rsidRPr="002766DF">
              <w:rPr>
                <w:rFonts w:ascii="Times New Roman" w:eastAsia="Times New Roman" w:hAnsi="Times New Roman"/>
                <w:sz w:val="24"/>
                <w:szCs w:val="24"/>
              </w:rPr>
              <w:t>Cursos oferecidos pela AAB</w:t>
            </w:r>
            <w:r>
              <w:rPr>
                <w:rFonts w:ascii="Times New Roman" w:eastAsia="Times New Roman" w:hAnsi="Times New Roman"/>
                <w:sz w:val="24"/>
                <w:szCs w:val="24"/>
              </w:rPr>
              <w:t>……………………………………..</w:t>
            </w:r>
          </w:p>
        </w:tc>
        <w:tc>
          <w:tcPr>
            <w:tcW w:w="1128" w:type="dxa"/>
          </w:tcPr>
          <w:p w14:paraId="78C6F59C"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3</w:t>
            </w:r>
            <w:r>
              <w:rPr>
                <w:rFonts w:ascii="Times New Roman" w:eastAsia="Times New Roman" w:hAnsi="Times New Roman"/>
                <w:sz w:val="24"/>
                <w:szCs w:val="24"/>
              </w:rPr>
              <w:t>5</w:t>
            </w:r>
          </w:p>
        </w:tc>
      </w:tr>
      <w:tr w:rsidR="0050415D" w:rsidRPr="002766DF" w14:paraId="47A7BF86" w14:textId="77777777" w:rsidTr="00201465">
        <w:tc>
          <w:tcPr>
            <w:tcW w:w="1413" w:type="dxa"/>
          </w:tcPr>
          <w:p w14:paraId="5DBA1732"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1</w:t>
            </w:r>
          </w:p>
        </w:tc>
        <w:tc>
          <w:tcPr>
            <w:tcW w:w="6520" w:type="dxa"/>
          </w:tcPr>
          <w:p w14:paraId="4718BB52" w14:textId="77777777" w:rsidR="0050415D" w:rsidRPr="002766DF" w:rsidRDefault="0050415D" w:rsidP="00201465">
            <w:pPr>
              <w:spacing w:line="360" w:lineRule="auto"/>
              <w:jc w:val="both"/>
              <w:rPr>
                <w:rFonts w:ascii="Times New Roman" w:eastAsia="Times New Roman" w:hAnsi="Times New Roman"/>
                <w:sz w:val="24"/>
                <w:szCs w:val="24"/>
              </w:rPr>
            </w:pPr>
            <w:r w:rsidRPr="002766DF">
              <w:rPr>
                <w:rFonts w:ascii="Times New Roman" w:eastAsia="Times New Roman" w:hAnsi="Times New Roman"/>
                <w:sz w:val="24"/>
                <w:szCs w:val="24"/>
              </w:rPr>
              <w:t>Definição dos métodos aquisitivos compra, dação, doação, legado e permuta</w:t>
            </w:r>
            <w:r>
              <w:rPr>
                <w:rFonts w:ascii="Times New Roman" w:eastAsia="Times New Roman" w:hAnsi="Times New Roman"/>
                <w:sz w:val="24"/>
                <w:szCs w:val="24"/>
              </w:rPr>
              <w:t>…………………………………………………………</w:t>
            </w:r>
          </w:p>
        </w:tc>
        <w:tc>
          <w:tcPr>
            <w:tcW w:w="1128" w:type="dxa"/>
            <w:vAlign w:val="bottom"/>
          </w:tcPr>
          <w:p w14:paraId="1AD710AF"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4</w:t>
            </w:r>
            <w:r>
              <w:rPr>
                <w:rFonts w:ascii="Times New Roman" w:eastAsia="Times New Roman" w:hAnsi="Times New Roman"/>
                <w:sz w:val="24"/>
                <w:szCs w:val="24"/>
              </w:rPr>
              <w:t>6</w:t>
            </w:r>
          </w:p>
        </w:tc>
      </w:tr>
      <w:tr w:rsidR="0050415D" w:rsidRPr="002766DF" w14:paraId="5831A490" w14:textId="77777777" w:rsidTr="00201465">
        <w:tc>
          <w:tcPr>
            <w:tcW w:w="1413" w:type="dxa"/>
          </w:tcPr>
          <w:p w14:paraId="096B4921"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2</w:t>
            </w:r>
          </w:p>
        </w:tc>
        <w:tc>
          <w:tcPr>
            <w:tcW w:w="6520" w:type="dxa"/>
          </w:tcPr>
          <w:p w14:paraId="73E13B78" w14:textId="77777777" w:rsidR="0050415D" w:rsidRPr="002766DF" w:rsidRDefault="0050415D" w:rsidP="00201465">
            <w:pPr>
              <w:spacing w:line="360" w:lineRule="auto"/>
              <w:jc w:val="both"/>
              <w:rPr>
                <w:rFonts w:ascii="Times New Roman" w:eastAsia="Times New Roman" w:hAnsi="Times New Roman"/>
                <w:sz w:val="24"/>
                <w:szCs w:val="24"/>
              </w:rPr>
            </w:pPr>
            <w:r>
              <w:rPr>
                <w:rFonts w:ascii="Times New Roman" w:hAnsi="Times New Roman"/>
                <w:sz w:val="24"/>
                <w:szCs w:val="24"/>
              </w:rPr>
              <w:t>Definição dos métodos aquisitivos recolhimento e transferencia…</w:t>
            </w:r>
          </w:p>
        </w:tc>
        <w:tc>
          <w:tcPr>
            <w:tcW w:w="1128" w:type="dxa"/>
          </w:tcPr>
          <w:p w14:paraId="22B36B8C"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4</w:t>
            </w:r>
            <w:r>
              <w:rPr>
                <w:rFonts w:ascii="Times New Roman" w:eastAsia="Times New Roman" w:hAnsi="Times New Roman"/>
                <w:sz w:val="24"/>
                <w:szCs w:val="24"/>
              </w:rPr>
              <w:t>8</w:t>
            </w:r>
          </w:p>
        </w:tc>
      </w:tr>
      <w:tr w:rsidR="0050415D" w:rsidRPr="002766DF" w14:paraId="7D2B184B" w14:textId="77777777" w:rsidTr="00201465">
        <w:tc>
          <w:tcPr>
            <w:tcW w:w="1413" w:type="dxa"/>
          </w:tcPr>
          <w:p w14:paraId="038305D4"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3</w:t>
            </w:r>
          </w:p>
        </w:tc>
        <w:tc>
          <w:tcPr>
            <w:tcW w:w="6520" w:type="dxa"/>
          </w:tcPr>
          <w:p w14:paraId="54833D80" w14:textId="77777777" w:rsidR="0050415D" w:rsidRPr="002766DF" w:rsidRDefault="0050415D" w:rsidP="00201465">
            <w:pPr>
              <w:spacing w:line="360" w:lineRule="auto"/>
              <w:jc w:val="both"/>
              <w:rPr>
                <w:rFonts w:ascii="Times New Roman" w:eastAsia="Times New Roman" w:hAnsi="Times New Roman"/>
                <w:sz w:val="24"/>
                <w:szCs w:val="24"/>
              </w:rPr>
            </w:pPr>
            <w:r>
              <w:rPr>
                <w:rFonts w:ascii="Times New Roman" w:hAnsi="Times New Roman"/>
                <w:sz w:val="24"/>
                <w:szCs w:val="24"/>
              </w:rPr>
              <w:t xml:space="preserve">Definição dos métodos aquisitivos </w:t>
            </w:r>
            <w:r w:rsidRPr="00110C60">
              <w:rPr>
                <w:rFonts w:ascii="Times New Roman" w:hAnsi="Times New Roman"/>
                <w:sz w:val="24"/>
                <w:szCs w:val="24"/>
              </w:rPr>
              <w:t>comodato, depósito, empréstimo</w:t>
            </w:r>
            <w:r>
              <w:rPr>
                <w:rFonts w:ascii="Times New Roman" w:hAnsi="Times New Roman"/>
                <w:sz w:val="24"/>
                <w:szCs w:val="24"/>
              </w:rPr>
              <w:t>………………………………………………………..</w:t>
            </w:r>
          </w:p>
        </w:tc>
        <w:tc>
          <w:tcPr>
            <w:tcW w:w="1128" w:type="dxa"/>
            <w:vAlign w:val="bottom"/>
          </w:tcPr>
          <w:p w14:paraId="49DB4D23"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4</w:t>
            </w:r>
            <w:r>
              <w:rPr>
                <w:rFonts w:ascii="Times New Roman" w:eastAsia="Times New Roman" w:hAnsi="Times New Roman"/>
                <w:sz w:val="24"/>
                <w:szCs w:val="24"/>
              </w:rPr>
              <w:t>8</w:t>
            </w:r>
          </w:p>
        </w:tc>
      </w:tr>
      <w:tr w:rsidR="0050415D" w:rsidRPr="002766DF" w14:paraId="41DC5CB5" w14:textId="77777777" w:rsidTr="00201465">
        <w:tc>
          <w:tcPr>
            <w:tcW w:w="1413" w:type="dxa"/>
          </w:tcPr>
          <w:p w14:paraId="794FFA9E"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4</w:t>
            </w:r>
          </w:p>
        </w:tc>
        <w:tc>
          <w:tcPr>
            <w:tcW w:w="6520" w:type="dxa"/>
          </w:tcPr>
          <w:p w14:paraId="0C4E6587" w14:textId="77777777" w:rsidR="0050415D" w:rsidRPr="002766DF" w:rsidRDefault="0050415D" w:rsidP="00201465">
            <w:pPr>
              <w:spacing w:line="360" w:lineRule="auto"/>
              <w:rPr>
                <w:rFonts w:asciiTheme="minorHAnsi" w:eastAsiaTheme="minorHAnsi" w:hAnsiTheme="minorHAnsi" w:cstheme="minorBidi"/>
                <w:kern w:val="2"/>
                <w:lang w:val="pt-BR"/>
                <w14:ligatures w14:val="standardContextual"/>
              </w:rPr>
            </w:pPr>
            <w:r>
              <w:rPr>
                <w:rFonts w:ascii="Times New Roman" w:hAnsi="Times New Roman"/>
                <w:sz w:val="24"/>
                <w:szCs w:val="24"/>
              </w:rPr>
              <w:t>Definição dos métodos aquisitivos custódia e reintegração……...</w:t>
            </w:r>
          </w:p>
        </w:tc>
        <w:tc>
          <w:tcPr>
            <w:tcW w:w="1128" w:type="dxa"/>
          </w:tcPr>
          <w:p w14:paraId="3699B5B3"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4</w:t>
            </w:r>
            <w:r>
              <w:rPr>
                <w:rFonts w:ascii="Times New Roman" w:eastAsia="Times New Roman" w:hAnsi="Times New Roman"/>
                <w:sz w:val="24"/>
                <w:szCs w:val="24"/>
              </w:rPr>
              <w:t>9</w:t>
            </w:r>
          </w:p>
        </w:tc>
      </w:tr>
      <w:tr w:rsidR="0050415D" w:rsidRPr="002766DF" w14:paraId="225DAB84" w14:textId="77777777" w:rsidTr="00201465">
        <w:tc>
          <w:tcPr>
            <w:tcW w:w="1413" w:type="dxa"/>
          </w:tcPr>
          <w:p w14:paraId="3DDD6CF0"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5</w:t>
            </w:r>
          </w:p>
        </w:tc>
        <w:tc>
          <w:tcPr>
            <w:tcW w:w="6520" w:type="dxa"/>
          </w:tcPr>
          <w:p w14:paraId="72A8FD37" w14:textId="77777777" w:rsidR="0050415D" w:rsidRPr="002766DF" w:rsidRDefault="0050415D" w:rsidP="00201465">
            <w:pPr>
              <w:spacing w:line="360" w:lineRule="auto"/>
              <w:rPr>
                <w:rFonts w:asciiTheme="minorHAnsi" w:eastAsiaTheme="minorHAnsi" w:hAnsiTheme="minorHAnsi" w:cstheme="minorBidi"/>
                <w:kern w:val="2"/>
                <w:lang w:val="pt-BR"/>
                <w14:ligatures w14:val="standardContextual"/>
              </w:rPr>
            </w:pPr>
            <w:r>
              <w:rPr>
                <w:rFonts w:ascii="Times New Roman" w:hAnsi="Times New Roman"/>
                <w:sz w:val="24"/>
                <w:szCs w:val="24"/>
              </w:rPr>
              <w:t>Classificação dos métodos aquisitivos............................................</w:t>
            </w:r>
          </w:p>
        </w:tc>
        <w:tc>
          <w:tcPr>
            <w:tcW w:w="1128" w:type="dxa"/>
          </w:tcPr>
          <w:p w14:paraId="58071280"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4</w:t>
            </w:r>
            <w:r>
              <w:rPr>
                <w:rFonts w:ascii="Times New Roman" w:eastAsia="Times New Roman" w:hAnsi="Times New Roman"/>
                <w:sz w:val="24"/>
                <w:szCs w:val="24"/>
              </w:rPr>
              <w:t>9</w:t>
            </w:r>
          </w:p>
        </w:tc>
      </w:tr>
      <w:tr w:rsidR="0050415D" w:rsidRPr="002766DF" w14:paraId="26175495" w14:textId="77777777" w:rsidTr="00201465">
        <w:tc>
          <w:tcPr>
            <w:tcW w:w="1413" w:type="dxa"/>
          </w:tcPr>
          <w:p w14:paraId="7E89B9D2"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Figura 1</w:t>
            </w:r>
          </w:p>
        </w:tc>
        <w:tc>
          <w:tcPr>
            <w:tcW w:w="6520" w:type="dxa"/>
          </w:tcPr>
          <w:p w14:paraId="04AAA973" w14:textId="77777777" w:rsidR="0050415D" w:rsidRPr="002766DF" w:rsidRDefault="0050415D" w:rsidP="00201465">
            <w:pPr>
              <w:spacing w:line="360" w:lineRule="auto"/>
              <w:jc w:val="both"/>
              <w:rPr>
                <w:rFonts w:ascii="Times New Roman" w:eastAsia="Times New Roman" w:hAnsi="Times New Roman"/>
                <w:sz w:val="24"/>
                <w:szCs w:val="24"/>
              </w:rPr>
            </w:pPr>
            <w:r w:rsidRPr="00604447">
              <w:rPr>
                <w:rFonts w:ascii="Times New Roman" w:hAnsi="Times New Roman"/>
              </w:rPr>
              <w:t>O acesso na perspectiva de Taylor (1984)</w:t>
            </w:r>
            <w:r>
              <w:rPr>
                <w:rFonts w:ascii="Times New Roman" w:hAnsi="Times New Roman"/>
              </w:rPr>
              <w:t>………………………………</w:t>
            </w:r>
          </w:p>
        </w:tc>
        <w:tc>
          <w:tcPr>
            <w:tcW w:w="1128" w:type="dxa"/>
          </w:tcPr>
          <w:p w14:paraId="22335382"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8</w:t>
            </w:r>
            <w:r>
              <w:rPr>
                <w:rFonts w:ascii="Times New Roman" w:eastAsia="Times New Roman" w:hAnsi="Times New Roman"/>
                <w:sz w:val="24"/>
                <w:szCs w:val="24"/>
              </w:rPr>
              <w:t>2</w:t>
            </w:r>
          </w:p>
        </w:tc>
      </w:tr>
      <w:tr w:rsidR="0050415D" w:rsidRPr="002766DF" w14:paraId="29F01431" w14:textId="77777777" w:rsidTr="00201465">
        <w:tc>
          <w:tcPr>
            <w:tcW w:w="1413" w:type="dxa"/>
          </w:tcPr>
          <w:p w14:paraId="68148E00"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Figura 2</w:t>
            </w:r>
          </w:p>
        </w:tc>
        <w:tc>
          <w:tcPr>
            <w:tcW w:w="6520" w:type="dxa"/>
          </w:tcPr>
          <w:p w14:paraId="779886D7" w14:textId="77777777" w:rsidR="0050415D" w:rsidRPr="002766DF" w:rsidRDefault="0050415D" w:rsidP="00201465">
            <w:pPr>
              <w:spacing w:line="360" w:lineRule="auto"/>
              <w:jc w:val="both"/>
              <w:rPr>
                <w:rFonts w:ascii="Times New Roman" w:eastAsia="Times New Roman" w:hAnsi="Times New Roman"/>
                <w:sz w:val="24"/>
                <w:szCs w:val="24"/>
              </w:rPr>
            </w:pPr>
            <w:r w:rsidRPr="00C14F57">
              <w:rPr>
                <w:rFonts w:ascii="Times New Roman" w:eastAsia="Times New Roman" w:hAnsi="Times New Roman"/>
                <w:sz w:val="24"/>
                <w:szCs w:val="24"/>
              </w:rPr>
              <w:t>O acesso na perspectiva de McLeod (2015)</w:t>
            </w:r>
            <w:r>
              <w:rPr>
                <w:rFonts w:ascii="Times New Roman" w:eastAsia="Times New Roman" w:hAnsi="Times New Roman"/>
                <w:sz w:val="24"/>
                <w:szCs w:val="24"/>
              </w:rPr>
              <w:t>………………………</w:t>
            </w:r>
          </w:p>
        </w:tc>
        <w:tc>
          <w:tcPr>
            <w:tcW w:w="1128" w:type="dxa"/>
          </w:tcPr>
          <w:p w14:paraId="3179D513"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8</w:t>
            </w:r>
            <w:r>
              <w:rPr>
                <w:rFonts w:ascii="Times New Roman" w:eastAsia="Times New Roman" w:hAnsi="Times New Roman"/>
                <w:sz w:val="24"/>
                <w:szCs w:val="24"/>
              </w:rPr>
              <w:t>3</w:t>
            </w:r>
          </w:p>
        </w:tc>
      </w:tr>
      <w:tr w:rsidR="0050415D" w:rsidRPr="002766DF" w14:paraId="43CDCAE6" w14:textId="77777777" w:rsidTr="00201465">
        <w:tc>
          <w:tcPr>
            <w:tcW w:w="1413" w:type="dxa"/>
          </w:tcPr>
          <w:p w14:paraId="7A4370EB"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1</w:t>
            </w:r>
          </w:p>
        </w:tc>
        <w:tc>
          <w:tcPr>
            <w:tcW w:w="6520" w:type="dxa"/>
          </w:tcPr>
          <w:p w14:paraId="084FCE67" w14:textId="77777777" w:rsidR="0050415D" w:rsidRPr="002766DF" w:rsidRDefault="0050415D" w:rsidP="00201465">
            <w:pPr>
              <w:spacing w:line="360" w:lineRule="auto"/>
              <w:jc w:val="both"/>
              <w:rPr>
                <w:rFonts w:ascii="Times New Roman" w:eastAsia="Times New Roman" w:hAnsi="Times New Roman"/>
                <w:sz w:val="24"/>
                <w:szCs w:val="24"/>
              </w:rPr>
            </w:pPr>
            <w:r w:rsidRPr="00C14F57">
              <w:rPr>
                <w:rFonts w:ascii="Times New Roman" w:hAnsi="Times New Roman"/>
                <w:sz w:val="24"/>
                <w:szCs w:val="24"/>
              </w:rPr>
              <w:t>Painel conceitual da paisagem</w:t>
            </w:r>
            <w:r>
              <w:rPr>
                <w:rFonts w:ascii="Times New Roman" w:hAnsi="Times New Roman"/>
                <w:sz w:val="24"/>
                <w:szCs w:val="24"/>
              </w:rPr>
              <w:t>…………………………………….</w:t>
            </w:r>
          </w:p>
        </w:tc>
        <w:tc>
          <w:tcPr>
            <w:tcW w:w="1128" w:type="dxa"/>
          </w:tcPr>
          <w:p w14:paraId="78ADEF99"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11</w:t>
            </w:r>
            <w:r>
              <w:rPr>
                <w:rFonts w:ascii="Times New Roman" w:eastAsia="Times New Roman" w:hAnsi="Times New Roman"/>
                <w:sz w:val="24"/>
                <w:szCs w:val="24"/>
              </w:rPr>
              <w:t>7</w:t>
            </w:r>
          </w:p>
        </w:tc>
      </w:tr>
      <w:tr w:rsidR="0050415D" w:rsidRPr="002766DF" w14:paraId="1EE9C505" w14:textId="77777777" w:rsidTr="00201465">
        <w:tc>
          <w:tcPr>
            <w:tcW w:w="1413" w:type="dxa"/>
          </w:tcPr>
          <w:p w14:paraId="48EDBF62"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Quadro 2</w:t>
            </w:r>
          </w:p>
        </w:tc>
        <w:tc>
          <w:tcPr>
            <w:tcW w:w="6520" w:type="dxa"/>
          </w:tcPr>
          <w:p w14:paraId="63D3E6AB" w14:textId="77777777" w:rsidR="0050415D" w:rsidRPr="002766DF" w:rsidRDefault="0050415D" w:rsidP="00201465">
            <w:pPr>
              <w:spacing w:line="360" w:lineRule="auto"/>
              <w:jc w:val="both"/>
              <w:rPr>
                <w:rFonts w:ascii="Times New Roman" w:eastAsia="Times New Roman" w:hAnsi="Times New Roman"/>
                <w:sz w:val="24"/>
                <w:szCs w:val="24"/>
              </w:rPr>
            </w:pPr>
            <w:r w:rsidRPr="008B2C16">
              <w:rPr>
                <w:rFonts w:ascii="Times New Roman" w:hAnsi="Times New Roman"/>
                <w:sz w:val="24"/>
                <w:szCs w:val="24"/>
              </w:rPr>
              <w:t>Estrutura classificatória da paisagem</w:t>
            </w:r>
            <w:r>
              <w:rPr>
                <w:rFonts w:ascii="Times New Roman" w:hAnsi="Times New Roman"/>
                <w:sz w:val="24"/>
                <w:szCs w:val="24"/>
              </w:rPr>
              <w:t>……………………………..</w:t>
            </w:r>
          </w:p>
        </w:tc>
        <w:tc>
          <w:tcPr>
            <w:tcW w:w="1128" w:type="dxa"/>
          </w:tcPr>
          <w:p w14:paraId="534526AE"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11</w:t>
            </w:r>
            <w:r>
              <w:rPr>
                <w:rFonts w:ascii="Times New Roman" w:eastAsia="Times New Roman" w:hAnsi="Times New Roman"/>
                <w:sz w:val="24"/>
                <w:szCs w:val="24"/>
              </w:rPr>
              <w:t>8</w:t>
            </w:r>
          </w:p>
        </w:tc>
      </w:tr>
      <w:tr w:rsidR="0050415D" w:rsidRPr="002766DF" w14:paraId="79182362" w14:textId="77777777" w:rsidTr="00201465">
        <w:tc>
          <w:tcPr>
            <w:tcW w:w="1413" w:type="dxa"/>
          </w:tcPr>
          <w:p w14:paraId="09380233"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Figura 1</w:t>
            </w:r>
          </w:p>
        </w:tc>
        <w:tc>
          <w:tcPr>
            <w:tcW w:w="6520" w:type="dxa"/>
          </w:tcPr>
          <w:p w14:paraId="44B9068A" w14:textId="77777777" w:rsidR="0050415D" w:rsidRPr="00B73FEA" w:rsidRDefault="0050415D" w:rsidP="00201465">
            <w:pPr>
              <w:spacing w:line="360" w:lineRule="auto"/>
              <w:rPr>
                <w:rFonts w:asciiTheme="minorHAnsi" w:eastAsiaTheme="minorHAnsi" w:hAnsiTheme="minorHAnsi" w:cstheme="minorBidi"/>
                <w:kern w:val="2"/>
                <w:lang w:val="pt-BR"/>
                <w14:ligatures w14:val="standardContextual"/>
              </w:rPr>
            </w:pPr>
            <w:r w:rsidRPr="008B2C16">
              <w:rPr>
                <w:rFonts w:ascii="Times New Roman" w:hAnsi="Times New Roman"/>
                <w:sz w:val="24"/>
                <w:szCs w:val="24"/>
              </w:rPr>
              <w:t>Mapa conceitual da paisagem natural</w:t>
            </w:r>
            <w:r>
              <w:rPr>
                <w:rFonts w:ascii="Times New Roman" w:hAnsi="Times New Roman"/>
                <w:sz w:val="24"/>
                <w:szCs w:val="24"/>
              </w:rPr>
              <w:t>…………………………….</w:t>
            </w:r>
          </w:p>
        </w:tc>
        <w:tc>
          <w:tcPr>
            <w:tcW w:w="1128" w:type="dxa"/>
          </w:tcPr>
          <w:p w14:paraId="093CB5D3"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11</w:t>
            </w:r>
            <w:r>
              <w:rPr>
                <w:rFonts w:ascii="Times New Roman" w:eastAsia="Times New Roman" w:hAnsi="Times New Roman"/>
                <w:sz w:val="24"/>
                <w:szCs w:val="24"/>
              </w:rPr>
              <w:t>9</w:t>
            </w:r>
          </w:p>
        </w:tc>
      </w:tr>
      <w:tr w:rsidR="0050415D" w:rsidRPr="002766DF" w14:paraId="45EB2C9A" w14:textId="77777777" w:rsidTr="00201465">
        <w:tc>
          <w:tcPr>
            <w:tcW w:w="1413" w:type="dxa"/>
          </w:tcPr>
          <w:p w14:paraId="2E126E99" w14:textId="77777777" w:rsidR="0050415D" w:rsidRPr="002766DF" w:rsidRDefault="0050415D" w:rsidP="00201465">
            <w:pPr>
              <w:spacing w:line="360" w:lineRule="auto"/>
              <w:rPr>
                <w:rFonts w:ascii="Times New Roman" w:eastAsia="Times New Roman" w:hAnsi="Times New Roman"/>
                <w:b/>
                <w:bCs/>
                <w:sz w:val="24"/>
                <w:szCs w:val="24"/>
              </w:rPr>
            </w:pPr>
            <w:r w:rsidRPr="002766DF">
              <w:rPr>
                <w:rFonts w:ascii="Times New Roman" w:eastAsia="Times New Roman" w:hAnsi="Times New Roman"/>
                <w:b/>
                <w:bCs/>
                <w:sz w:val="24"/>
                <w:szCs w:val="24"/>
              </w:rPr>
              <w:t>Figura 2</w:t>
            </w:r>
          </w:p>
        </w:tc>
        <w:tc>
          <w:tcPr>
            <w:tcW w:w="6520" w:type="dxa"/>
          </w:tcPr>
          <w:p w14:paraId="1429B123" w14:textId="77777777" w:rsidR="0050415D" w:rsidRPr="00B73FEA" w:rsidRDefault="0050415D" w:rsidP="00201465">
            <w:pPr>
              <w:spacing w:line="360" w:lineRule="auto"/>
              <w:rPr>
                <w:rFonts w:asciiTheme="minorHAnsi" w:eastAsiaTheme="minorHAnsi" w:hAnsiTheme="minorHAnsi" w:cstheme="minorBidi"/>
                <w:kern w:val="2"/>
                <w:lang w:val="pt-BR"/>
                <w14:ligatures w14:val="standardContextual"/>
              </w:rPr>
            </w:pPr>
            <w:r w:rsidRPr="008B2C16">
              <w:rPr>
                <w:rFonts w:ascii="Times New Roman" w:hAnsi="Times New Roman"/>
                <w:sz w:val="24"/>
                <w:szCs w:val="24"/>
              </w:rPr>
              <w:t>Mapa conceitual da paisagem cultura</w:t>
            </w:r>
            <w:r>
              <w:rPr>
                <w:rFonts w:ascii="Times New Roman" w:hAnsi="Times New Roman"/>
                <w:sz w:val="24"/>
                <w:szCs w:val="24"/>
              </w:rPr>
              <w:t>l……………………………</w:t>
            </w:r>
          </w:p>
        </w:tc>
        <w:tc>
          <w:tcPr>
            <w:tcW w:w="1128" w:type="dxa"/>
          </w:tcPr>
          <w:p w14:paraId="1E7D3F1E" w14:textId="77777777" w:rsidR="0050415D" w:rsidRPr="002766DF" w:rsidRDefault="0050415D" w:rsidP="00201465">
            <w:pPr>
              <w:spacing w:line="360" w:lineRule="auto"/>
              <w:rPr>
                <w:rFonts w:ascii="Times New Roman" w:eastAsia="Times New Roman" w:hAnsi="Times New Roman"/>
                <w:sz w:val="24"/>
                <w:szCs w:val="24"/>
              </w:rPr>
            </w:pPr>
            <w:r w:rsidRPr="002766DF">
              <w:rPr>
                <w:rFonts w:ascii="Times New Roman" w:eastAsia="Times New Roman" w:hAnsi="Times New Roman"/>
                <w:sz w:val="24"/>
                <w:szCs w:val="24"/>
              </w:rPr>
              <w:t>1</w:t>
            </w:r>
            <w:r>
              <w:rPr>
                <w:rFonts w:ascii="Times New Roman" w:eastAsia="Times New Roman" w:hAnsi="Times New Roman"/>
                <w:sz w:val="24"/>
                <w:szCs w:val="24"/>
              </w:rPr>
              <w:t>20</w:t>
            </w:r>
          </w:p>
        </w:tc>
      </w:tr>
    </w:tbl>
    <w:p w14:paraId="6A1AED74" w14:textId="77777777" w:rsidR="0050415D" w:rsidRDefault="0050415D" w:rsidP="0050415D">
      <w:pPr>
        <w:jc w:val="center"/>
        <w:rPr>
          <w:rFonts w:ascii="Times New Roman" w:eastAsia="Times New Roman" w:hAnsi="Times New Roman" w:cs="Times New Roman"/>
          <w:b/>
          <w:bCs/>
          <w:sz w:val="40"/>
          <w:szCs w:val="40"/>
        </w:rPr>
      </w:pPr>
    </w:p>
    <w:p w14:paraId="26146F5B" w14:textId="77777777" w:rsidR="0050415D" w:rsidRDefault="0050415D" w:rsidP="0050415D"/>
    <w:p w14:paraId="30E2F6CD" w14:textId="77777777" w:rsidR="00B4597E" w:rsidRDefault="00B4597E" w:rsidP="00D121C1">
      <w:pPr>
        <w:jc w:val="center"/>
        <w:rPr>
          <w:rFonts w:ascii="Times New Roman" w:eastAsia="Times New Roman" w:hAnsi="Times New Roman" w:cs="Times New Roman"/>
          <w:b/>
          <w:bCs/>
          <w:sz w:val="24"/>
          <w:szCs w:val="24"/>
        </w:rPr>
      </w:pPr>
    </w:p>
    <w:p w14:paraId="1AB8370B" w14:textId="77777777" w:rsidR="002766DF" w:rsidRDefault="002766DF" w:rsidP="00D121C1">
      <w:pPr>
        <w:jc w:val="center"/>
        <w:rPr>
          <w:rFonts w:ascii="Times New Roman" w:eastAsia="Times New Roman" w:hAnsi="Times New Roman" w:cs="Times New Roman"/>
          <w:b/>
          <w:bCs/>
          <w:sz w:val="40"/>
          <w:szCs w:val="40"/>
        </w:rPr>
      </w:pPr>
    </w:p>
    <w:p w14:paraId="18C029FB" w14:textId="77777777" w:rsidR="002766DF" w:rsidRDefault="002766DF">
      <w:pP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br w:type="page"/>
      </w:r>
    </w:p>
    <w:sdt>
      <w:sdtPr>
        <w:rPr>
          <w:rFonts w:asciiTheme="minorHAnsi" w:eastAsiaTheme="minorHAnsi" w:hAnsiTheme="minorHAnsi" w:cstheme="minorBidi"/>
          <w:color w:val="auto"/>
          <w:kern w:val="2"/>
          <w:sz w:val="22"/>
          <w:szCs w:val="22"/>
          <w:lang w:eastAsia="en-US"/>
          <w14:ligatures w14:val="standardContextual"/>
        </w:rPr>
        <w:id w:val="1974630837"/>
        <w:docPartObj>
          <w:docPartGallery w:val="Table of Contents"/>
          <w:docPartUnique/>
        </w:docPartObj>
      </w:sdtPr>
      <w:sdtEndPr>
        <w:rPr>
          <w:rFonts w:ascii="Times New Roman" w:hAnsi="Times New Roman" w:cs="Times New Roman"/>
          <w:b/>
          <w:bCs/>
          <w:sz w:val="24"/>
          <w:szCs w:val="24"/>
        </w:rPr>
      </w:sdtEndPr>
      <w:sdtContent>
        <w:p w14:paraId="72527E4D" w14:textId="6EC820AF" w:rsidR="00B73FEA" w:rsidRDefault="00B73FEA" w:rsidP="00B73FEA">
          <w:pPr>
            <w:pStyle w:val="CabealhodoSumrio"/>
            <w:spacing w:before="0" w:line="360" w:lineRule="auto"/>
            <w:jc w:val="center"/>
            <w:rPr>
              <w:rFonts w:ascii="Times New Roman" w:hAnsi="Times New Roman" w:cs="Times New Roman"/>
              <w:b/>
              <w:bCs/>
              <w:color w:val="auto"/>
              <w:sz w:val="24"/>
              <w:szCs w:val="24"/>
            </w:rPr>
          </w:pPr>
          <w:r w:rsidRPr="00B73FEA">
            <w:rPr>
              <w:rFonts w:ascii="Times New Roman" w:hAnsi="Times New Roman" w:cs="Times New Roman"/>
              <w:b/>
              <w:bCs/>
              <w:color w:val="auto"/>
              <w:sz w:val="24"/>
              <w:szCs w:val="24"/>
            </w:rPr>
            <w:t>SUMÁRIO</w:t>
          </w:r>
        </w:p>
        <w:p w14:paraId="616B8976" w14:textId="77777777" w:rsidR="00B73FEA" w:rsidRPr="00B73FEA" w:rsidRDefault="00B73FEA" w:rsidP="00B73FEA">
          <w:pPr>
            <w:rPr>
              <w:lang w:eastAsia="pt-BR"/>
            </w:rPr>
          </w:pPr>
        </w:p>
        <w:p w14:paraId="70A56915" w14:textId="7BF8C5F3" w:rsidR="00B73FEA" w:rsidRPr="00F518AA" w:rsidRDefault="00B73FEA" w:rsidP="00B73FEA">
          <w:pPr>
            <w:pStyle w:val="Sumrio1"/>
            <w:tabs>
              <w:tab w:val="right" w:leader="dot" w:pos="9061"/>
            </w:tabs>
            <w:spacing w:after="0" w:line="360" w:lineRule="auto"/>
            <w:jc w:val="both"/>
            <w:rPr>
              <w:rFonts w:ascii="Times New Roman" w:eastAsiaTheme="minorEastAsia" w:hAnsi="Times New Roman" w:cs="Times New Roman"/>
              <w:b/>
              <w:bCs/>
              <w:noProof/>
              <w:sz w:val="24"/>
              <w:szCs w:val="24"/>
              <w:lang w:eastAsia="pt-BR"/>
            </w:rPr>
          </w:pPr>
          <w:r w:rsidRPr="00B73FEA">
            <w:rPr>
              <w:rFonts w:ascii="Times New Roman" w:hAnsi="Times New Roman" w:cs="Times New Roman"/>
              <w:sz w:val="24"/>
              <w:szCs w:val="24"/>
            </w:rPr>
            <w:fldChar w:fldCharType="begin"/>
          </w:r>
          <w:r w:rsidRPr="00B73FEA">
            <w:rPr>
              <w:rFonts w:ascii="Times New Roman" w:hAnsi="Times New Roman" w:cs="Times New Roman"/>
              <w:sz w:val="24"/>
              <w:szCs w:val="24"/>
            </w:rPr>
            <w:instrText xml:space="preserve"> TOC \o "1-3" \h \z \u </w:instrText>
          </w:r>
          <w:r w:rsidRPr="00B73FEA">
            <w:rPr>
              <w:rFonts w:ascii="Times New Roman" w:hAnsi="Times New Roman" w:cs="Times New Roman"/>
              <w:sz w:val="24"/>
              <w:szCs w:val="24"/>
            </w:rPr>
            <w:fldChar w:fldCharType="separate"/>
          </w:r>
          <w:hyperlink w:anchor="_Toc146826496" w:history="1">
            <w:r w:rsidR="0059188C" w:rsidRPr="00F518AA">
              <w:rPr>
                <w:rStyle w:val="Hyperlink"/>
                <w:rFonts w:ascii="Times New Roman" w:eastAsia="Times New Roman" w:hAnsi="Times New Roman" w:cs="Times New Roman"/>
                <w:b/>
                <w:bCs/>
                <w:noProof/>
                <w:sz w:val="24"/>
                <w:szCs w:val="24"/>
              </w:rPr>
              <w:t>LINHA DE PESQUISA “INFORMAÇÃO, CULTURA E SOCIEDADE”</w:t>
            </w:r>
            <w:r w:rsidRPr="00F518AA">
              <w:rPr>
                <w:rFonts w:ascii="Times New Roman" w:hAnsi="Times New Roman" w:cs="Times New Roman"/>
                <w:b/>
                <w:bCs/>
                <w:noProof/>
                <w:webHidden/>
                <w:sz w:val="24"/>
                <w:szCs w:val="24"/>
              </w:rPr>
              <w:tab/>
            </w:r>
            <w:r w:rsidRPr="00F518AA">
              <w:rPr>
                <w:rFonts w:ascii="Times New Roman" w:hAnsi="Times New Roman" w:cs="Times New Roman"/>
                <w:b/>
                <w:bCs/>
                <w:noProof/>
                <w:webHidden/>
                <w:sz w:val="24"/>
                <w:szCs w:val="24"/>
              </w:rPr>
              <w:fldChar w:fldCharType="begin"/>
            </w:r>
            <w:r w:rsidRPr="00F518AA">
              <w:rPr>
                <w:rFonts w:ascii="Times New Roman" w:hAnsi="Times New Roman" w:cs="Times New Roman"/>
                <w:b/>
                <w:bCs/>
                <w:noProof/>
                <w:webHidden/>
                <w:sz w:val="24"/>
                <w:szCs w:val="24"/>
              </w:rPr>
              <w:instrText xml:space="preserve"> PAGEREF _Toc146826496 \h </w:instrText>
            </w:r>
            <w:r w:rsidRPr="00F518AA">
              <w:rPr>
                <w:rFonts w:ascii="Times New Roman" w:hAnsi="Times New Roman" w:cs="Times New Roman"/>
                <w:b/>
                <w:bCs/>
                <w:noProof/>
                <w:webHidden/>
                <w:sz w:val="24"/>
                <w:szCs w:val="24"/>
              </w:rPr>
            </w:r>
            <w:r w:rsidRPr="00F518AA">
              <w:rPr>
                <w:rFonts w:ascii="Times New Roman" w:hAnsi="Times New Roman" w:cs="Times New Roman"/>
                <w:b/>
                <w:bCs/>
                <w:noProof/>
                <w:webHidden/>
                <w:sz w:val="24"/>
                <w:szCs w:val="24"/>
              </w:rPr>
              <w:fldChar w:fldCharType="separate"/>
            </w:r>
            <w:r w:rsidRPr="00F518AA">
              <w:rPr>
                <w:rFonts w:ascii="Times New Roman" w:hAnsi="Times New Roman" w:cs="Times New Roman"/>
                <w:b/>
                <w:bCs/>
                <w:noProof/>
                <w:webHidden/>
                <w:sz w:val="24"/>
                <w:szCs w:val="24"/>
              </w:rPr>
              <w:t>4</w:t>
            </w:r>
            <w:r w:rsidRPr="00F518AA">
              <w:rPr>
                <w:rFonts w:ascii="Times New Roman" w:hAnsi="Times New Roman" w:cs="Times New Roman"/>
                <w:b/>
                <w:bCs/>
                <w:noProof/>
                <w:webHidden/>
                <w:sz w:val="24"/>
                <w:szCs w:val="24"/>
              </w:rPr>
              <w:fldChar w:fldCharType="end"/>
            </w:r>
          </w:hyperlink>
        </w:p>
        <w:p w14:paraId="14BD413E" w14:textId="75AC3EB9"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497" w:history="1">
            <w:r w:rsidR="00B73FEA" w:rsidRPr="00F518AA">
              <w:rPr>
                <w:rStyle w:val="Hyperlink"/>
                <w:rFonts w:ascii="Times New Roman" w:hAnsi="Times New Roman" w:cs="Times New Roman"/>
                <w:noProof/>
                <w:sz w:val="24"/>
                <w:szCs w:val="24"/>
              </w:rPr>
              <w:t>REFLEXÕES SOBRE OS FUNDAMENTOS DO CONCEITO DE REGIME DE INFORMAÇÃO E SUA APLICAÇÃO AOS ESTUDOS DA PRODUÇÃO E DIVULGAÇÃO DO CONHECIMENTO EM UMA INSTITUIÇÃO DE PESQUISA</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_Toc146826497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5</w:t>
            </w:r>
            <w:r w:rsidR="00B73FEA" w:rsidRPr="00F518AA">
              <w:rPr>
                <w:rFonts w:ascii="Times New Roman" w:hAnsi="Times New Roman" w:cs="Times New Roman"/>
                <w:noProof/>
                <w:webHidden/>
                <w:sz w:val="24"/>
                <w:szCs w:val="24"/>
              </w:rPr>
              <w:fldChar w:fldCharType="end"/>
            </w:r>
          </w:hyperlink>
        </w:p>
        <w:p w14:paraId="3B7CAFAE" w14:textId="38AE3FF9"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498" w:history="1">
            <w:r w:rsidR="00B73FEA" w:rsidRPr="00F518AA">
              <w:rPr>
                <w:rStyle w:val="Hyperlink"/>
                <w:rFonts w:ascii="Times New Roman" w:hAnsi="Times New Roman" w:cs="Times New Roman"/>
                <w:caps/>
                <w:noProof/>
                <w:sz w:val="24"/>
                <w:szCs w:val="24"/>
              </w:rPr>
              <w:t>A formação profissional em arquivos correntes no Brasil</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_Toc146826498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26</w:t>
            </w:r>
            <w:r w:rsidR="00B73FEA" w:rsidRPr="00F518AA">
              <w:rPr>
                <w:rFonts w:ascii="Times New Roman" w:hAnsi="Times New Roman" w:cs="Times New Roman"/>
                <w:noProof/>
                <w:webHidden/>
                <w:sz w:val="24"/>
                <w:szCs w:val="24"/>
              </w:rPr>
              <w:fldChar w:fldCharType="end"/>
            </w:r>
          </w:hyperlink>
        </w:p>
        <w:p w14:paraId="396C7CFB" w14:textId="722F702A"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499" w:history="1">
            <w:r w:rsidR="00B73FEA" w:rsidRPr="00F518AA">
              <w:rPr>
                <w:rStyle w:val="Hyperlink"/>
                <w:rFonts w:ascii="Times New Roman" w:eastAsia="Times New Roman" w:hAnsi="Times New Roman" w:cs="Times New Roman"/>
                <w:noProof/>
                <w:sz w:val="24"/>
                <w:szCs w:val="24"/>
              </w:rPr>
              <w:t>A DEFINIÇÃO DE AQUISIÇÃO DE ACERVOS ARQUIVÍSTICOS E SUA COMPREENSÃO NOS PERÍODOS DA ARQUIVOLOGIA CLÁSSICA, MODERNA E CONTEMPORÂNEA</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_Toc146826499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42</w:t>
            </w:r>
            <w:r w:rsidR="00B73FEA" w:rsidRPr="00F518AA">
              <w:rPr>
                <w:rFonts w:ascii="Times New Roman" w:hAnsi="Times New Roman" w:cs="Times New Roman"/>
                <w:noProof/>
                <w:webHidden/>
                <w:sz w:val="24"/>
                <w:szCs w:val="24"/>
              </w:rPr>
              <w:fldChar w:fldCharType="end"/>
            </w:r>
          </w:hyperlink>
        </w:p>
        <w:p w14:paraId="120369B3" w14:textId="33A4CC3B"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500" w:history="1">
            <w:r w:rsidR="00B73FEA" w:rsidRPr="00F518AA">
              <w:rPr>
                <w:rStyle w:val="Hyperlink"/>
                <w:rFonts w:ascii="Times New Roman" w:hAnsi="Times New Roman" w:cs="Times New Roman"/>
                <w:noProof/>
                <w:sz w:val="24"/>
                <w:szCs w:val="24"/>
                <w:lang w:bidi="hi-IN"/>
              </w:rPr>
              <w:t>A NEODOCUMENTAÇÃO, SEUS ATORES E LUGARES: Niels Lund e Michael Buckland, Dokvit e a Document Academy.</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_Toc146826500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56</w:t>
            </w:r>
            <w:r w:rsidR="00B73FEA" w:rsidRPr="00F518AA">
              <w:rPr>
                <w:rFonts w:ascii="Times New Roman" w:hAnsi="Times New Roman" w:cs="Times New Roman"/>
                <w:noProof/>
                <w:webHidden/>
                <w:sz w:val="24"/>
                <w:szCs w:val="24"/>
              </w:rPr>
              <w:fldChar w:fldCharType="end"/>
            </w:r>
          </w:hyperlink>
        </w:p>
        <w:p w14:paraId="27FABA91" w14:textId="2344144F"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501" w:history="1">
            <w:r w:rsidR="00B73FEA" w:rsidRPr="00F518AA">
              <w:rPr>
                <w:rStyle w:val="Hyperlink"/>
                <w:rFonts w:ascii="Times New Roman" w:hAnsi="Times New Roman" w:cs="Times New Roman"/>
                <w:iCs/>
                <w:noProof/>
                <w:sz w:val="24"/>
                <w:szCs w:val="24"/>
              </w:rPr>
              <w:t>DIÁLOGOS E CONEXÕES ENTRE O DIREITO DE ACESSO À INFORMAÇÃO E A FUNÇÃO SOCIAL DOS ARQUIVOS: uma abordagem arquivística</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_Toc146826501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77</w:t>
            </w:r>
            <w:r w:rsidR="00B73FEA" w:rsidRPr="00F518AA">
              <w:rPr>
                <w:rFonts w:ascii="Times New Roman" w:hAnsi="Times New Roman" w:cs="Times New Roman"/>
                <w:noProof/>
                <w:webHidden/>
                <w:sz w:val="24"/>
                <w:szCs w:val="24"/>
              </w:rPr>
              <w:fldChar w:fldCharType="end"/>
            </w:r>
          </w:hyperlink>
        </w:p>
        <w:p w14:paraId="58D40B8A" w14:textId="6EA3FAA9"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b/>
              <w:bCs/>
              <w:noProof/>
              <w:sz w:val="24"/>
              <w:szCs w:val="24"/>
              <w:lang w:eastAsia="pt-BR"/>
            </w:rPr>
          </w:pPr>
          <w:hyperlink w:anchor="_Toc146826502" w:history="1">
            <w:r w:rsidR="0059188C" w:rsidRPr="00F518AA">
              <w:rPr>
                <w:rStyle w:val="Hyperlink"/>
                <w:rFonts w:ascii="Times New Roman" w:eastAsia="Times New Roman" w:hAnsi="Times New Roman" w:cs="Times New Roman"/>
                <w:b/>
                <w:bCs/>
                <w:noProof/>
                <w:sz w:val="24"/>
                <w:szCs w:val="24"/>
              </w:rPr>
              <w:t>LINHA DE PESQUISA “FLUXOS E MEDIAÇÕES SÓCIO-TÉCNICAS DA INFORMAÇÃO”</w:t>
            </w:r>
            <w:r w:rsidR="0059188C" w:rsidRPr="00F518AA">
              <w:rPr>
                <w:rFonts w:ascii="Times New Roman" w:hAnsi="Times New Roman" w:cs="Times New Roman"/>
                <w:b/>
                <w:bCs/>
                <w:noProof/>
                <w:webHidden/>
                <w:sz w:val="24"/>
                <w:szCs w:val="24"/>
              </w:rPr>
              <w:tab/>
            </w:r>
            <w:r w:rsidR="00B73FEA" w:rsidRPr="00F518AA">
              <w:rPr>
                <w:rFonts w:ascii="Times New Roman" w:hAnsi="Times New Roman" w:cs="Times New Roman"/>
                <w:b/>
                <w:bCs/>
                <w:noProof/>
                <w:webHidden/>
                <w:sz w:val="24"/>
                <w:szCs w:val="24"/>
              </w:rPr>
              <w:fldChar w:fldCharType="begin"/>
            </w:r>
            <w:r w:rsidR="00B73FEA" w:rsidRPr="00F518AA">
              <w:rPr>
                <w:rFonts w:ascii="Times New Roman" w:hAnsi="Times New Roman" w:cs="Times New Roman"/>
                <w:b/>
                <w:bCs/>
                <w:noProof/>
                <w:webHidden/>
                <w:sz w:val="24"/>
                <w:szCs w:val="24"/>
              </w:rPr>
              <w:instrText xml:space="preserve"> PAGEREF _Toc146826502 \h </w:instrText>
            </w:r>
            <w:r w:rsidR="00B73FEA" w:rsidRPr="00F518AA">
              <w:rPr>
                <w:rFonts w:ascii="Times New Roman" w:hAnsi="Times New Roman" w:cs="Times New Roman"/>
                <w:b/>
                <w:bCs/>
                <w:noProof/>
                <w:webHidden/>
                <w:sz w:val="24"/>
                <w:szCs w:val="24"/>
              </w:rPr>
            </w:r>
            <w:r w:rsidR="00B73FEA" w:rsidRPr="00F518AA">
              <w:rPr>
                <w:rFonts w:ascii="Times New Roman" w:hAnsi="Times New Roman" w:cs="Times New Roman"/>
                <w:b/>
                <w:bCs/>
                <w:noProof/>
                <w:webHidden/>
                <w:sz w:val="24"/>
                <w:szCs w:val="24"/>
              </w:rPr>
              <w:fldChar w:fldCharType="separate"/>
            </w:r>
            <w:r w:rsidR="0059188C" w:rsidRPr="00F518AA">
              <w:rPr>
                <w:rFonts w:ascii="Times New Roman" w:hAnsi="Times New Roman" w:cs="Times New Roman"/>
                <w:b/>
                <w:bCs/>
                <w:noProof/>
                <w:webHidden/>
                <w:sz w:val="24"/>
                <w:szCs w:val="24"/>
              </w:rPr>
              <w:t>89</w:t>
            </w:r>
            <w:r w:rsidR="00B73FEA" w:rsidRPr="00F518AA">
              <w:rPr>
                <w:rFonts w:ascii="Times New Roman" w:hAnsi="Times New Roman" w:cs="Times New Roman"/>
                <w:b/>
                <w:bCs/>
                <w:noProof/>
                <w:webHidden/>
                <w:sz w:val="24"/>
                <w:szCs w:val="24"/>
              </w:rPr>
              <w:fldChar w:fldCharType="end"/>
            </w:r>
          </w:hyperlink>
        </w:p>
        <w:p w14:paraId="59CB962E" w14:textId="47792A31"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503" w:history="1">
            <w:r w:rsidR="00B73FEA" w:rsidRPr="00F518AA">
              <w:rPr>
                <w:rStyle w:val="Hyperlink"/>
                <w:rFonts w:ascii="Times New Roman" w:hAnsi="Times New Roman" w:cs="Times New Roman"/>
                <w:noProof/>
                <w:sz w:val="24"/>
                <w:szCs w:val="24"/>
              </w:rPr>
              <w:t>TEORIAS E “PARADIGMAS” DA CIÊNCIA DA INFORMAÇÃO: possibilidade de integração a partir da Semiótica</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_Toc146826503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90</w:t>
            </w:r>
            <w:r w:rsidR="00B73FEA" w:rsidRPr="00F518AA">
              <w:rPr>
                <w:rFonts w:ascii="Times New Roman" w:hAnsi="Times New Roman" w:cs="Times New Roman"/>
                <w:noProof/>
                <w:webHidden/>
                <w:sz w:val="24"/>
                <w:szCs w:val="24"/>
              </w:rPr>
              <w:fldChar w:fldCharType="end"/>
            </w:r>
          </w:hyperlink>
        </w:p>
        <w:p w14:paraId="724D55DF" w14:textId="58C87F35" w:rsidR="00B73FEA" w:rsidRPr="00F518A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504" w:history="1">
            <w:r w:rsidR="00B73FEA" w:rsidRPr="00F518AA">
              <w:rPr>
                <w:rStyle w:val="Hyperlink"/>
                <w:rFonts w:ascii="Times New Roman" w:eastAsia="Calibri" w:hAnsi="Times New Roman" w:cs="Times New Roman"/>
                <w:noProof/>
                <w:kern w:val="0"/>
                <w:sz w:val="24"/>
                <w:szCs w:val="24"/>
                <w14:ligatures w14:val="none"/>
              </w:rPr>
              <w:t>A PAISAGEM RURAL, SUA REDE CONCEITUAL, COMUNIDADE DISCURSIVA E ANÁLISE DE DOMÍNIO: a representação do conhecimento geográfico no âmbito dos Sistemas de Organização do Conhecimento (SOCs)</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_Toc146826504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107</w:t>
            </w:r>
            <w:r w:rsidR="00B73FEA" w:rsidRPr="00F518AA">
              <w:rPr>
                <w:rFonts w:ascii="Times New Roman" w:hAnsi="Times New Roman" w:cs="Times New Roman"/>
                <w:noProof/>
                <w:webHidden/>
                <w:sz w:val="24"/>
                <w:szCs w:val="24"/>
              </w:rPr>
              <w:fldChar w:fldCharType="end"/>
            </w:r>
          </w:hyperlink>
        </w:p>
        <w:p w14:paraId="1BE4532F" w14:textId="523AAD7F" w:rsidR="00B73FEA" w:rsidRPr="00B73FEA" w:rsidRDefault="00000000" w:rsidP="00B73FEA">
          <w:pPr>
            <w:pStyle w:val="Sumrio1"/>
            <w:tabs>
              <w:tab w:val="right" w:leader="dot" w:pos="9061"/>
            </w:tabs>
            <w:spacing w:after="0" w:line="360" w:lineRule="auto"/>
            <w:jc w:val="both"/>
            <w:rPr>
              <w:rFonts w:ascii="Times New Roman" w:eastAsiaTheme="minorEastAsia" w:hAnsi="Times New Roman" w:cs="Times New Roman"/>
              <w:noProof/>
              <w:sz w:val="24"/>
              <w:szCs w:val="24"/>
              <w:lang w:eastAsia="pt-BR"/>
            </w:rPr>
          </w:pPr>
          <w:hyperlink w:anchor="_Toc146826505" w:history="1">
            <w:r w:rsidR="00B73FEA" w:rsidRPr="00F518AA">
              <w:rPr>
                <w:rStyle w:val="Hyperlink"/>
                <w:rFonts w:ascii="Times New Roman" w:eastAsia="Times New Roman" w:hAnsi="Times New Roman" w:cs="Times New Roman"/>
                <w:noProof/>
                <w:kern w:val="0"/>
                <w:sz w:val="24"/>
                <w:szCs w:val="24"/>
                <w:lang w:eastAsia="pt-BR"/>
                <w14:ligatures w14:val="none"/>
              </w:rPr>
              <w:t>PRINCÍPIOS PARA MODELAGEM DE DOMÍNIO NO ÂMBITO DA CULTURA IMATERIAL BRASILEIRA: um caminho para a aquisição de conhecimento sobre as oficinas de percussão popular brasileira</w:t>
            </w:r>
            <w:r w:rsidR="00B73FEA" w:rsidRPr="00F518AA">
              <w:rPr>
                <w:rFonts w:ascii="Times New Roman" w:hAnsi="Times New Roman" w:cs="Times New Roman"/>
                <w:noProof/>
                <w:webHidden/>
                <w:sz w:val="24"/>
                <w:szCs w:val="24"/>
              </w:rPr>
              <w:tab/>
            </w:r>
            <w:r w:rsidR="00B73FEA" w:rsidRPr="00F518AA">
              <w:rPr>
                <w:rFonts w:ascii="Times New Roman" w:hAnsi="Times New Roman" w:cs="Times New Roman"/>
                <w:noProof/>
                <w:webHidden/>
                <w:sz w:val="24"/>
                <w:szCs w:val="24"/>
              </w:rPr>
              <w:fldChar w:fldCharType="begin"/>
            </w:r>
            <w:r w:rsidR="00B73FEA" w:rsidRPr="00F518AA">
              <w:rPr>
                <w:rFonts w:ascii="Times New Roman" w:hAnsi="Times New Roman" w:cs="Times New Roman"/>
                <w:noProof/>
                <w:webHidden/>
                <w:sz w:val="24"/>
                <w:szCs w:val="24"/>
              </w:rPr>
              <w:instrText xml:space="preserve"> PAGEREF _Toc146826505 \h </w:instrText>
            </w:r>
            <w:r w:rsidR="00B73FEA" w:rsidRPr="00F518AA">
              <w:rPr>
                <w:rFonts w:ascii="Times New Roman" w:hAnsi="Times New Roman" w:cs="Times New Roman"/>
                <w:noProof/>
                <w:webHidden/>
                <w:sz w:val="24"/>
                <w:szCs w:val="24"/>
              </w:rPr>
            </w:r>
            <w:r w:rsidR="00B73FEA" w:rsidRPr="00F518AA">
              <w:rPr>
                <w:rFonts w:ascii="Times New Roman" w:hAnsi="Times New Roman" w:cs="Times New Roman"/>
                <w:noProof/>
                <w:webHidden/>
                <w:sz w:val="24"/>
                <w:szCs w:val="24"/>
              </w:rPr>
              <w:fldChar w:fldCharType="separate"/>
            </w:r>
            <w:r w:rsidR="00B73FEA" w:rsidRPr="00F518AA">
              <w:rPr>
                <w:rFonts w:ascii="Times New Roman" w:hAnsi="Times New Roman" w:cs="Times New Roman"/>
                <w:noProof/>
                <w:webHidden/>
                <w:sz w:val="24"/>
                <w:szCs w:val="24"/>
              </w:rPr>
              <w:t>124</w:t>
            </w:r>
            <w:r w:rsidR="00B73FEA" w:rsidRPr="00F518AA">
              <w:rPr>
                <w:rFonts w:ascii="Times New Roman" w:hAnsi="Times New Roman" w:cs="Times New Roman"/>
                <w:noProof/>
                <w:webHidden/>
                <w:sz w:val="24"/>
                <w:szCs w:val="24"/>
              </w:rPr>
              <w:fldChar w:fldCharType="end"/>
            </w:r>
          </w:hyperlink>
        </w:p>
        <w:p w14:paraId="61C4471B" w14:textId="2157FFA1" w:rsidR="00B73FEA" w:rsidRPr="00B73FEA" w:rsidRDefault="00B73FEA" w:rsidP="00B73FEA">
          <w:pPr>
            <w:spacing w:after="0" w:line="360" w:lineRule="auto"/>
            <w:jc w:val="both"/>
            <w:rPr>
              <w:rFonts w:ascii="Times New Roman" w:hAnsi="Times New Roman" w:cs="Times New Roman"/>
              <w:sz w:val="24"/>
              <w:szCs w:val="24"/>
            </w:rPr>
          </w:pPr>
          <w:r w:rsidRPr="00B73FEA">
            <w:rPr>
              <w:rFonts w:ascii="Times New Roman" w:hAnsi="Times New Roman" w:cs="Times New Roman"/>
              <w:b/>
              <w:bCs/>
              <w:sz w:val="24"/>
              <w:szCs w:val="24"/>
            </w:rPr>
            <w:fldChar w:fldCharType="end"/>
          </w:r>
        </w:p>
      </w:sdtContent>
    </w:sdt>
    <w:p w14:paraId="427C12DF" w14:textId="28246EEC" w:rsidR="00863B19" w:rsidRPr="00D121C1" w:rsidRDefault="00863B19" w:rsidP="00D121C1">
      <w:pPr>
        <w:jc w:val="center"/>
        <w:rPr>
          <w:rFonts w:ascii="Times New Roman" w:eastAsia="Times New Roman" w:hAnsi="Times New Roman" w:cs="Times New Roman"/>
          <w:b/>
          <w:bCs/>
          <w:sz w:val="40"/>
          <w:szCs w:val="40"/>
        </w:rPr>
      </w:pPr>
      <w:r w:rsidRPr="00D121C1">
        <w:rPr>
          <w:rFonts w:ascii="Times New Roman" w:eastAsia="Times New Roman" w:hAnsi="Times New Roman" w:cs="Times New Roman"/>
          <w:b/>
          <w:bCs/>
          <w:sz w:val="40"/>
          <w:szCs w:val="40"/>
        </w:rPr>
        <w:br w:type="page"/>
      </w:r>
    </w:p>
    <w:p w14:paraId="3018EE78" w14:textId="77777777" w:rsidR="008E3113" w:rsidRDefault="008E3113" w:rsidP="008E3113">
      <w:pPr>
        <w:spacing w:line="360" w:lineRule="auto"/>
        <w:jc w:val="center"/>
        <w:rPr>
          <w:rFonts w:ascii="Times" w:eastAsia="Times" w:hAnsi="Times" w:cs="Times"/>
          <w:b/>
        </w:rPr>
      </w:pPr>
      <w:r>
        <w:rPr>
          <w:rFonts w:ascii="Times" w:eastAsia="Times" w:hAnsi="Times" w:cs="Times"/>
          <w:b/>
        </w:rPr>
        <w:lastRenderedPageBreak/>
        <w:t>APRESENTAÇÃO</w:t>
      </w:r>
    </w:p>
    <w:p w14:paraId="47813315"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O surgimento da Ciência da Informação vincula-se, principalmente, ao fim da Segunda Guerra Mundial e ao início da Guerra Fria, muito em decorrência da necessidade de solucionar problemas relacionados à produção de muitas informações compreendidas como recursos, uma vez que, nesse período e até os dias atuais, acessá-las de maneira ágil corresponde a um elemento estratégico para as esferas pública e privada. </w:t>
      </w:r>
    </w:p>
    <w:p w14:paraId="42917D07"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t>A informação foi reconhecida como uma condição de produtividade, tendo em vista o tempo despendido na busca e dificuldade de acesso.  De acordo com teóricos da Ciência da Informação</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pode-se compreender este campo a partir de três paradigmas: 1) físico - relacionado ao suporte físico que armazena a informação e com a finalidade de sua recuperação; 2) cognitivo- no qual o usuário da informação é reconhecido como um sujeito cognoscente e o conhecimento já adquirido desse sujeito não é considerado; 3) social- o conhecimento teórico é fundido a partir de um conhecimento prévio tácito. </w:t>
      </w:r>
    </w:p>
    <w:p w14:paraId="62764B8F"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t>No Brasil, a história da Ciência da Informação</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possui forte vínculo com o Instituto Brasileiro de Bibliografia e Documentação (IBBD), criado na década de 1950. Soma-se a este fator a criação dos primeiros cursos de pós-graduação </w:t>
      </w:r>
      <w:r>
        <w:rPr>
          <w:rFonts w:ascii="Times New Roman" w:eastAsia="Times New Roman" w:hAnsi="Times New Roman" w:cs="Times New Roman"/>
          <w:i/>
        </w:rPr>
        <w:t>lato sensu</w:t>
      </w:r>
      <w:r>
        <w:rPr>
          <w:rFonts w:ascii="Times New Roman" w:eastAsia="Times New Roman" w:hAnsi="Times New Roman" w:cs="Times New Roman"/>
        </w:rPr>
        <w:t xml:space="preserve"> e </w:t>
      </w:r>
      <w:r>
        <w:rPr>
          <w:rFonts w:ascii="Times New Roman" w:eastAsia="Times New Roman" w:hAnsi="Times New Roman" w:cs="Times New Roman"/>
          <w:i/>
        </w:rPr>
        <w:t>stricto sensu</w:t>
      </w:r>
      <w:r>
        <w:rPr>
          <w:rFonts w:ascii="Times New Roman" w:eastAsia="Times New Roman" w:hAnsi="Times New Roman" w:cs="Times New Roman"/>
        </w:rPr>
        <w:t xml:space="preserve"> nessa instituição. Fato esse que contribuiu para a disseminação do campo em outras universidades e que se tornou um espaço para discussões de diversos outros campos do conhecimento, principalmente, da Biblioteconomia e da Arquivologia. </w:t>
      </w:r>
    </w:p>
    <w:p w14:paraId="6F3D9ADE" w14:textId="77777777" w:rsidR="008E3113" w:rsidRDefault="008E3113" w:rsidP="008E3113">
      <w:pPr>
        <w:spacing w:after="0"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O Programa de Pós-Graduação </w:t>
      </w:r>
      <w:r>
        <w:rPr>
          <w:rFonts w:ascii="Times New Roman" w:eastAsia="Times New Roman" w:hAnsi="Times New Roman" w:cs="Times New Roman"/>
          <w:i/>
          <w:highlight w:val="white"/>
        </w:rPr>
        <w:t>s</w:t>
      </w:r>
      <w:r>
        <w:rPr>
          <w:rFonts w:ascii="Times New Roman" w:eastAsia="Times New Roman" w:hAnsi="Times New Roman" w:cs="Times New Roman"/>
          <w:i/>
          <w:color w:val="000000"/>
          <w:highlight w:val="white"/>
        </w:rPr>
        <w:t xml:space="preserve">tricto </w:t>
      </w:r>
      <w:r>
        <w:rPr>
          <w:rFonts w:ascii="Times New Roman" w:eastAsia="Times New Roman" w:hAnsi="Times New Roman" w:cs="Times New Roman"/>
          <w:i/>
          <w:highlight w:val="white"/>
        </w:rPr>
        <w:t>s</w:t>
      </w:r>
      <w:r>
        <w:rPr>
          <w:rFonts w:ascii="Times New Roman" w:eastAsia="Times New Roman" w:hAnsi="Times New Roman" w:cs="Times New Roman"/>
          <w:i/>
          <w:color w:val="000000"/>
          <w:highlight w:val="white"/>
        </w:rPr>
        <w:t xml:space="preserve">ensu </w:t>
      </w:r>
      <w:r>
        <w:rPr>
          <w:rFonts w:ascii="Times New Roman" w:eastAsia="Times New Roman" w:hAnsi="Times New Roman" w:cs="Times New Roman"/>
          <w:color w:val="000000"/>
          <w:highlight w:val="white"/>
        </w:rPr>
        <w:t>em Ciência da Informação da Universidade Federal Fluminense (PPGCI/UFF), criado em 2009, conta com os cursos de mestrado acadêmico, instituído em 2009, doutorado, instituído em 2015</w:t>
      </w:r>
      <w:r>
        <w:rPr>
          <w:rFonts w:ascii="Times New Roman" w:eastAsia="Times New Roman" w:hAnsi="Times New Roman" w:cs="Times New Roman"/>
          <w:highlight w:val="white"/>
        </w:rPr>
        <w:t>, além da</w:t>
      </w:r>
      <w:r>
        <w:rPr>
          <w:rFonts w:ascii="Times New Roman" w:eastAsia="Times New Roman" w:hAnsi="Times New Roman" w:cs="Times New Roman"/>
          <w:color w:val="000000"/>
          <w:highlight w:val="white"/>
        </w:rPr>
        <w:t xml:space="preserve">  oferta</w:t>
      </w:r>
      <w:r>
        <w:rPr>
          <w:rFonts w:ascii="Times New Roman" w:eastAsia="Times New Roman" w:hAnsi="Times New Roman" w:cs="Times New Roman"/>
          <w:highlight w:val="white"/>
        </w:rPr>
        <w:t xml:space="preserve"> de </w:t>
      </w:r>
      <w:r>
        <w:rPr>
          <w:rFonts w:ascii="Times New Roman" w:eastAsia="Times New Roman" w:hAnsi="Times New Roman" w:cs="Times New Roman"/>
          <w:color w:val="000000"/>
          <w:highlight w:val="white"/>
        </w:rPr>
        <w:t xml:space="preserve">pesquisas de pós-doutorado. A sua finalidade é a formação e o aprimoramento de pesquisadores comprometidos com o avanço do conhecimento no campo da Ciência da Informação. </w:t>
      </w:r>
    </w:p>
    <w:p w14:paraId="296B2266" w14:textId="77777777" w:rsidR="008E3113" w:rsidRDefault="008E3113" w:rsidP="008E3113">
      <w:pPr>
        <w:spacing w:after="0" w:line="360" w:lineRule="auto"/>
        <w:ind w:firstLine="709"/>
        <w:jc w:val="both"/>
        <w:rPr>
          <w:rFonts w:ascii="Times New Roman" w:eastAsia="Times New Roman" w:hAnsi="Times New Roman" w:cs="Times New Roman"/>
          <w:color w:val="FF0000"/>
        </w:rPr>
      </w:pPr>
      <w:r>
        <w:rPr>
          <w:rFonts w:ascii="Times New Roman" w:eastAsia="Times New Roman" w:hAnsi="Times New Roman" w:cs="Times New Roman"/>
        </w:rPr>
        <w:t>Reconhecendo o panorama no qual a Ciência da Informação está inserida, esta obra apresenta as principais pesquisas do campo de estudo e de suas áreas afins, desenvolvidas no âmbito do PPGCI/UFF, correspondendo ao período de 2020 a 2022 em nível de doutorado.</w:t>
      </w:r>
    </w:p>
    <w:p w14:paraId="0E135E54"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Os textos aqui reunidos foram organizados em duas partes que somam oito capítulos. Tal divisão baseou-se nas linhas de pesquisa do Programa. A estrutura do livro, que conta com dezesseis autores, reflete o extenso cenário de estudos em Ciência da Informação no PPGCI/UFF e suas infinitas possibilidades. </w:t>
      </w:r>
    </w:p>
    <w:p w14:paraId="181663A2"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 primeira parte do livro, denominada “Informação, Cultura e Sociedade” </w:t>
      </w:r>
      <w:r>
        <w:rPr>
          <w:rFonts w:ascii="Times New Roman" w:eastAsia="Times New Roman" w:hAnsi="Times New Roman" w:cs="Times New Roman"/>
          <w:b/>
        </w:rPr>
        <w:t xml:space="preserve">conta com 5 </w:t>
      </w:r>
      <w:r>
        <w:rPr>
          <w:rFonts w:ascii="Times New Roman" w:eastAsia="Times New Roman" w:hAnsi="Times New Roman" w:cs="Times New Roman"/>
        </w:rPr>
        <w:t>capítulos que abordam diferentes aspectos históricos, epistemológicos e as funções sociais da informação, indo ao encontro do paradigma social do campo.</w:t>
      </w:r>
    </w:p>
    <w:p w14:paraId="2DF8EA49"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A segunda parte, intitulada “Fluxos e Mediações Sócio-Técnicas da Informação”  é composta por três capítulos e corresponde ao desenho e à implementação de serviços, metodologias, redes e sistemas de informação, por estudar a geração, a organização, a representação, a recuperação da informação, além de abarcar os estudos métricos da informação, Web Semântica e Ontologia. </w:t>
      </w:r>
    </w:p>
    <w:p w14:paraId="4140C158" w14:textId="77777777" w:rsidR="008E3113" w:rsidRDefault="008E3113" w:rsidP="008E3113">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Agradecemos aos autores que aceitaram o desafio e enviaram generosamente os textos resultantes de suas Teses. </w:t>
      </w:r>
    </w:p>
    <w:p w14:paraId="6C462A1A" w14:textId="77777777" w:rsidR="008E3113" w:rsidRDefault="008E3113" w:rsidP="008E3113">
      <w:pPr>
        <w:spacing w:line="360" w:lineRule="auto"/>
        <w:ind w:firstLine="708"/>
        <w:jc w:val="both"/>
        <w:rPr>
          <w:rFonts w:ascii="Times New Roman" w:eastAsia="Times New Roman" w:hAnsi="Times New Roman" w:cs="Times New Roman"/>
        </w:rPr>
      </w:pPr>
    </w:p>
    <w:p w14:paraId="34C5002F" w14:textId="75636AA1" w:rsidR="008E3113" w:rsidRDefault="008E3113">
      <w:pPr>
        <w:rPr>
          <w:rFonts w:ascii="Times New Roman" w:eastAsia="Times New Roman" w:hAnsi="Times New Roman" w:cs="Times New Roman"/>
          <w:sz w:val="40"/>
          <w:szCs w:val="40"/>
        </w:rPr>
      </w:pPr>
      <w:r>
        <w:rPr>
          <w:rFonts w:ascii="Times New Roman" w:eastAsia="Times New Roman" w:hAnsi="Times New Roman" w:cs="Times New Roman"/>
          <w:sz w:val="40"/>
          <w:szCs w:val="40"/>
        </w:rPr>
        <w:br w:type="page"/>
      </w:r>
    </w:p>
    <w:p w14:paraId="01FE8938" w14:textId="77777777" w:rsidR="00863B19" w:rsidRDefault="00863B19">
      <w:pPr>
        <w:rPr>
          <w:rFonts w:ascii="Times New Roman" w:eastAsia="Times New Roman" w:hAnsi="Times New Roman" w:cs="Times New Roman"/>
          <w:sz w:val="40"/>
          <w:szCs w:val="40"/>
        </w:rPr>
      </w:pPr>
    </w:p>
    <w:p w14:paraId="5275DBE9"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6B0D8658"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585A65B7"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6C242557"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03E2A65D"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23980797"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2292BC24"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61DB6400"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757703D2" w14:textId="77777777" w:rsidR="002F7E08" w:rsidRDefault="002F7E08" w:rsidP="002F7E08">
      <w:pPr>
        <w:spacing w:after="0" w:line="360" w:lineRule="auto"/>
        <w:jc w:val="center"/>
        <w:rPr>
          <w:rFonts w:ascii="Times New Roman" w:eastAsia="Times New Roman" w:hAnsi="Times New Roman" w:cs="Times New Roman"/>
          <w:sz w:val="40"/>
          <w:szCs w:val="40"/>
        </w:rPr>
      </w:pPr>
    </w:p>
    <w:p w14:paraId="3427B7D6" w14:textId="0B86A1F2" w:rsidR="00396179" w:rsidRPr="00F850DA" w:rsidRDefault="002F7E08" w:rsidP="00F850DA">
      <w:pPr>
        <w:pStyle w:val="Ttulo1"/>
        <w:jc w:val="center"/>
        <w:rPr>
          <w:rFonts w:ascii="Times New Roman" w:eastAsia="Times New Roman" w:hAnsi="Times New Roman" w:cs="Times New Roman"/>
          <w:color w:val="auto"/>
          <w:sz w:val="44"/>
          <w:szCs w:val="44"/>
        </w:rPr>
      </w:pPr>
      <w:bookmarkStart w:id="0" w:name="_Toc146826496"/>
      <w:r w:rsidRPr="00F850DA">
        <w:rPr>
          <w:rFonts w:ascii="Times New Roman" w:eastAsia="Times New Roman" w:hAnsi="Times New Roman" w:cs="Times New Roman"/>
          <w:color w:val="auto"/>
          <w:sz w:val="44"/>
          <w:szCs w:val="44"/>
        </w:rPr>
        <w:t>Linha de Pesquisa “Informação, Cultura e Sociedade”</w:t>
      </w:r>
      <w:bookmarkEnd w:id="0"/>
    </w:p>
    <w:p w14:paraId="4FE1E05B"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7C6DDB0B"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CF522F8"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2C039B25"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08F6C09C"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5861FCA"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1D9EE9F7"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223DDE0C" w14:textId="77777777" w:rsidR="004D1B82" w:rsidRDefault="004D1B82" w:rsidP="00F850DA">
      <w:pPr>
        <w:pStyle w:val="Ttulo1"/>
        <w:jc w:val="center"/>
        <w:rPr>
          <w:rFonts w:ascii="Times New Roman" w:hAnsi="Times New Roman" w:cs="Times New Roman"/>
          <w:b/>
          <w:bCs/>
          <w:color w:val="auto"/>
          <w:sz w:val="24"/>
          <w:szCs w:val="24"/>
        </w:rPr>
        <w:sectPr w:rsidR="004D1B82" w:rsidSect="001C600D">
          <w:headerReference w:type="default" r:id="rId8"/>
          <w:pgSz w:w="11906" w:h="16838"/>
          <w:pgMar w:top="1701" w:right="1134" w:bottom="1134" w:left="1701" w:header="709" w:footer="709" w:gutter="0"/>
          <w:cols w:space="708"/>
          <w:docGrid w:linePitch="360"/>
        </w:sectPr>
      </w:pPr>
      <w:bookmarkStart w:id="1" w:name="_Toc146826497"/>
    </w:p>
    <w:p w14:paraId="4190E985" w14:textId="77777777" w:rsidR="002F7E08" w:rsidRPr="00F850DA" w:rsidRDefault="002F7E08" w:rsidP="00F850DA">
      <w:pPr>
        <w:pStyle w:val="Ttulo1"/>
        <w:jc w:val="center"/>
        <w:rPr>
          <w:rFonts w:ascii="Times New Roman" w:hAnsi="Times New Roman" w:cs="Times New Roman"/>
          <w:b/>
          <w:bCs/>
          <w:color w:val="auto"/>
          <w:sz w:val="24"/>
          <w:szCs w:val="24"/>
        </w:rPr>
      </w:pPr>
      <w:r w:rsidRPr="00F850DA">
        <w:rPr>
          <w:rFonts w:ascii="Times New Roman" w:hAnsi="Times New Roman" w:cs="Times New Roman"/>
          <w:b/>
          <w:bCs/>
          <w:color w:val="auto"/>
          <w:sz w:val="24"/>
          <w:szCs w:val="24"/>
        </w:rPr>
        <w:lastRenderedPageBreak/>
        <w:t>REFLEXÕES SOBRE OS FUNDAMENTOS DO CONCEITO DE REGIME DE INFORMAÇÃO E SUA APLICAÇÃO AOS ESTUDOS DA PRODUÇÃO E DIVULGAÇÃO DO CONHECIMENTO EM UMA INSTITUIÇÃO DE PESQUISA</w:t>
      </w:r>
      <w:bookmarkEnd w:id="1"/>
    </w:p>
    <w:p w14:paraId="6F5B65F6" w14:textId="77777777" w:rsidR="002F7E08" w:rsidRDefault="002F7E08" w:rsidP="002F7E08">
      <w:pPr>
        <w:spacing w:after="0" w:line="360" w:lineRule="auto"/>
        <w:jc w:val="both"/>
        <w:rPr>
          <w:rFonts w:ascii="Times New Roman" w:eastAsia="Times New Roman" w:hAnsi="Times New Roman" w:cs="Times New Roman"/>
          <w:b/>
          <w:sz w:val="24"/>
          <w:szCs w:val="24"/>
        </w:rPr>
      </w:pPr>
    </w:p>
    <w:p w14:paraId="51BB631C" w14:textId="77777777" w:rsidR="001A02E1" w:rsidRPr="001A02E1" w:rsidRDefault="001A02E1" w:rsidP="001A02E1">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b/>
          <w:bCs/>
          <w:color w:val="000000"/>
          <w:kern w:val="0"/>
          <w:sz w:val="24"/>
          <w:szCs w:val="24"/>
          <w:lang w:eastAsia="pt-BR"/>
          <w14:ligatures w14:val="none"/>
        </w:rPr>
        <w:t>Marcus Vinícius Pereira-Silva</w:t>
      </w:r>
    </w:p>
    <w:p w14:paraId="1CD5FD05" w14:textId="77777777" w:rsidR="001A02E1" w:rsidRPr="001A02E1" w:rsidRDefault="001A02E1" w:rsidP="001A02E1">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color w:val="000000"/>
          <w:kern w:val="0"/>
          <w:sz w:val="24"/>
          <w:szCs w:val="24"/>
          <w:lang w:eastAsia="pt-BR"/>
          <w14:ligatures w14:val="none"/>
        </w:rPr>
        <w:t>Fundação Oswaldo Cruz. Casa de Oswaldo Cruz</w:t>
      </w:r>
    </w:p>
    <w:p w14:paraId="58587D1C" w14:textId="77777777" w:rsidR="001A02E1" w:rsidRPr="001A02E1" w:rsidRDefault="001A02E1" w:rsidP="001A02E1">
      <w:pPr>
        <w:spacing w:after="0" w:line="360" w:lineRule="auto"/>
        <w:rPr>
          <w:rFonts w:ascii="Times New Roman" w:eastAsia="Times New Roman" w:hAnsi="Times New Roman" w:cs="Times New Roman"/>
          <w:kern w:val="0"/>
          <w:sz w:val="24"/>
          <w:szCs w:val="24"/>
          <w:lang w:eastAsia="pt-BR"/>
          <w14:ligatures w14:val="none"/>
        </w:rPr>
      </w:pPr>
    </w:p>
    <w:p w14:paraId="55C48246" w14:textId="77777777" w:rsidR="001A02E1" w:rsidRPr="001A02E1" w:rsidRDefault="001A02E1" w:rsidP="001A02E1">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b/>
          <w:bCs/>
          <w:color w:val="000000"/>
          <w:kern w:val="0"/>
          <w:sz w:val="24"/>
          <w:szCs w:val="24"/>
          <w:lang w:eastAsia="pt-BR"/>
          <w14:ligatures w14:val="none"/>
        </w:rPr>
        <w:t>Lídia Silva de Freitas</w:t>
      </w:r>
    </w:p>
    <w:p w14:paraId="6EC68EDE" w14:textId="77777777" w:rsidR="001A02E1" w:rsidRPr="001A02E1" w:rsidRDefault="001A02E1" w:rsidP="001A02E1">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color w:val="000000"/>
          <w:kern w:val="0"/>
          <w:sz w:val="24"/>
          <w:szCs w:val="24"/>
          <w:lang w:eastAsia="pt-BR"/>
          <w14:ligatures w14:val="none"/>
        </w:rPr>
        <w:t>Universidade Federal Fluminense</w:t>
      </w:r>
    </w:p>
    <w:p w14:paraId="5263D9E0" w14:textId="77777777" w:rsidR="001A02E1" w:rsidRPr="001A02E1" w:rsidRDefault="001A02E1" w:rsidP="001A02E1">
      <w:pPr>
        <w:spacing w:after="0" w:line="360" w:lineRule="auto"/>
        <w:rPr>
          <w:rFonts w:ascii="Times New Roman" w:eastAsia="Times New Roman" w:hAnsi="Times New Roman" w:cs="Times New Roman"/>
          <w:kern w:val="0"/>
          <w:sz w:val="24"/>
          <w:szCs w:val="24"/>
          <w:lang w:eastAsia="pt-BR"/>
          <w14:ligatures w14:val="none"/>
        </w:rPr>
      </w:pPr>
    </w:p>
    <w:p w14:paraId="5BAA50B2" w14:textId="77777777" w:rsidR="001A02E1" w:rsidRPr="001A02E1" w:rsidRDefault="001A02E1" w:rsidP="001A02E1">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b/>
          <w:bCs/>
          <w:color w:val="000000"/>
          <w:kern w:val="0"/>
          <w:sz w:val="24"/>
          <w:szCs w:val="24"/>
          <w:lang w:eastAsia="pt-BR"/>
          <w14:ligatures w14:val="none"/>
        </w:rPr>
        <w:t>Tiago Ribeiro</w:t>
      </w:r>
    </w:p>
    <w:p w14:paraId="2FE6B334" w14:textId="77777777" w:rsidR="001A02E1" w:rsidRPr="001A02E1" w:rsidRDefault="001A02E1" w:rsidP="001A02E1">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color w:val="000000"/>
          <w:kern w:val="0"/>
          <w:sz w:val="24"/>
          <w:szCs w:val="24"/>
          <w:lang w:eastAsia="pt-BR"/>
          <w14:ligatures w14:val="none"/>
        </w:rPr>
        <w:t>Universidade Federal Fluminense</w:t>
      </w:r>
    </w:p>
    <w:p w14:paraId="70FD0D69" w14:textId="77777777" w:rsidR="002F7E08" w:rsidRDefault="002F7E08" w:rsidP="002F7E08">
      <w:pPr>
        <w:spacing w:after="0" w:line="360" w:lineRule="auto"/>
        <w:jc w:val="both"/>
        <w:rPr>
          <w:rFonts w:ascii="Times New Roman" w:eastAsia="Times New Roman" w:hAnsi="Times New Roman" w:cs="Times New Roman"/>
          <w:sz w:val="24"/>
          <w:szCs w:val="24"/>
        </w:rPr>
      </w:pPr>
    </w:p>
    <w:p w14:paraId="36F87340" w14:textId="77777777" w:rsidR="002F7E08" w:rsidRDefault="002F7E08" w:rsidP="002F7E0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INTRODUÇÃO</w:t>
      </w:r>
    </w:p>
    <w:p w14:paraId="746A2CB2" w14:textId="77777777" w:rsidR="002F7E08" w:rsidRDefault="002F7E08" w:rsidP="002F7E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841AFB0" w14:textId="77777777" w:rsidR="002F7E08" w:rsidRDefault="002F7E08" w:rsidP="002F7E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F27D8">
        <w:rPr>
          <w:rFonts w:ascii="Times New Roman" w:eastAsia="Times New Roman" w:hAnsi="Times New Roman" w:cs="Times New Roman"/>
          <w:sz w:val="24"/>
          <w:szCs w:val="24"/>
        </w:rPr>
        <w:t>Com tradição tecnicista e operacional, a Ciência da Informação (CI) foi concebida para capacitar profissionais para atuar na organização e na recuperação da informação registrada no âmbito da ciência e da tecnologia e estava ligada ao atendimento das demandas do industrialismo e do capitalismo (Freitas, 2003). Ao longo dos anos, essa disciplina incorporou correntes e metodologias de outras áreas do conhecimento, ampliou seu escopo e, atualmente, possui diferentes abordagens (Araújo, 2009; Capurro, 2003; Fernandes, 2018; Hjørland, 1998).</w:t>
      </w:r>
    </w:p>
    <w:p w14:paraId="7AFDB2B3"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 xml:space="preserve">A abordagem social entende a informação como um construto social e os sujeitos são observados a partir dos contextos sociais e históricos (Capurro, 2003). Entre pesquisas dessa perspectiva, observamos no Brasil o aumento do uso do conceito de regime de informação. Entre os principais teóricos do conceito, destacamos os pesquisadores Bernd Frohmann, Sandra Braman e Maria Nélida González de Gómez.  </w:t>
      </w:r>
    </w:p>
    <w:p w14:paraId="71BD6CF8"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 xml:space="preserve">Apesar do termo regime de informação ter sido utilizado em diferentes trabalhos nas décadas de 1970 e 1980, em especial nos estudos do campo das Ciências Políticas e da Ciência da Computação, a origem do conceito na CI é comumente atribuído a Frohmann. A partir das críticas ao objetivismo dos estudos sobre políticas de informação, o autor definiu regime de informação como “um sistema ou rede, mais ou menos estável, na qual a informação flui através de determinados canais – produtores específicos, via estruturas organizacionais específicas, a consumidores ou usuários específicos” (Frohmann, 1995, p. 5).  </w:t>
      </w:r>
    </w:p>
    <w:p w14:paraId="0B0A4E53"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lastRenderedPageBreak/>
        <w:t xml:space="preserve">A despeito de não utilizar propriamente o conceito de regime de informação, Braman relaciona o termo ‘regime’ com o de ‘informação’ para discutir um regime global emergente de política de informação. Para a autora, o regime pode ser entendido como um quadro normativo e regulatório de âmbito internacional que conecta diferentes atores envolvidos em determinada matéria de interesse (Braman, 2004).  </w:t>
      </w:r>
    </w:p>
    <w:p w14:paraId="256B6CBE"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 xml:space="preserve">González de Gómez (1999), uma das principais pesquisadoras da CI no Brasil, utiliza o conceito para compreender como os sujeitos, as organizações, as regras e as autoridades informacionais agenciam os fluxos informacionais. Nesse sentido, o conceito para González de Gómez designaria um modo de produção informacional dominante em uma formação social. </w:t>
      </w:r>
    </w:p>
    <w:p w14:paraId="25377D68"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Ao realizar uma reflexão sobre o conceito, González de Gómez (2019, p. 138) aponta que seu uso ainda descritivo está relacionado a uma fase inicial e metodológica da pesquisa e ao “caráter situado, contextualizado e, de algum modo, a priori imprevisível de sua configuração, tendo componentes plurais agentes, ações, processos, meios e recursos de informação”. Para Bezerra e colaboradores (2016), os estudos de regimes de informação devem transpor as perspectivas institucionalistas e considerar o processo social no qual as ações e práticas informacionais ocorrem na dimensão institucional e no campo de disputas e conflitos.</w:t>
      </w:r>
    </w:p>
    <w:p w14:paraId="5CD2C417"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Nos últimos anos, observa-se aumento do número de trabalhos que aplicam ou discutem o conceito de regime de informação no Brasil. No entanto, grande parte está relacionada às políticas de informação no âmbito governamental, em bibliotecas e arquivos e à temática da competência informacional. Diante da carência de estudos de regimes de informação para compreender a produção e divulgação do conhecimento nas ciências, colocamos a seguinte questão de pesquisa: como o conceito de regime de informação pode ser utilizado como modelo analítico para compreender a produção e a divulgação do conhecimento em uma instituição de pesquisa?</w:t>
      </w:r>
    </w:p>
    <w:p w14:paraId="1CB980DF" w14:textId="77777777" w:rsidR="002F7E08" w:rsidRPr="000F27D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 xml:space="preserve">Para responder essa pergunta, entre os diferentes conceitos desenvolvidos, privilegiamos o de González de Gómez, pois, ao contrário de Frohmann (1995), deu continuidade e aprofundou as reflexões e buscou articulá-lo com os estudos empreendidos por esse autor, Braman e outros. Como destacado por Alves e Bezerra (2019), González de Gómez é reconhecida pelo pioneirismo no desenvolvimento e divulgação do conceito de regime de informação no Brasil. </w:t>
      </w:r>
    </w:p>
    <w:p w14:paraId="1391AEAD" w14:textId="77777777" w:rsidR="002F7E08" w:rsidRDefault="002F7E08" w:rsidP="002F7E08">
      <w:pPr>
        <w:spacing w:after="0" w:line="360" w:lineRule="auto"/>
        <w:ind w:firstLine="720"/>
        <w:jc w:val="both"/>
        <w:rPr>
          <w:rFonts w:ascii="Times New Roman" w:eastAsia="Times New Roman" w:hAnsi="Times New Roman" w:cs="Times New Roman"/>
          <w:sz w:val="24"/>
          <w:szCs w:val="24"/>
        </w:rPr>
      </w:pPr>
      <w:r w:rsidRPr="000F27D8">
        <w:rPr>
          <w:rFonts w:ascii="Times New Roman" w:eastAsia="Times New Roman" w:hAnsi="Times New Roman" w:cs="Times New Roman"/>
          <w:sz w:val="24"/>
          <w:szCs w:val="24"/>
        </w:rPr>
        <w:t xml:space="preserve">Nesse cenário, este artigo propõe um modelo analítico utilizando o conceito de regime de informação para compreender a produção e a divulgação do conhecimento em uma instituição de pesquisa. Para cumpri-lo, recuperamos, a seguir, os estudos que influenciaram a formulação desse conceito e discutimos o conceito de González de Gómez. Ao final, a partir </w:t>
      </w:r>
      <w:r w:rsidRPr="000F27D8">
        <w:rPr>
          <w:rFonts w:ascii="Times New Roman" w:eastAsia="Times New Roman" w:hAnsi="Times New Roman" w:cs="Times New Roman"/>
          <w:sz w:val="24"/>
          <w:szCs w:val="24"/>
        </w:rPr>
        <w:lastRenderedPageBreak/>
        <w:t xml:space="preserve">das proposições da pesquisadora, apresentamos uma proposta de modelo analítico. </w:t>
      </w:r>
      <w:r>
        <w:rPr>
          <w:rFonts w:ascii="Times New Roman" w:eastAsia="Times New Roman" w:hAnsi="Times New Roman" w:cs="Times New Roman"/>
          <w:sz w:val="24"/>
          <w:szCs w:val="24"/>
        </w:rPr>
        <w:t>de 1,5 entre as linhas.</w:t>
      </w:r>
      <w:r>
        <w:t xml:space="preserve"> </w:t>
      </w:r>
    </w:p>
    <w:p w14:paraId="56E6D726" w14:textId="77777777" w:rsidR="002F7E08" w:rsidRDefault="002F7E08" w:rsidP="002F7E08">
      <w:pPr>
        <w:spacing w:after="0" w:line="360" w:lineRule="auto"/>
        <w:jc w:val="both"/>
        <w:rPr>
          <w:rFonts w:ascii="Times New Roman" w:eastAsia="Times New Roman" w:hAnsi="Times New Roman" w:cs="Times New Roman"/>
          <w:sz w:val="24"/>
          <w:szCs w:val="24"/>
        </w:rPr>
      </w:pPr>
    </w:p>
    <w:p w14:paraId="70D89E66" w14:textId="77777777" w:rsidR="002F7E08" w:rsidRDefault="002F7E08" w:rsidP="002F7E0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 </w:t>
      </w:r>
      <w:r w:rsidRPr="004D56E9">
        <w:rPr>
          <w:rFonts w:ascii="Times New Roman" w:eastAsia="Times New Roman" w:hAnsi="Times New Roman" w:cs="Times New Roman"/>
          <w:b/>
          <w:sz w:val="24"/>
          <w:szCs w:val="24"/>
        </w:rPr>
        <w:t>ESTUDOS INAUGURAIS DE REGIMES</w:t>
      </w:r>
    </w:p>
    <w:p w14:paraId="4141A7D7" w14:textId="77777777" w:rsidR="002F7E08" w:rsidRDefault="002F7E08" w:rsidP="002F7E08">
      <w:pPr>
        <w:spacing w:after="0" w:line="360" w:lineRule="auto"/>
        <w:jc w:val="both"/>
        <w:rPr>
          <w:rFonts w:ascii="Times New Roman" w:eastAsia="Times New Roman" w:hAnsi="Times New Roman" w:cs="Times New Roman"/>
          <w:sz w:val="24"/>
          <w:szCs w:val="24"/>
        </w:rPr>
      </w:pPr>
    </w:p>
    <w:p w14:paraId="0ED0B574" w14:textId="04B1DA29" w:rsidR="002F7E08" w:rsidRPr="00EE54D7"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Antes de iniciar a discussão sobre o conceito de regime de informação desenvolvido por González de Gómez, convém discorrer sobre algumas questões relacionadas aos fundamentos históricos e conceituais do termo regime e sobre alguns estudos que subsidiaram seu desenvolvimento. Apesar de não ter a pretensão de fazer uma história do conceito, buscamos resgatar alguns elementos importantes para seu desenvolvimento. De acordo com Rabello (2008, p. 17),</w:t>
      </w:r>
    </w:p>
    <w:p w14:paraId="5B07F90E" w14:textId="77777777" w:rsidR="00456A9B" w:rsidRDefault="00456A9B" w:rsidP="002F7E08">
      <w:pPr>
        <w:spacing w:after="0" w:line="240" w:lineRule="auto"/>
        <w:ind w:left="2268"/>
        <w:jc w:val="both"/>
        <w:rPr>
          <w:rFonts w:ascii="Times New Roman" w:hAnsi="Times New Roman" w:cs="Times New Roman"/>
          <w:sz w:val="20"/>
          <w:szCs w:val="20"/>
        </w:rPr>
      </w:pPr>
    </w:p>
    <w:p w14:paraId="77CDEE84" w14:textId="32A7662F" w:rsidR="002F7E08" w:rsidRPr="00B25F58" w:rsidRDefault="002F7E08" w:rsidP="002F7E08">
      <w:pPr>
        <w:spacing w:after="0" w:line="240" w:lineRule="auto"/>
        <w:ind w:left="2268"/>
        <w:jc w:val="both"/>
        <w:rPr>
          <w:rFonts w:ascii="Times New Roman" w:hAnsi="Times New Roman" w:cs="Times New Roman"/>
          <w:sz w:val="20"/>
          <w:szCs w:val="20"/>
        </w:rPr>
      </w:pPr>
      <w:r w:rsidRPr="00B25F58">
        <w:rPr>
          <w:rFonts w:ascii="Times New Roman" w:hAnsi="Times New Roman" w:cs="Times New Roman"/>
          <w:sz w:val="20"/>
          <w:szCs w:val="20"/>
        </w:rPr>
        <w:t>é indiscutível a necessidade de conhecer os principais conceitos que alicerçam a teoria científica e, não menos importante, de apreender quais os instrumentais teórico­metodológicos orientadores, nunca deixando de relacioná­los a uma história, a uma tradição, visto que nenhum construto científico surge desvinculado de uma base filosófica.</w:t>
      </w:r>
    </w:p>
    <w:p w14:paraId="324433D1" w14:textId="77777777" w:rsidR="002F7E08" w:rsidRDefault="002F7E08" w:rsidP="002F7E08">
      <w:pPr>
        <w:spacing w:after="0" w:line="360" w:lineRule="auto"/>
        <w:jc w:val="both"/>
        <w:rPr>
          <w:rFonts w:ascii="Times New Roman" w:hAnsi="Times New Roman" w:cs="Times New Roman"/>
          <w:sz w:val="24"/>
          <w:szCs w:val="24"/>
        </w:rPr>
      </w:pPr>
    </w:p>
    <w:p w14:paraId="7D84A81F" w14:textId="77777777" w:rsidR="002F7E08" w:rsidRPr="00EE54D7"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Capurro e Hjørland (2007) também destacam a importância de investigar a forma como os termos fundamentais são definidos na CI. Para os pesquisadores, os conceitos científicos são construídos para uma determinada finalidade e não devem ser considerados como verdadeiros ou falsos, mas como mais ou menos úteis para a reflexão em determinados contextos. O estudo dos termos e conceitos utilizados e desenvolvidos no âmbito da CI também é necessário ao reconhecermos o empréstimo recorrente de termos, conceitos e metodologias originados em outras áreas do conhecimento. </w:t>
      </w:r>
    </w:p>
    <w:p w14:paraId="6532AD3D"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O termo regime advém do latim </w:t>
      </w:r>
      <w:r w:rsidRPr="00B25F58">
        <w:rPr>
          <w:rFonts w:ascii="Times New Roman" w:hAnsi="Times New Roman" w:cs="Times New Roman"/>
          <w:i/>
          <w:iCs/>
          <w:sz w:val="24"/>
          <w:szCs w:val="24"/>
        </w:rPr>
        <w:t>regimen</w:t>
      </w:r>
      <w:r w:rsidRPr="00EE54D7">
        <w:rPr>
          <w:rFonts w:ascii="Times New Roman" w:hAnsi="Times New Roman" w:cs="Times New Roman"/>
          <w:sz w:val="24"/>
          <w:szCs w:val="24"/>
        </w:rPr>
        <w:t xml:space="preserve"> que significa regra ou governo e este último é originário de outra palavra latina </w:t>
      </w:r>
      <w:r w:rsidRPr="00B25F58">
        <w:rPr>
          <w:rFonts w:ascii="Times New Roman" w:hAnsi="Times New Roman" w:cs="Times New Roman"/>
          <w:i/>
          <w:iCs/>
          <w:sz w:val="24"/>
          <w:szCs w:val="24"/>
        </w:rPr>
        <w:t>regere</w:t>
      </w:r>
      <w:r w:rsidRPr="00EE54D7">
        <w:rPr>
          <w:rFonts w:ascii="Times New Roman" w:hAnsi="Times New Roman" w:cs="Times New Roman"/>
          <w:sz w:val="24"/>
          <w:szCs w:val="24"/>
        </w:rPr>
        <w:t xml:space="preserve">, cujo sentido é conduzir ou governar. No âmbito acadêmico, um dos usos do termo está relacionado à descrição da formação de instituições para governar, no qual existem normas explícitas e implícitas que informam os procedimentos para tomada de decisão em torno dos quais as expectativas dos atores convergem e são institucionalizadas em uma determinada área (Ward, 2016). </w:t>
      </w:r>
    </w:p>
    <w:p w14:paraId="642CE04A"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Nesse sentido, foi desenvolvida a ‘teoria do regime’ na década de 1980. Essa teoria surgiu nos estudos das relações internacionais a partir da necessidade de uma abordagem que enfatizasse os processos de transformação. No entanto, ela foi desenvolvida sem referenciar outras teorias das ciências sociais, como o conceito de campo de Pierre Bourdieu ou sistemas adaptativos complexos (Braman, 2004). </w:t>
      </w:r>
    </w:p>
    <w:p w14:paraId="28A55CA3"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lastRenderedPageBreak/>
        <w:t>Hoje a ‘teoria do regime’ é reconhecida e há diversas definições de regime mais ou menos convergentes. Entre elas, Stephen Krasner (2012, p. 94), analisando as relações internacionais, define os regimes como “princípios, normas e regras implícitos ou explícitos e procedimentos de tomada de decisões de determinada área das relações internacionais em torno dos quais convergem as expectativas dos atores”. Para Krasner os regimes não surgem por iniciativa própria, não devem ser vistos como fins em si mesmo e não devem ser considerados como arranjos ou acordos temporários que são alterados com mudanças de poder ou de interesses.</w:t>
      </w:r>
    </w:p>
    <w:p w14:paraId="6ADFA650"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Para que ocorra mudança de regime, segundo Krasner, é necessário fazer a distinção entre princípios e normas das regras e procedimentos. São os princípios e as normas que definem um regime e as alterações das regras e dos procedimentos de tomada de decisão são mudanças internas aos regimes. Portanto, para Krasner somente ocorre alteração de regime quando há modificação dos princípios e das normas e, uma vez em funcionamento, os regimes afetam os comportamentos e resultados.</w:t>
      </w:r>
    </w:p>
    <w:p w14:paraId="20FC47BF"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Apesar de ser desenvolvido em âmbito específico dos estudos das Relações Internacionais, a teoria do regime influenciou outras áreas do conhecimento, inclusive a CI. Entretanto, como lembra González de Gómez (2012a), cabe destacar que outras disciplinas das </w:t>
      </w:r>
      <w:r>
        <w:rPr>
          <w:rFonts w:ascii="Times New Roman" w:hAnsi="Times New Roman" w:cs="Times New Roman"/>
          <w:sz w:val="24"/>
          <w:szCs w:val="24"/>
        </w:rPr>
        <w:t>C</w:t>
      </w:r>
      <w:r w:rsidRPr="00EE54D7">
        <w:rPr>
          <w:rFonts w:ascii="Times New Roman" w:hAnsi="Times New Roman" w:cs="Times New Roman"/>
          <w:sz w:val="24"/>
          <w:szCs w:val="24"/>
        </w:rPr>
        <w:t xml:space="preserve">iências humanas e </w:t>
      </w:r>
      <w:r>
        <w:rPr>
          <w:rFonts w:ascii="Times New Roman" w:hAnsi="Times New Roman" w:cs="Times New Roman"/>
          <w:sz w:val="24"/>
          <w:szCs w:val="24"/>
        </w:rPr>
        <w:t>S</w:t>
      </w:r>
      <w:r w:rsidRPr="00EE54D7">
        <w:rPr>
          <w:rFonts w:ascii="Times New Roman" w:hAnsi="Times New Roman" w:cs="Times New Roman"/>
          <w:sz w:val="24"/>
          <w:szCs w:val="24"/>
        </w:rPr>
        <w:t>ociais também utilizam o termo “regime” conjugado a outros termos como, por exemplo, “regime de enunciação” de Bruno Latour, “</w:t>
      </w:r>
      <w:r w:rsidRPr="00B25F58">
        <w:rPr>
          <w:rFonts w:ascii="Times New Roman" w:hAnsi="Times New Roman" w:cs="Times New Roman"/>
          <w:i/>
          <w:iCs/>
          <w:sz w:val="24"/>
          <w:szCs w:val="24"/>
        </w:rPr>
        <w:t>regime of worth</w:t>
      </w:r>
      <w:r w:rsidRPr="00EE54D7">
        <w:rPr>
          <w:rFonts w:ascii="Times New Roman" w:hAnsi="Times New Roman" w:cs="Times New Roman"/>
          <w:sz w:val="24"/>
          <w:szCs w:val="24"/>
        </w:rPr>
        <w:t>” e “</w:t>
      </w:r>
      <w:r w:rsidRPr="00B25F58">
        <w:rPr>
          <w:rFonts w:ascii="Times New Roman" w:hAnsi="Times New Roman" w:cs="Times New Roman"/>
          <w:i/>
          <w:iCs/>
          <w:sz w:val="24"/>
          <w:szCs w:val="24"/>
        </w:rPr>
        <w:t>regime of engagement</w:t>
      </w:r>
      <w:r w:rsidRPr="00EE54D7">
        <w:rPr>
          <w:rFonts w:ascii="Times New Roman" w:hAnsi="Times New Roman" w:cs="Times New Roman"/>
          <w:sz w:val="24"/>
          <w:szCs w:val="24"/>
        </w:rPr>
        <w:t>” de Thevenot, “regime de historicidade” de Hartog e, especialmente, “regime discursivo” e “regime de verdade/poder” de Michael Foucault.</w:t>
      </w:r>
    </w:p>
    <w:p w14:paraId="09592775"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Em relação aos conceitos e noções propostos por Foucault, alguns estudos de regimes de informação os utilizam para observar as relações de poder presentes nos processos informacionais. Em parte dos trabalhos empreendidos por Foucault, o olhar é deslocado para as descontinuidades, ou seja, para as transformações que ocorrerem em determinadas áreas do saber. Para o autor, as transformações estão relacionadas às mudanças nas regras de formação dos enunciados e aponta que o que está em jogo é o que rege os enunciados e a forma como estes se regem entre si (Foucault, 1979).</w:t>
      </w:r>
      <w:r>
        <w:rPr>
          <w:rFonts w:ascii="Times New Roman" w:hAnsi="Times New Roman" w:cs="Times New Roman"/>
          <w:sz w:val="24"/>
          <w:szCs w:val="24"/>
        </w:rPr>
        <w:t xml:space="preserve"> </w:t>
      </w:r>
      <w:r w:rsidRPr="00EE54D7">
        <w:rPr>
          <w:rFonts w:ascii="Times New Roman" w:hAnsi="Times New Roman" w:cs="Times New Roman"/>
          <w:sz w:val="24"/>
          <w:szCs w:val="24"/>
        </w:rPr>
        <w:t>Em suma, problema de regime, de política do enunciado científico. Neste nível não se trata de saber qual é o poder que age do exterior sobre a ciência, mas que efeitos de poder circulam entre os enunciados científicos; qual o regime interior de poder; como e por que em certos momentos ele se modifica de forma global (Foucault, 1979, p. 4).</w:t>
      </w:r>
    </w:p>
    <w:p w14:paraId="3C4B6867"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De acordo com Foucault (1979, p. 12), não existe verdade fora do poder e sem poder e cada sociedade tem seu regime de verdade. Segundo o autor, “a verdade é deste mundo; ela é </w:t>
      </w:r>
      <w:r w:rsidRPr="00EE54D7">
        <w:rPr>
          <w:rFonts w:ascii="Times New Roman" w:hAnsi="Times New Roman" w:cs="Times New Roman"/>
          <w:sz w:val="24"/>
          <w:szCs w:val="24"/>
        </w:rPr>
        <w:lastRenderedPageBreak/>
        <w:t>produzida nele graças a múltiplas coerções e nele produz efeitos de poder” e a economia política da verdade possuiria cinco características: a) é centrada na forma de discurso científico e nas instituições que o produzem; b) é submetida à incitação econômica e política; c) circula em diversos aparelhos de informação; d) é transmitida sob controle dominante de alguns aparelhos políticos ou econômicos; e) é objeto de debate político e de confronto social.</w:t>
      </w:r>
    </w:p>
    <w:p w14:paraId="33F11A66"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Ao associar o conceito de regime de verdade ao de regime de informação, é possível notar as disputas estabelecidas entre os diferentes sujeitos que compõem a rede, ou seja, os embates entre os diversos micropoderes e o poder hegemônico, que regem o regime de informação. A diferença entre regime de verdade e regime de informação, segundo Ekbia e Evans (2009), é que o primeiro é usado para “discutir as grandes questões de circulação de conhecimento-poder, através de comportamentos técnico-científicos da sociedade contemporânea”. Já o regime de informação é usado para “as práticas situadas na vida diária, envolvidas na criação e intercâmbio de informação”.</w:t>
      </w:r>
    </w:p>
    <w:p w14:paraId="438E92DF"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Outro conceito importante que influenciou a construção do conceito de regime de informação, especialmente de González de Gómez, é o de regime de veridição de Foucault. Esse conceito está relacionado à forma como a verdade é produzida e validada em uma determinada sociedade.  Em “O nascimento da biopolítica”, Foucault (2008) propõe fazer a história da verdade em conjunto com a história do direito. Nesse sentido, uma história dos regimes de veridição consiste na:</w:t>
      </w:r>
    </w:p>
    <w:p w14:paraId="4E8CF3A2" w14:textId="77777777" w:rsidR="00456A9B" w:rsidRPr="00EE54D7" w:rsidRDefault="00456A9B" w:rsidP="002F7E08">
      <w:pPr>
        <w:spacing w:after="0" w:line="360" w:lineRule="auto"/>
        <w:ind w:firstLine="708"/>
        <w:jc w:val="both"/>
        <w:rPr>
          <w:rFonts w:ascii="Times New Roman" w:hAnsi="Times New Roman" w:cs="Times New Roman"/>
          <w:sz w:val="24"/>
          <w:szCs w:val="24"/>
        </w:rPr>
      </w:pPr>
    </w:p>
    <w:p w14:paraId="4FA54A5B" w14:textId="0652C200" w:rsidR="002F7E08" w:rsidRPr="00E8155D" w:rsidRDefault="002F7E08" w:rsidP="002F7E08">
      <w:pPr>
        <w:spacing w:after="0" w:line="240" w:lineRule="auto"/>
        <w:ind w:left="2268"/>
        <w:jc w:val="both"/>
        <w:rPr>
          <w:rFonts w:ascii="Times New Roman" w:hAnsi="Times New Roman" w:cs="Times New Roman"/>
          <w:sz w:val="20"/>
          <w:szCs w:val="20"/>
        </w:rPr>
      </w:pPr>
      <w:r w:rsidRPr="00E8155D">
        <w:rPr>
          <w:rFonts w:ascii="Times New Roman" w:hAnsi="Times New Roman" w:cs="Times New Roman"/>
          <w:sz w:val="20"/>
          <w:szCs w:val="20"/>
        </w:rPr>
        <w:t>análise da constituição de certo direito da verdade a partir de uma situação de direito, com relação direito/verdade encontrando manifestação privilegiada no discurso, o discurso em que se formula o que pode ser verdadeiro ou falso; de fato, o regime de veridição não é certa lei da verdade, [mas sim] o conjunto das regras que permitem estabelecer, a propósito de um discurso dado, quais enunciados poderão ser caracterizados, nele, como verdadeiro ou falso (F</w:t>
      </w:r>
      <w:r w:rsidR="00456A9B" w:rsidRPr="00E8155D">
        <w:rPr>
          <w:rFonts w:ascii="Times New Roman" w:hAnsi="Times New Roman" w:cs="Times New Roman"/>
          <w:sz w:val="20"/>
          <w:szCs w:val="20"/>
        </w:rPr>
        <w:t>oucault</w:t>
      </w:r>
      <w:r w:rsidRPr="00E8155D">
        <w:rPr>
          <w:rFonts w:ascii="Times New Roman" w:hAnsi="Times New Roman" w:cs="Times New Roman"/>
          <w:sz w:val="20"/>
          <w:szCs w:val="20"/>
        </w:rPr>
        <w:t>, 2008, p. 49).</w:t>
      </w:r>
    </w:p>
    <w:p w14:paraId="13225AA1" w14:textId="77777777" w:rsidR="002F7E08" w:rsidRDefault="002F7E08" w:rsidP="002F7E08">
      <w:pPr>
        <w:spacing w:after="0" w:line="360" w:lineRule="auto"/>
        <w:jc w:val="both"/>
        <w:rPr>
          <w:rFonts w:ascii="Times New Roman" w:hAnsi="Times New Roman" w:cs="Times New Roman"/>
          <w:sz w:val="24"/>
          <w:szCs w:val="24"/>
        </w:rPr>
      </w:pPr>
    </w:p>
    <w:p w14:paraId="27FB969A" w14:textId="77777777" w:rsidR="002F7E08" w:rsidRPr="00EE54D7"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Soma-se a estes conceitos, a teoria ator-rede desenvolvida por Bruno Latour, Michel Callon e Karin Knorr-Cetina no âmbito dos Estudos Sociais das Ciências para investigar as associações e agenciamentos entre diferentes atores humanos e não-humanos nos processos informacionais. Em suma, essa teoria propõe que os indivíduos, organizações e instituições, bem como os objetos e tecnologias, são atores igualmente importantes na construção da realidade social e que eles estão interconectados em uma rede de associações constituídas através de processos de negociação e alianças influenciadas por diferentes interesses e relações de poder.</w:t>
      </w:r>
    </w:p>
    <w:p w14:paraId="79CD49B0" w14:textId="77777777" w:rsidR="002F7E08" w:rsidRDefault="002F7E08" w:rsidP="002F7E08">
      <w:pPr>
        <w:spacing w:after="0" w:line="360" w:lineRule="auto"/>
        <w:jc w:val="both"/>
        <w:rPr>
          <w:rFonts w:ascii="Times New Roman" w:eastAsia="Times New Roman" w:hAnsi="Times New Roman" w:cs="Times New Roman"/>
          <w:sz w:val="24"/>
          <w:szCs w:val="24"/>
        </w:rPr>
      </w:pPr>
    </w:p>
    <w:p w14:paraId="5390EA89" w14:textId="77777777" w:rsidR="002F7E08" w:rsidRDefault="002F7E08" w:rsidP="002F7E08">
      <w:pPr>
        <w:spacing w:after="0"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lastRenderedPageBreak/>
        <w:t xml:space="preserve">3 </w:t>
      </w:r>
      <w:r w:rsidRPr="00E8155D">
        <w:rPr>
          <w:rFonts w:ascii="Times New Roman" w:hAnsi="Times New Roman" w:cs="Times New Roman"/>
          <w:b/>
          <w:bCs/>
          <w:sz w:val="24"/>
          <w:szCs w:val="24"/>
        </w:rPr>
        <w:t>O CONCEITO DE REGIME DE INFORMAÇÃO DE GONZÁLEZ DE GÓMEZ</w:t>
      </w:r>
    </w:p>
    <w:p w14:paraId="5F439F92" w14:textId="77777777" w:rsidR="008D66D2" w:rsidRPr="00E8155D" w:rsidRDefault="008D66D2" w:rsidP="002F7E08">
      <w:pPr>
        <w:spacing w:after="0" w:line="360" w:lineRule="auto"/>
        <w:jc w:val="both"/>
        <w:rPr>
          <w:rFonts w:ascii="Times New Roman" w:hAnsi="Times New Roman" w:cs="Times New Roman"/>
          <w:b/>
          <w:bCs/>
          <w:sz w:val="24"/>
          <w:szCs w:val="24"/>
        </w:rPr>
      </w:pPr>
    </w:p>
    <w:p w14:paraId="79825E83" w14:textId="404D9B7A"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Os estudos de González de Gómez foram alguns dos precursores da abordagem social da CI no Brasil e contribuíram para sua consolidação (Fernandes; </w:t>
      </w:r>
      <w:r>
        <w:rPr>
          <w:rFonts w:ascii="Times New Roman" w:hAnsi="Times New Roman" w:cs="Times New Roman"/>
          <w:sz w:val="24"/>
          <w:szCs w:val="24"/>
        </w:rPr>
        <w:t>S</w:t>
      </w:r>
      <w:r w:rsidRPr="00EE54D7">
        <w:rPr>
          <w:rFonts w:ascii="Times New Roman" w:hAnsi="Times New Roman" w:cs="Times New Roman"/>
          <w:sz w:val="24"/>
          <w:szCs w:val="24"/>
        </w:rPr>
        <w:t>aldanha, 2012). Suas pesquisas, desenvolvidas nas décadas de 1980 e 1990, apesar de não trabalharem propriamente com o conceito de regime de informação, já tratavam da relação entre normas, regras e estruturas que influenciam os fluxos informacionais e os aspectos semânticos, sociais e históricos, bem como criticavam o reducionismo da visão dicotômica entre o internalismo e externalismo das ciências e indicavam a importância de considerar as condições históricas e social dos sujeitos da pesquisa.</w:t>
      </w:r>
    </w:p>
    <w:p w14:paraId="1970B224"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O termo regime de informação foi usado pela primeira vez pela pesquisadora em 1999 no artigo </w:t>
      </w:r>
      <w:r>
        <w:rPr>
          <w:rFonts w:ascii="Times New Roman" w:hAnsi="Times New Roman" w:cs="Times New Roman"/>
          <w:sz w:val="24"/>
          <w:szCs w:val="24"/>
        </w:rPr>
        <w:t>“</w:t>
      </w:r>
      <w:r w:rsidRPr="00EE54D7">
        <w:rPr>
          <w:rFonts w:ascii="Times New Roman" w:hAnsi="Times New Roman" w:cs="Times New Roman"/>
          <w:sz w:val="24"/>
          <w:szCs w:val="24"/>
        </w:rPr>
        <w:t>Caráter Seletivo das Ações de Informação</w:t>
      </w:r>
      <w:r>
        <w:rPr>
          <w:rFonts w:ascii="Times New Roman" w:hAnsi="Times New Roman" w:cs="Times New Roman"/>
          <w:sz w:val="24"/>
          <w:szCs w:val="24"/>
        </w:rPr>
        <w:t>”</w:t>
      </w:r>
      <w:r w:rsidRPr="00EE54D7">
        <w:rPr>
          <w:rFonts w:ascii="Times New Roman" w:hAnsi="Times New Roman" w:cs="Times New Roman"/>
          <w:sz w:val="24"/>
          <w:szCs w:val="24"/>
        </w:rPr>
        <w:t>. Nesse trabalho, González de Gómez recupera e apresenta alguns elementos teóricos para investigar os fenômenos informacionais e conceitua regime de informação como:</w:t>
      </w:r>
    </w:p>
    <w:p w14:paraId="7F1FE258" w14:textId="77777777" w:rsidR="008D66D2" w:rsidRPr="00EE54D7" w:rsidRDefault="008D66D2" w:rsidP="002F7E08">
      <w:pPr>
        <w:spacing w:after="0" w:line="360" w:lineRule="auto"/>
        <w:ind w:firstLine="708"/>
        <w:jc w:val="both"/>
        <w:rPr>
          <w:rFonts w:ascii="Times New Roman" w:hAnsi="Times New Roman" w:cs="Times New Roman"/>
          <w:sz w:val="24"/>
          <w:szCs w:val="24"/>
        </w:rPr>
      </w:pPr>
    </w:p>
    <w:p w14:paraId="136ECDF2" w14:textId="612D3070" w:rsidR="002F7E08" w:rsidRPr="0042176F" w:rsidRDefault="008D66D2" w:rsidP="002F7E08">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r w:rsidR="002F7E08" w:rsidRPr="0042176F">
        <w:rPr>
          <w:rFonts w:ascii="Times New Roman" w:hAnsi="Times New Roman" w:cs="Times New Roman"/>
          <w:sz w:val="20"/>
          <w:szCs w:val="20"/>
        </w:rPr>
        <w:t xml:space="preserve">o modo de produção informacional dominante numa formação social, que define quem são os sujeitos, as organizações, as regras e as autoridades informacionais e quais os meios e os recursos preferenciais de informação, os padrões de excelência e os modelos de sua organização, interação e distribuição. [...] Em síntese, um regime de informação se caracteriza por sua complexidade e sua não transparência imediata, por nele ocorrerem conflitos, vontades plurais e efeitos não desejados (González de </w:t>
      </w:r>
      <w:r w:rsidR="002F7E08">
        <w:rPr>
          <w:rFonts w:ascii="Times New Roman" w:hAnsi="Times New Roman" w:cs="Times New Roman"/>
          <w:sz w:val="20"/>
          <w:szCs w:val="20"/>
        </w:rPr>
        <w:t>G</w:t>
      </w:r>
      <w:r w:rsidR="002F7E08" w:rsidRPr="0042176F">
        <w:rPr>
          <w:rFonts w:ascii="Times New Roman" w:hAnsi="Times New Roman" w:cs="Times New Roman"/>
          <w:sz w:val="20"/>
          <w:szCs w:val="20"/>
        </w:rPr>
        <w:t>ómez, 1999. p. 27).</w:t>
      </w:r>
    </w:p>
    <w:p w14:paraId="1CDF7F9A" w14:textId="77777777" w:rsidR="002F7E08" w:rsidRDefault="002F7E08" w:rsidP="002F7E08">
      <w:pPr>
        <w:spacing w:after="0" w:line="360" w:lineRule="auto"/>
        <w:jc w:val="both"/>
        <w:rPr>
          <w:rFonts w:ascii="Times New Roman" w:hAnsi="Times New Roman" w:cs="Times New Roman"/>
          <w:sz w:val="24"/>
          <w:szCs w:val="24"/>
        </w:rPr>
      </w:pPr>
    </w:p>
    <w:p w14:paraId="452F03BF" w14:textId="77777777" w:rsidR="002F7E08" w:rsidRDefault="002F7E08" w:rsidP="008D66D2">
      <w:pPr>
        <w:spacing w:after="0" w:line="360" w:lineRule="auto"/>
        <w:ind w:firstLine="709"/>
        <w:jc w:val="both"/>
        <w:rPr>
          <w:rFonts w:ascii="Times New Roman" w:hAnsi="Times New Roman" w:cs="Times New Roman"/>
          <w:sz w:val="24"/>
          <w:szCs w:val="24"/>
        </w:rPr>
      </w:pPr>
      <w:r w:rsidRPr="00EE54D7">
        <w:rPr>
          <w:rFonts w:ascii="Times New Roman" w:hAnsi="Times New Roman" w:cs="Times New Roman"/>
          <w:sz w:val="24"/>
          <w:szCs w:val="24"/>
        </w:rPr>
        <w:t xml:space="preserve">Inspirada nas obras de Foucault e na teoria ator-rede, González de Gómez amplia o conceito proposto por Frohmann (1995) ao trazer mais elementos para analisar os regimes de informação. Enquanto o conceito do último está mais relacionado ao fluxo da informação entre atores humanos e não humanos, com destaque aos artefatos tecnológicos, o de González de Gómez está voltado para articulação dos aspectos políticos, tecnológicos, normativos e semânticos (Silva, 2021). </w:t>
      </w:r>
    </w:p>
    <w:p w14:paraId="37AF9732" w14:textId="77777777" w:rsidR="002F7E08" w:rsidRPr="00EE54D7" w:rsidRDefault="002F7E08" w:rsidP="008D66D2">
      <w:pPr>
        <w:spacing w:after="0" w:line="360" w:lineRule="auto"/>
        <w:ind w:firstLine="709"/>
        <w:jc w:val="both"/>
        <w:rPr>
          <w:rFonts w:ascii="Times New Roman" w:hAnsi="Times New Roman" w:cs="Times New Roman"/>
          <w:sz w:val="24"/>
          <w:szCs w:val="24"/>
        </w:rPr>
      </w:pPr>
      <w:r w:rsidRPr="00EE54D7">
        <w:rPr>
          <w:rFonts w:ascii="Times New Roman" w:hAnsi="Times New Roman" w:cs="Times New Roman"/>
          <w:sz w:val="24"/>
          <w:szCs w:val="24"/>
        </w:rPr>
        <w:t>Um dos pontos centrais para ajudar a entender a configuração de um regime de informação na perspectiva de González de Gómez é a ideia de estratificação da informação. Apoiada em autores de diferentes áreas do conhecimento, como Wittgenstein, Kuhn, Latour, Boudieu, Geertz e Wersig, a pesquisadora afirma que os fenômenos informacionais estão vinculados a diversos estratos ou camadas (Silva, 2021). Diferentemente de grande parte dos estudos desenvolvidos na CI, González de Gómez (1999; 2012b) propõe estudar os diferentes estratos em sua interconexão, assimetrias e articulação (Quadro 1):</w:t>
      </w:r>
    </w:p>
    <w:p w14:paraId="664826B6" w14:textId="77777777" w:rsidR="002F7E08" w:rsidRDefault="002F7E08" w:rsidP="002F7E08">
      <w:pPr>
        <w:spacing w:after="0" w:line="360" w:lineRule="auto"/>
        <w:jc w:val="both"/>
        <w:rPr>
          <w:rFonts w:ascii="Times New Roman" w:hAnsi="Times New Roman" w:cs="Times New Roman"/>
          <w:sz w:val="24"/>
          <w:szCs w:val="24"/>
        </w:rPr>
      </w:pPr>
    </w:p>
    <w:p w14:paraId="1D2F6DC4" w14:textId="77777777" w:rsidR="00456A9B" w:rsidRDefault="00456A9B" w:rsidP="002F7E08">
      <w:pPr>
        <w:spacing w:after="0" w:line="360" w:lineRule="auto"/>
        <w:jc w:val="both"/>
        <w:rPr>
          <w:rFonts w:ascii="Times New Roman" w:hAnsi="Times New Roman" w:cs="Times New Roman"/>
          <w:sz w:val="24"/>
          <w:szCs w:val="24"/>
        </w:rPr>
      </w:pPr>
    </w:p>
    <w:p w14:paraId="7A1B9502" w14:textId="77777777" w:rsidR="00456A9B" w:rsidRDefault="00456A9B" w:rsidP="002F7E08">
      <w:pPr>
        <w:spacing w:after="0" w:line="360" w:lineRule="auto"/>
        <w:jc w:val="both"/>
        <w:rPr>
          <w:rFonts w:ascii="Times New Roman" w:hAnsi="Times New Roman" w:cs="Times New Roman"/>
          <w:sz w:val="24"/>
          <w:szCs w:val="24"/>
        </w:rPr>
      </w:pPr>
    </w:p>
    <w:p w14:paraId="4DDC8D51" w14:textId="77777777" w:rsidR="00456A9B" w:rsidRDefault="00456A9B" w:rsidP="002F7E08">
      <w:pPr>
        <w:spacing w:after="0" w:line="360" w:lineRule="auto"/>
        <w:jc w:val="both"/>
        <w:rPr>
          <w:rFonts w:ascii="Times New Roman" w:hAnsi="Times New Roman" w:cs="Times New Roman"/>
          <w:sz w:val="24"/>
          <w:szCs w:val="24"/>
        </w:rPr>
      </w:pPr>
    </w:p>
    <w:p w14:paraId="526CBB55" w14:textId="77777777" w:rsidR="00456A9B" w:rsidRDefault="00456A9B" w:rsidP="002F7E08">
      <w:pPr>
        <w:spacing w:after="0" w:line="360" w:lineRule="auto"/>
        <w:jc w:val="both"/>
        <w:rPr>
          <w:rFonts w:ascii="Times New Roman" w:hAnsi="Times New Roman" w:cs="Times New Roman"/>
          <w:sz w:val="24"/>
          <w:szCs w:val="24"/>
        </w:rPr>
      </w:pPr>
    </w:p>
    <w:p w14:paraId="40FDA2D6" w14:textId="77777777" w:rsidR="00456A9B" w:rsidRDefault="00456A9B" w:rsidP="002F7E08">
      <w:pPr>
        <w:spacing w:after="0" w:line="360" w:lineRule="auto"/>
        <w:jc w:val="both"/>
        <w:rPr>
          <w:rFonts w:ascii="Times New Roman" w:hAnsi="Times New Roman" w:cs="Times New Roman"/>
          <w:sz w:val="24"/>
          <w:szCs w:val="24"/>
        </w:rPr>
      </w:pPr>
    </w:p>
    <w:p w14:paraId="7902143E" w14:textId="18D47D50" w:rsidR="002F7E08" w:rsidRPr="00D121C1" w:rsidRDefault="00D121C1" w:rsidP="00D121C1">
      <w:pPr>
        <w:pStyle w:val="Legenda"/>
        <w:jc w:val="center"/>
        <w:rPr>
          <w:rFonts w:ascii="Times New Roman" w:hAnsi="Times New Roman" w:cs="Times New Roman"/>
          <w:b/>
          <w:bCs/>
          <w:i w:val="0"/>
          <w:iCs w:val="0"/>
          <w:color w:val="auto"/>
          <w:sz w:val="24"/>
          <w:szCs w:val="24"/>
        </w:rPr>
      </w:pPr>
      <w:r w:rsidRPr="00D121C1">
        <w:rPr>
          <w:rFonts w:ascii="Times New Roman" w:hAnsi="Times New Roman" w:cs="Times New Roman"/>
          <w:i w:val="0"/>
          <w:iCs w:val="0"/>
          <w:color w:val="auto"/>
          <w:sz w:val="24"/>
          <w:szCs w:val="24"/>
        </w:rPr>
        <w:t xml:space="preserve">Quadro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Quadro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Pr>
          <w:rFonts w:ascii="Times New Roman" w:hAnsi="Times New Roman" w:cs="Times New Roman"/>
          <w:i w:val="0"/>
          <w:iCs w:val="0"/>
          <w:color w:val="auto"/>
          <w:sz w:val="24"/>
          <w:szCs w:val="24"/>
        </w:rPr>
        <w:fldChar w:fldCharType="end"/>
      </w:r>
      <w:r w:rsidRPr="00D121C1">
        <w:rPr>
          <w:rFonts w:ascii="Times New Roman" w:hAnsi="Times New Roman" w:cs="Times New Roman"/>
          <w:b/>
          <w:bCs/>
          <w:i w:val="0"/>
          <w:iCs w:val="0"/>
          <w:color w:val="auto"/>
          <w:sz w:val="24"/>
          <w:szCs w:val="24"/>
        </w:rPr>
        <w:t>:</w:t>
      </w:r>
      <w:r w:rsidR="002F7E08" w:rsidRPr="00D121C1">
        <w:rPr>
          <w:rFonts w:ascii="Times New Roman" w:hAnsi="Times New Roman" w:cs="Times New Roman"/>
          <w:b/>
          <w:bCs/>
          <w:i w:val="0"/>
          <w:iCs w:val="0"/>
          <w:color w:val="auto"/>
          <w:sz w:val="24"/>
          <w:szCs w:val="24"/>
        </w:rPr>
        <w:t xml:space="preserve"> Estratos informacionais</w:t>
      </w:r>
    </w:p>
    <w:p w14:paraId="5FCF7F97" w14:textId="77777777" w:rsidR="002F7E08" w:rsidRPr="00C85605" w:rsidRDefault="002F7E08" w:rsidP="002F7E08">
      <w:pPr>
        <w:spacing w:after="0" w:line="360" w:lineRule="auto"/>
        <w:jc w:val="center"/>
        <w:rPr>
          <w:rFonts w:ascii="Times New Roman" w:hAnsi="Times New Roman" w:cs="Times New Roman"/>
          <w:b/>
          <w:bCs/>
          <w:sz w:val="24"/>
          <w:szCs w:val="24"/>
        </w:rPr>
      </w:pPr>
      <w:r>
        <w:rPr>
          <w:rFonts w:cs="Arial"/>
          <w:noProof/>
          <w:szCs w:val="24"/>
        </w:rPr>
        <w:drawing>
          <wp:inline distT="0" distB="0" distL="0" distR="0" wp14:anchorId="120E8A01" wp14:editId="516EB08D">
            <wp:extent cx="5057140" cy="1837055"/>
            <wp:effectExtent l="0" t="0" r="0" b="0"/>
            <wp:docPr id="6"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exto&#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7140" cy="1837055"/>
                    </a:xfrm>
                    <a:prstGeom prst="rect">
                      <a:avLst/>
                    </a:prstGeom>
                    <a:noFill/>
                    <a:ln>
                      <a:noFill/>
                    </a:ln>
                  </pic:spPr>
                </pic:pic>
              </a:graphicData>
            </a:graphic>
          </wp:inline>
        </w:drawing>
      </w:r>
    </w:p>
    <w:p w14:paraId="365EA171" w14:textId="77777777" w:rsidR="002F7E08" w:rsidRPr="00456A9B" w:rsidRDefault="002F7E08" w:rsidP="002F7E08">
      <w:pPr>
        <w:spacing w:after="0" w:line="360" w:lineRule="auto"/>
        <w:jc w:val="center"/>
        <w:rPr>
          <w:rFonts w:ascii="Times New Roman" w:hAnsi="Times New Roman" w:cs="Times New Roman"/>
          <w:sz w:val="20"/>
          <w:szCs w:val="20"/>
          <w:lang w:val="es-ES"/>
        </w:rPr>
      </w:pPr>
      <w:r w:rsidRPr="00456A9B">
        <w:rPr>
          <w:rFonts w:ascii="Times New Roman" w:hAnsi="Times New Roman" w:cs="Times New Roman"/>
          <w:b/>
          <w:bCs/>
          <w:sz w:val="20"/>
          <w:szCs w:val="20"/>
          <w:lang w:val="es-ES"/>
        </w:rPr>
        <w:t>Fonte</w:t>
      </w:r>
      <w:r w:rsidRPr="00456A9B">
        <w:rPr>
          <w:rFonts w:ascii="Times New Roman" w:hAnsi="Times New Roman" w:cs="Times New Roman"/>
          <w:sz w:val="20"/>
          <w:szCs w:val="20"/>
          <w:lang w:val="es-ES"/>
        </w:rPr>
        <w:t>: Adaptado de González de Gómez (1999; 2012b)</w:t>
      </w:r>
    </w:p>
    <w:p w14:paraId="676440DE" w14:textId="77777777" w:rsidR="002F7E08" w:rsidRPr="00282D31" w:rsidRDefault="002F7E08" w:rsidP="002F7E08">
      <w:pPr>
        <w:spacing w:after="0" w:line="360" w:lineRule="auto"/>
        <w:jc w:val="both"/>
        <w:rPr>
          <w:rFonts w:ascii="Times New Roman" w:hAnsi="Times New Roman" w:cs="Times New Roman"/>
          <w:sz w:val="24"/>
          <w:szCs w:val="24"/>
          <w:lang w:val="es-ES"/>
        </w:rPr>
      </w:pPr>
    </w:p>
    <w:p w14:paraId="0C19762B"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No estrato semântico é sugerido usar estratégias para reconstruir a produção de sentidos dos atores sociais e/ou para construir e interpretar indicadores sobre produtos e resultados das ações de informação. Para tal, pode-se valer de métodos descritivos ou interpretativos. No estrato regulatório é indicado utilizar noções e abordagens das áreas de gestão e das ciências sociais, como as noções de instituição, organização e contrato. Por fim, no estrato de infraestrutura de informação é sugerido compreender os padrões tecnológicos estabelecidos e suas condições de viabilidade e eficácia econômica (González de </w:t>
      </w:r>
      <w:r>
        <w:rPr>
          <w:rFonts w:ascii="Times New Roman" w:hAnsi="Times New Roman" w:cs="Times New Roman"/>
          <w:sz w:val="24"/>
          <w:szCs w:val="24"/>
        </w:rPr>
        <w:t>G</w:t>
      </w:r>
      <w:r w:rsidRPr="00EE54D7">
        <w:rPr>
          <w:rFonts w:ascii="Times New Roman" w:hAnsi="Times New Roman" w:cs="Times New Roman"/>
          <w:sz w:val="24"/>
          <w:szCs w:val="24"/>
        </w:rPr>
        <w:t>ómez, 2000).</w:t>
      </w:r>
    </w:p>
    <w:p w14:paraId="47D70A37"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Ao destacar o papel das normas, regras e contratos, González de Gómez se aproxima da teoria de regime. Para a autora as regras “são normas que nem descrevem nem prescrevem, mas determinam” (González </w:t>
      </w:r>
      <w:r>
        <w:rPr>
          <w:rFonts w:ascii="Times New Roman" w:hAnsi="Times New Roman" w:cs="Times New Roman"/>
          <w:sz w:val="24"/>
          <w:szCs w:val="24"/>
        </w:rPr>
        <w:t>de</w:t>
      </w:r>
      <w:r w:rsidRPr="00EE54D7">
        <w:rPr>
          <w:rFonts w:ascii="Times New Roman" w:hAnsi="Times New Roman" w:cs="Times New Roman"/>
          <w:sz w:val="24"/>
          <w:szCs w:val="24"/>
        </w:rPr>
        <w:t xml:space="preserve"> Gómez, 1999. p. 10). Mediadas pela linguagem, elas organizam as experiências prático-discursivas, promovem regularidades e podem ser explícitas ou implícitas. Já as normas estabelecem o que é correto ou adequado para realização de uma determinada ação e podem ser prescritivas, como as normas técnicas e sancionadas por alguma autoridade. O contrato está relacionado à relação jurídica que estabelece direitos e deveres entre as partes (González de </w:t>
      </w:r>
      <w:r>
        <w:rPr>
          <w:rFonts w:ascii="Times New Roman" w:hAnsi="Times New Roman" w:cs="Times New Roman"/>
          <w:sz w:val="24"/>
          <w:szCs w:val="24"/>
        </w:rPr>
        <w:t>G</w:t>
      </w:r>
      <w:r w:rsidRPr="00EE54D7">
        <w:rPr>
          <w:rFonts w:ascii="Times New Roman" w:hAnsi="Times New Roman" w:cs="Times New Roman"/>
          <w:sz w:val="24"/>
          <w:szCs w:val="24"/>
        </w:rPr>
        <w:t xml:space="preserve">ómez, 1999). </w:t>
      </w:r>
    </w:p>
    <w:p w14:paraId="1FAFBB78"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Tal como Frohmman, González de Gómez destaca a importância da perspectiva relacional na conformação do regime de informação. Baseada na teoria ator-rede, a autora destaca o agenciamento de elementos heterogêneos nos fluxos informacionais, entende que os </w:t>
      </w:r>
      <w:r w:rsidRPr="00EE54D7">
        <w:rPr>
          <w:rFonts w:ascii="Times New Roman" w:hAnsi="Times New Roman" w:cs="Times New Roman"/>
          <w:sz w:val="24"/>
          <w:szCs w:val="24"/>
        </w:rPr>
        <w:lastRenderedPageBreak/>
        <w:t xml:space="preserve">atores estão inter-relacionados e que qualquer ação pode afetar a rede como um todo. A autora articula o conceito de rede com o de dispositivo de Foucault, entendendo esse último como configurações estruturantes das redes, ou seja, eles “sobredeterminam e especificam características das redes” (González de </w:t>
      </w:r>
      <w:r>
        <w:rPr>
          <w:rFonts w:ascii="Times New Roman" w:hAnsi="Times New Roman" w:cs="Times New Roman"/>
          <w:sz w:val="24"/>
          <w:szCs w:val="24"/>
        </w:rPr>
        <w:t>G</w:t>
      </w:r>
      <w:r w:rsidRPr="00EE54D7">
        <w:rPr>
          <w:rFonts w:ascii="Times New Roman" w:hAnsi="Times New Roman" w:cs="Times New Roman"/>
          <w:sz w:val="24"/>
          <w:szCs w:val="24"/>
        </w:rPr>
        <w:t xml:space="preserve">ómez, 1999, p. 26). </w:t>
      </w:r>
    </w:p>
    <w:p w14:paraId="33B7BC1E"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A pesquisadora também dialoga com os estudos de Geertz e Collins sobre a noção de formas de vida ao considerar que cada sociedade tem um modo de agir próprio e entende que as formas de vida como espaços sociais onde os sujeitos realizam práticas informacionais e não informacionais. Nesse contexto, as instituições podem ter um papel importante no estabelecimento de ações e de decisões por meio de acordo entre os participantes ou de modo coercitivo e de intenções totalizadoras. </w:t>
      </w:r>
    </w:p>
    <w:p w14:paraId="2AB8965A"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Os atores sociais, para González de Gómez (1999, p. 23), “são aqueles que podem ser reconhecidos por suas formas de vida e constroem suas identidades através de ações formativas”. Quando as ações formativas dos atores sociais são predominantemente ações de informação, eles são chamamos de atores gnoseológicos. Sendo assim, os pesquisadores, ao terem como uma das principais atividades a produção de conhecimento – portanto, uma ação de informação –, são atores gnosiológico e possuem uma dupla </w:t>
      </w:r>
      <w:r>
        <w:rPr>
          <w:rFonts w:ascii="Times New Roman" w:hAnsi="Times New Roman" w:cs="Times New Roman"/>
          <w:sz w:val="24"/>
          <w:szCs w:val="24"/>
        </w:rPr>
        <w:t>função</w:t>
      </w:r>
      <w:r w:rsidRPr="00EE54D7">
        <w:rPr>
          <w:rFonts w:ascii="Times New Roman" w:hAnsi="Times New Roman" w:cs="Times New Roman"/>
          <w:sz w:val="24"/>
          <w:szCs w:val="24"/>
        </w:rPr>
        <w:t xml:space="preserve">, visto que “a existência do cientista já é o resultado de uma duplicação de papéis pela qual a sociedade moderna faz de um cientista um ator coletivo diferenciado e reconhecido, com regras formalizadas de reconhecimento” (González de </w:t>
      </w:r>
      <w:r>
        <w:rPr>
          <w:rFonts w:ascii="Times New Roman" w:hAnsi="Times New Roman" w:cs="Times New Roman"/>
          <w:sz w:val="24"/>
          <w:szCs w:val="24"/>
        </w:rPr>
        <w:t>G</w:t>
      </w:r>
      <w:r w:rsidRPr="00EE54D7">
        <w:rPr>
          <w:rFonts w:ascii="Times New Roman" w:hAnsi="Times New Roman" w:cs="Times New Roman"/>
          <w:sz w:val="24"/>
          <w:szCs w:val="24"/>
        </w:rPr>
        <w:t xml:space="preserve">ómez, 1999. p. 24). </w:t>
      </w:r>
    </w:p>
    <w:p w14:paraId="066CD12B" w14:textId="77777777" w:rsidR="002F7E08" w:rsidRPr="00EE54D7"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Nos estudos seguintes González de Gómez retoma o conceito de regime de informação buscando maior consistência e o reformula a partir do cruzamento de três abordagens, sendo elas: o ‘regime de informação’ de Frohmann; ‘modo de informação’ de Poster; e o ‘regime global de informação’ de Braman. Segundo a autora as três abordagens compartilham uma perspectiva ampliada de informação e permitem investigar questões emergentes e inovadoras (González de Gómez, 2012b).</w:t>
      </w:r>
    </w:p>
    <w:p w14:paraId="17A10344" w14:textId="77777777" w:rsidR="002F7E08" w:rsidRPr="00EE54D7"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Para a autora, cada nova configuração de um regime de informação é resultado de diferentes modos de configuração de uma ordem sociocultural política. Inspirada nos estudos desenvolvidos por Braman, González de Gómez acredita que nas últimas décadas o modelo de regime de informação estadocêntrico foi se alterando para um novo modelo no qual atores públicos e privados possuem o poder seletivo e formativo sobre a informação. Nesse contexto, o mundo contemporâneo é categorizado como ‘Estado Informacional’, caracterizado pelo símbolo do ‘panespectron’ ao invés do ‘panóptico’ de Foucault. Portanto, entende que há diversos “dispositivos de permanente multiplicação e diversificação dos pontos de captura e transmissão de informações, agindo em todo e qualquer lugar e em todo e qualquer momento, </w:t>
      </w:r>
      <w:r w:rsidRPr="00EE54D7">
        <w:rPr>
          <w:rFonts w:ascii="Times New Roman" w:hAnsi="Times New Roman" w:cs="Times New Roman"/>
          <w:sz w:val="24"/>
          <w:szCs w:val="24"/>
        </w:rPr>
        <w:lastRenderedPageBreak/>
        <w:t xml:space="preserve">de modo que ninguém sabe quando, como e nem porque é alvo e objeto de uma informação” (González de Gómez, 2012b, p. 32). </w:t>
      </w:r>
    </w:p>
    <w:p w14:paraId="1706F45D" w14:textId="77777777" w:rsidR="002F7E08" w:rsidRPr="00EE54D7"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 xml:space="preserve">A autora questiona, então, se a ação informacional estatal estaria se dirigindo ao controle das informações nos próprios domínios do Estado e do Governo em detrimento do controle do território e da população e se ocorreu uma passagem de um ‘regime de informação estadocêntrico’ a um ‘regime de informação focado na economia’ (González de Gómez; Chicanel, 2008) e responde que as mudanças ocorridas nas últimas décadas não eliminaram o papel ordenador do Estado, mas alteraram as figuras informacionais e comunicacionais dominantes (González de Gómez, 2012b). </w:t>
      </w:r>
    </w:p>
    <w:p w14:paraId="00D95128" w14:textId="77777777" w:rsidR="002F7E08" w:rsidRDefault="002F7E08" w:rsidP="002F7E08">
      <w:pPr>
        <w:spacing w:after="0" w:line="360" w:lineRule="auto"/>
        <w:ind w:firstLine="708"/>
        <w:jc w:val="both"/>
        <w:rPr>
          <w:rFonts w:ascii="Times New Roman" w:hAnsi="Times New Roman" w:cs="Times New Roman"/>
          <w:sz w:val="24"/>
          <w:szCs w:val="24"/>
        </w:rPr>
      </w:pPr>
      <w:r w:rsidRPr="00EE54D7">
        <w:rPr>
          <w:rFonts w:ascii="Times New Roman" w:hAnsi="Times New Roman" w:cs="Times New Roman"/>
          <w:sz w:val="24"/>
          <w:szCs w:val="24"/>
        </w:rPr>
        <w:t>A partir das propostas de González de Gómez, entendemos que é possível aplicar o conceito de regime de informação como um modelo para analisar as práticas de produção e de divulgação do conhecimento em uma instituição de pesquisa. O conceito permite observar os diversos fatores envolvidos e o papel e as relações de poder entre os diferentes agentes no contexto moral, ético, jurídico e político.</w:t>
      </w:r>
    </w:p>
    <w:p w14:paraId="2C0B15F1" w14:textId="77777777" w:rsidR="002F7E08" w:rsidRDefault="002F7E08" w:rsidP="002F7E08">
      <w:pPr>
        <w:spacing w:after="0" w:line="360" w:lineRule="auto"/>
        <w:jc w:val="both"/>
        <w:rPr>
          <w:rFonts w:ascii="Times New Roman" w:eastAsia="Times New Roman" w:hAnsi="Times New Roman" w:cs="Times New Roman"/>
          <w:sz w:val="24"/>
          <w:szCs w:val="24"/>
        </w:rPr>
      </w:pPr>
    </w:p>
    <w:p w14:paraId="4055910C" w14:textId="77777777" w:rsidR="002F7E08" w:rsidRPr="00BD6C96" w:rsidRDefault="002F7E08" w:rsidP="002F7E08">
      <w:pPr>
        <w:spacing w:after="0" w:line="360" w:lineRule="auto"/>
        <w:jc w:val="both"/>
        <w:rPr>
          <w:rFonts w:ascii="Times New Roman" w:eastAsia="Times New Roman" w:hAnsi="Times New Roman" w:cs="Times New Roman"/>
          <w:b/>
          <w:bCs/>
          <w:sz w:val="24"/>
          <w:szCs w:val="24"/>
        </w:rPr>
      </w:pPr>
      <w:r w:rsidRPr="00674250">
        <w:rPr>
          <w:rFonts w:ascii="Times New Roman" w:eastAsia="Times New Roman" w:hAnsi="Times New Roman" w:cs="Times New Roman"/>
          <w:sz w:val="24"/>
          <w:szCs w:val="24"/>
        </w:rPr>
        <w:t>4</w:t>
      </w:r>
      <w:r w:rsidRPr="00BD6C96">
        <w:rPr>
          <w:rFonts w:ascii="Times New Roman" w:eastAsia="Times New Roman" w:hAnsi="Times New Roman" w:cs="Times New Roman"/>
          <w:b/>
          <w:bCs/>
          <w:sz w:val="24"/>
          <w:szCs w:val="24"/>
        </w:rPr>
        <w:t xml:space="preserve"> </w:t>
      </w:r>
      <w:r w:rsidRPr="00BD6C96">
        <w:rPr>
          <w:rFonts w:ascii="Times New Roman" w:hAnsi="Times New Roman" w:cs="Times New Roman"/>
          <w:b/>
          <w:bCs/>
          <w:sz w:val="24"/>
          <w:szCs w:val="24"/>
        </w:rPr>
        <w:t>MODELO PARA COMPREENSÃO DO REGIME DE INFORMAÇÃO EM UMA INSTITUIÇÃO DE PESQUISA</w:t>
      </w:r>
    </w:p>
    <w:p w14:paraId="2DAA5E2D" w14:textId="77777777" w:rsidR="002F7E08" w:rsidRDefault="002F7E08" w:rsidP="002F7E08">
      <w:pPr>
        <w:spacing w:after="0" w:line="360" w:lineRule="auto"/>
        <w:jc w:val="both"/>
        <w:rPr>
          <w:rFonts w:ascii="Times New Roman" w:eastAsia="Times New Roman" w:hAnsi="Times New Roman" w:cs="Times New Roman"/>
          <w:sz w:val="24"/>
          <w:szCs w:val="24"/>
        </w:rPr>
      </w:pPr>
    </w:p>
    <w:p w14:paraId="7BEBBA36" w14:textId="77777777" w:rsidR="002F7E08" w:rsidRDefault="002F7E08" w:rsidP="002F7E08">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EE54D7">
        <w:rPr>
          <w:rFonts w:ascii="Times New Roman" w:hAnsi="Times New Roman" w:cs="Times New Roman"/>
          <w:sz w:val="24"/>
          <w:szCs w:val="24"/>
        </w:rPr>
        <w:t>Reconhecemos que o conceito de regime de informação de González de Gómez pode ser entendido como um “instrumento para fazer novas perguntas, mais que um recurso de provisão de respostas” (González de Gómez, 2012a, p. 57), mas que também pode atuar como “[...] uma ferramenta interessante para situar e analisar as relações de uma pluralidade de atores, práticas e recursos, à luz da transversalidade específica das ações, meios e efeitos de informação” (González de Gómez, 2012a, p. 43).</w:t>
      </w:r>
    </w:p>
    <w:p w14:paraId="1D53AFF7"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O conceito pode, então, ser utilizado como um modelo analítico que visa a reconstrução dos modos de produção e divulgação do conhecimento em uma instituição de pesquisa, considerando as relações culturais, sociais e econômicas entre os diferentes agentes e que são condicionadas pelas relações de poder (González de Gómez; Chicanel, 2008). Ele não deve ser assumido como um sistema ou uma estrutura, mas pode ser usado para demarcar um espaço para compreender os fenômenos informacionais.</w:t>
      </w:r>
    </w:p>
    <w:p w14:paraId="2E92646F"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A CI é, para González de Gómez (2000), é compreendida como uma ciência social e possui somente uma corrente ou escola teórico-metodológica. Na perspectiva da autora, como as questões micro e macrossociais são entendidas como quase indissociáveis, os estudos que adotam o conceito de regime de informação como modelo analítico podem aplicar conceitos e </w:t>
      </w:r>
      <w:r w:rsidRPr="00EE54D7">
        <w:rPr>
          <w:rFonts w:ascii="Times New Roman" w:hAnsi="Times New Roman" w:cs="Times New Roman"/>
          <w:sz w:val="24"/>
          <w:szCs w:val="24"/>
        </w:rPr>
        <w:lastRenderedPageBreak/>
        <w:t xml:space="preserve">métodos das ciências sociais, como conceitos antropológicos ou dos estudos de redes (González de Gómez, 2020). Entretanto, o modelo é flexível e os métodos utilizados podem variar de acordo com as questões de pesquisa e o contexto analisado. </w:t>
      </w:r>
    </w:p>
    <w:p w14:paraId="4123B7A9" w14:textId="77777777" w:rsidR="002F7E08" w:rsidRPr="00EE54D7" w:rsidRDefault="002F7E08" w:rsidP="002F7E08">
      <w:pPr>
        <w:spacing w:after="0" w:line="360" w:lineRule="auto"/>
        <w:jc w:val="both"/>
        <w:rPr>
          <w:rFonts w:ascii="Times New Roman" w:hAnsi="Times New Roman" w:cs="Times New Roman"/>
          <w:sz w:val="24"/>
          <w:szCs w:val="24"/>
        </w:rPr>
      </w:pPr>
    </w:p>
    <w:p w14:paraId="1249B739" w14:textId="2D1F271E" w:rsidR="002F7E08" w:rsidRPr="00EE54D7" w:rsidRDefault="002F7E08" w:rsidP="002F7E08">
      <w:pPr>
        <w:spacing w:after="0" w:line="360" w:lineRule="auto"/>
        <w:jc w:val="both"/>
        <w:rPr>
          <w:rFonts w:ascii="Times New Roman" w:hAnsi="Times New Roman" w:cs="Times New Roman"/>
          <w:sz w:val="24"/>
          <w:szCs w:val="24"/>
        </w:rPr>
      </w:pPr>
      <w:r w:rsidRPr="00EE54D7">
        <w:rPr>
          <w:rFonts w:ascii="Times New Roman" w:hAnsi="Times New Roman" w:cs="Times New Roman"/>
          <w:sz w:val="24"/>
          <w:szCs w:val="24"/>
        </w:rPr>
        <w:t>4.1 REFLEXÕES SOBRE O NÍVEL MACROSSOCIAL</w:t>
      </w:r>
    </w:p>
    <w:p w14:paraId="3106BD9B" w14:textId="77777777" w:rsidR="002F7E08" w:rsidRPr="00EE54D7" w:rsidRDefault="002F7E08" w:rsidP="002F7E08">
      <w:pPr>
        <w:spacing w:after="0" w:line="360" w:lineRule="auto"/>
        <w:jc w:val="both"/>
        <w:rPr>
          <w:rFonts w:ascii="Times New Roman" w:hAnsi="Times New Roman" w:cs="Times New Roman"/>
          <w:sz w:val="24"/>
          <w:szCs w:val="24"/>
        </w:rPr>
      </w:pPr>
    </w:p>
    <w:p w14:paraId="6AA4AA1D"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Ao entendermos que os regimes são definidos pelos princípios (Krasner, 2012) e pelas regras, ou seja, pelas normas explícitas ou implícitas que determinam e promovem regularidades (González de Gómez, 1999), faz-se necessário discutir a relação entre as concepções de ciência e as políticas científicas. </w:t>
      </w:r>
    </w:p>
    <w:p w14:paraId="4A1F0D53"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Concordamos com Tauile (1981) que o desenvolvimento das ciências está diretamente ligado à lógica de acumulação capitalista. À medida que os processos de produção foram se complexificando e as técnicas dependendo cada vez mais de máquinas e equipamentos de capital fixo, aumentou a necessidade de pensar o processo de produção como sistema. Por conseguinte, os conhecimentos foram demandados e incorporados de maneira sistemática ao processo produtivo, “o que se pode melhor caracterizar, em termos contemporâneos, como produção de tecnologia [...] transformada ela própria em capital” (Tauile, 1981, p. 97).</w:t>
      </w:r>
    </w:p>
    <w:p w14:paraId="244F0D7C"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A relação direta entre o desenvolvimento das ciências e o capitalismo também foi apontada por Jünger Habermas. De acordo com o filósofo, nos chamados países capitalistas avançados existiam duas tendências: a primeira está relacionada ao aumento das atividades intervencionistas dos Estados para assegurar a estabilidade do sistema capitalista e a segunda refere-se à transformação das ciências e das técnicas como a primeira força produtiva (Habermas, 1968).</w:t>
      </w:r>
    </w:p>
    <w:p w14:paraId="07C509D8" w14:textId="77777777" w:rsidR="002F7E08" w:rsidRPr="00EE54D7" w:rsidRDefault="002F7E08" w:rsidP="002F7E08">
      <w:pPr>
        <w:spacing w:after="0" w:line="360" w:lineRule="auto"/>
        <w:jc w:val="both"/>
        <w:rPr>
          <w:rFonts w:ascii="Times New Roman" w:hAnsi="Times New Roman" w:cs="Times New Roman"/>
          <w:sz w:val="24"/>
          <w:szCs w:val="24"/>
        </w:rPr>
      </w:pPr>
      <w:r w:rsidRPr="00EE54D7">
        <w:rPr>
          <w:rFonts w:ascii="Times New Roman" w:hAnsi="Times New Roman" w:cs="Times New Roman"/>
          <w:sz w:val="24"/>
          <w:szCs w:val="24"/>
        </w:rPr>
        <w:t xml:space="preserve"> </w:t>
      </w:r>
      <w:r>
        <w:rPr>
          <w:rFonts w:ascii="Times New Roman" w:hAnsi="Times New Roman" w:cs="Times New Roman"/>
          <w:sz w:val="24"/>
          <w:szCs w:val="24"/>
        </w:rPr>
        <w:tab/>
      </w:r>
      <w:r w:rsidRPr="00EE54D7">
        <w:rPr>
          <w:rFonts w:ascii="Times New Roman" w:hAnsi="Times New Roman" w:cs="Times New Roman"/>
          <w:sz w:val="24"/>
          <w:szCs w:val="24"/>
        </w:rPr>
        <w:t>Entendemos</w:t>
      </w:r>
      <w:r>
        <w:rPr>
          <w:rFonts w:ascii="Times New Roman" w:hAnsi="Times New Roman" w:cs="Times New Roman"/>
          <w:sz w:val="24"/>
          <w:szCs w:val="24"/>
        </w:rPr>
        <w:t xml:space="preserve"> ainda</w:t>
      </w:r>
      <w:r w:rsidRPr="00EE54D7">
        <w:rPr>
          <w:rFonts w:ascii="Times New Roman" w:hAnsi="Times New Roman" w:cs="Times New Roman"/>
          <w:sz w:val="24"/>
          <w:szCs w:val="24"/>
        </w:rPr>
        <w:t xml:space="preserve"> que a formulação de políticas de ciência, tecnologia e inovação (CT&amp;I) está diretamente correlacionada ao modelo dominante de ciência e existe um processo de internacionalização da Política de CT&amp;I decorrente das relações internacionais, ou seja, dos contatos mediados por organizações internacionais e organismos multilaterais (Ruivo, 1994; Velho, 2011).</w:t>
      </w:r>
    </w:p>
    <w:p w14:paraId="2D1754FF"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Ao logo dos anos, sugiram diferentes concepções de ciência. Sendo que a partir da década de 1970, influenciada pelos processos de globalização e liberação da economia, pelo desenvolvimento de novas tecnologias de informação e de comunicação, emergiu a ideia de ciência como fonte de oportunidades e estratégias (Ruivo, 1994; Velho, 2011). Nessa concepção, o modelo linear da ciência é rompido ao associar a oferta (</w:t>
      </w:r>
      <w:r w:rsidRPr="00576788">
        <w:rPr>
          <w:rFonts w:ascii="Times New Roman" w:hAnsi="Times New Roman" w:cs="Times New Roman"/>
          <w:i/>
          <w:iCs/>
          <w:sz w:val="24"/>
          <w:szCs w:val="24"/>
        </w:rPr>
        <w:t>science push</w:t>
      </w:r>
      <w:r w:rsidRPr="00EE54D7">
        <w:rPr>
          <w:rFonts w:ascii="Times New Roman" w:hAnsi="Times New Roman" w:cs="Times New Roman"/>
          <w:sz w:val="24"/>
          <w:szCs w:val="24"/>
        </w:rPr>
        <w:t>) com a demanda do mercado (</w:t>
      </w:r>
      <w:r w:rsidRPr="00576788">
        <w:rPr>
          <w:rFonts w:ascii="Times New Roman" w:hAnsi="Times New Roman" w:cs="Times New Roman"/>
          <w:i/>
          <w:iCs/>
          <w:sz w:val="24"/>
          <w:szCs w:val="24"/>
        </w:rPr>
        <w:t>demand pull</w:t>
      </w:r>
      <w:r w:rsidRPr="00EE54D7">
        <w:rPr>
          <w:rFonts w:ascii="Times New Roman" w:hAnsi="Times New Roman" w:cs="Times New Roman"/>
          <w:sz w:val="24"/>
          <w:szCs w:val="24"/>
        </w:rPr>
        <w:t xml:space="preserve">). Há também o entendimento que a produção do </w:t>
      </w:r>
      <w:r w:rsidRPr="00EE54D7">
        <w:rPr>
          <w:rFonts w:ascii="Times New Roman" w:hAnsi="Times New Roman" w:cs="Times New Roman"/>
          <w:sz w:val="24"/>
          <w:szCs w:val="24"/>
        </w:rPr>
        <w:lastRenderedPageBreak/>
        <w:t>conhecimento ocorre em diversos locais e envolve agentes múltiplos (empresas, hospitais, ONGs, academia, entre outros) (Velho, 2011).</w:t>
      </w:r>
    </w:p>
    <w:p w14:paraId="732496F2"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No Brasil, no início do século 21, é possível observar diversas ações e investimentos para promover políticas de CT&amp;I alinhadas a essa concepção de ciência (Guimarães, 2006), como a promulgação: da Lei de Inovação Tecnológica; da Política Industrial, Tecnológica e de Comércio Exterior; da Lei nº 11.196, de 21 de novembro de 2005 (Lei do Bem); da Lei nº 11.540, de 12 de novembro de 2007 (Lei do Fundo Nacional de Desenvolvimento Científico e Tecnológico); do Programa de Subvenção Econômica; do Plano de Ação de Ciência, Tecnologia e Inovação; da Política de Desenvolvimento Produtivo; do Programa Nacional das Plataformas do Conhecimento; entre outros. </w:t>
      </w:r>
    </w:p>
    <w:p w14:paraId="5DBFB9B9"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Essa concepção de ciência também está refletida na alteração do artigo 218 da Constituição Federal de 1988. Inicialmente, esse dispositivo estabelecia que o Estado devia promover e incentivar o desenvolvimento científico, a pesquisa e a capacitação tecnológicas. Entretanto, a emenda constitucional nº 85 de 2015 incluiu como papel do Estado a capacitação científica e tecnológica e a inovação. Além disso, foi inserido um novo parágrafo sobre a articulação entre os setores público e privados e outro sobre o incentivo à atuação no exterior das instituições públicas de CT&amp;I. </w:t>
      </w:r>
    </w:p>
    <w:p w14:paraId="1F44D922"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De acordo com Velho (2011), emergiu nas últimas décadas uma outra concepção de ciência decorrente do questionamento da padronização e rigidez das políticas públicas internacionais, que ela chama de “ciência para o bem da sociedade”. As políticas de CT&amp;I, nesse contexto, buscam soluções nacionais e locais que consideram as diferenças culturais e de recursos e há a valorização da interdisciplinaridade e da produção de conhecimento compartilhado com atores que não pertencem à academia. O modelo interativo continua a ser privilegiado e o foco da política de CT&amp;I é, ou deveria ser, o bem-estar social. As políticas públicas também passam a ser responsáveis pela regulação e articulação dos diferentes atores envolvidos no processo de desenvolvimento das ciências e das tecnologias e busca participação social na definição dos objetivos e na disseminação dos resultados. </w:t>
      </w:r>
    </w:p>
    <w:p w14:paraId="2F4AA88C"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Além de compreender a relação entre as concepções e as políticas de CT&amp;I, para discutir questões no nível macrossocial, considera-se útil o conceito de capital científico desenvolvido por Pierre Bourdieu (2004) ao entendermos que os pesquisadores lutam pelo monopólio da autoridade científica – capacidade técnica e poder social – e da competência científica – capacidade de agir e falar de modo autorizado e com autoridade – e almejam o reconhecimento e prestígio perante seus pares. </w:t>
      </w:r>
    </w:p>
    <w:p w14:paraId="5E30C95E"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lastRenderedPageBreak/>
        <w:t xml:space="preserve">Para Bourdieu, as lutas e estratégias adotadas por eles não devem ser entendidas como puramente políticas ou puramente intelectuais e os investimentos em determinadas áreas de pesquisa podem ser uma estratégia, consciente ou não, para obter lucros em função do capital acumulado, não necessariamente monetário. Portanto, as práticas científicas são entendidas como “mais um mercado particular dentro da ordem econômica capitalista” (Hochman, 1994, p. 2010). </w:t>
      </w:r>
    </w:p>
    <w:p w14:paraId="10A9F212"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Sendo assim, o controle e poder decorrente da acumulação de diferentes capitais pode (re)configurar os estratos informacionais e, consequentemente, o regime de informação, uma vez que as atividades de produção e de divulgação do conhecimento envolvem a relação com diferentes agentes ou atores sociais.</w:t>
      </w:r>
    </w:p>
    <w:p w14:paraId="62B844A0"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Outras dimensões analíticas de nível macrossocial podem ser utilizadas para analisar um regime de informação como, por exemplo, a concepção de ethos científicos de Robert Merton e/ou o conceito de paradigma de Thomas Khun para compreender o papel dos valores, normas, crenças e princípios compartilhados em uma determinada comunidade científica. Entretanto, para Bourdieu, ao contrário de Merton e Kuhn, a comunidade científica – ou melhor, o campo científico – não é neutra, cooperativa, universalista e desinteressada. Ela é um campo de distribuição desigual de poder e de competição. Os dominantes – aqueles com maior capital científico – podem impor, de acordo com seus interesses, a definição de ciência e ditar normas, princípios, regras e contratos que configuram um determinado regime de informação.</w:t>
      </w:r>
    </w:p>
    <w:p w14:paraId="522D8EC8" w14:textId="77777777" w:rsidR="002F7E08" w:rsidRPr="00EE54D7" w:rsidRDefault="002F7E08" w:rsidP="002F7E08">
      <w:pPr>
        <w:spacing w:after="0" w:line="360" w:lineRule="auto"/>
        <w:jc w:val="both"/>
        <w:rPr>
          <w:rFonts w:ascii="Times New Roman" w:hAnsi="Times New Roman" w:cs="Times New Roman"/>
          <w:sz w:val="24"/>
          <w:szCs w:val="24"/>
        </w:rPr>
      </w:pPr>
    </w:p>
    <w:p w14:paraId="38CB74A2" w14:textId="77777777" w:rsidR="002F7E08" w:rsidRPr="00EE54D7" w:rsidRDefault="002F7E08" w:rsidP="002F7E08">
      <w:pPr>
        <w:spacing w:after="0" w:line="360" w:lineRule="auto"/>
        <w:jc w:val="both"/>
        <w:rPr>
          <w:rFonts w:ascii="Times New Roman" w:hAnsi="Times New Roman" w:cs="Times New Roman"/>
          <w:sz w:val="24"/>
          <w:szCs w:val="24"/>
        </w:rPr>
      </w:pPr>
      <w:r w:rsidRPr="00EE54D7">
        <w:rPr>
          <w:rFonts w:ascii="Times New Roman" w:hAnsi="Times New Roman" w:cs="Times New Roman"/>
          <w:sz w:val="24"/>
          <w:szCs w:val="24"/>
        </w:rPr>
        <w:t>4.2 REFLEXÕES SOBRE O NÍVEL MICROSSOCIAL</w:t>
      </w:r>
    </w:p>
    <w:p w14:paraId="70464CDB" w14:textId="77777777" w:rsidR="002F7E08" w:rsidRPr="00EE54D7" w:rsidRDefault="002F7E08" w:rsidP="002F7E08">
      <w:pPr>
        <w:spacing w:after="0" w:line="360" w:lineRule="auto"/>
        <w:jc w:val="both"/>
        <w:rPr>
          <w:rFonts w:ascii="Times New Roman" w:hAnsi="Times New Roman" w:cs="Times New Roman"/>
          <w:sz w:val="24"/>
          <w:szCs w:val="24"/>
        </w:rPr>
      </w:pPr>
    </w:p>
    <w:p w14:paraId="53FF5DE0"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Para compreender a produção e divulgação do conhecimento de uma instituição de pesquisa sob a ótica do regime de informação </w:t>
      </w:r>
      <w:r>
        <w:rPr>
          <w:rFonts w:ascii="Times New Roman" w:hAnsi="Times New Roman" w:cs="Times New Roman"/>
          <w:sz w:val="24"/>
          <w:szCs w:val="24"/>
        </w:rPr>
        <w:t>indica-se</w:t>
      </w:r>
      <w:r w:rsidRPr="00EE54D7">
        <w:rPr>
          <w:rFonts w:ascii="Times New Roman" w:hAnsi="Times New Roman" w:cs="Times New Roman"/>
          <w:sz w:val="24"/>
          <w:szCs w:val="24"/>
        </w:rPr>
        <w:t xml:space="preserve">, ainda, utilizar preceitos da microssociologia. Nessa perspectiva, a teoria ator-rede contribui com ideia de que o processo de produção de conhecimento envolve a relação entre elementos humanos e não-humanos. </w:t>
      </w:r>
    </w:p>
    <w:p w14:paraId="06C13F02"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Essa teoria possui uma interpretação construtivista ao não considerar a separação dos produtos das ciências das práticas que os constituíram (Hochman, 1994). Ao buscar uma aproximação entre as práticas científicas e as formas de organização social da pesquisa que ocorrem em contextos específicos, a análise se desloca dos condicionamentos institucionais para as relações entre os diferentes agentes envolvidos no processo de produção e de divulgação do conhecimento.</w:t>
      </w:r>
    </w:p>
    <w:p w14:paraId="3E9AE108"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Com base nos conceitos e noções desenvolvidos por Latour, Callon e Knnor-Cetina, González de Gómez (2007, p. 9) desenvolveu a noção de autoridade epistêmica distribuída para </w:t>
      </w:r>
      <w:r w:rsidRPr="00EE54D7">
        <w:rPr>
          <w:rFonts w:ascii="Times New Roman" w:hAnsi="Times New Roman" w:cs="Times New Roman"/>
          <w:sz w:val="24"/>
          <w:szCs w:val="24"/>
        </w:rPr>
        <w:lastRenderedPageBreak/>
        <w:t xml:space="preserve">se referir “às condições e possibilidades de articulação, social e epistêmica, das diferentes culturas de evidência que participam da produção de conhecimento em redes sociais e digitais”. Nesse sentido, a abordagem se aproxima mais do modelo de redes do que de campo e não possui perspectiva estruturalista. Para a autora, a atividade científica envolve, cada vez mais, atores de diversas áreas do conhecimento, econômicos e socioculturais. Portanto, os conhecimentos são produzidos em redes heterogêneas e complexas. </w:t>
      </w:r>
    </w:p>
    <w:p w14:paraId="56B7B750"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O modelo de campo indicado por González de Gómez (2007) está relacionado ao conceito desenvolvido por Bourdieu, que define campo como “universo no qual estão inseridos os agentes e as instituições que produzem, reproduzem ou difundem a arte, a literatura ou a ciência” (Bourdieu, 2004, p. 20). O campo se apresenta como espaço estruturado de posições e todo campo é um campo de forças e de lutas para conservar ou transformar as estruturas (Bourdieu, 1983). </w:t>
      </w:r>
    </w:p>
    <w:p w14:paraId="610055DF"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No modelo analítico proposto nesse artigo, sugerimos usar o conceito de campo associado ao de redes para apoiar a contextualização histórica e social e a compreensão das visões e interesses específicos que estruturam e normatizam as práticas científicas. Desse modo, entendemos que a autoridade científica é resultado tanto da interação entre os diferentes atores quanto condicionada pela estrutura social. Consideramos, portanto, que as posições que os atores ocupam são definidos pelas relações estabelecidas com outros atores sociais (Marteleto; Silva, 2015).</w:t>
      </w:r>
    </w:p>
    <w:p w14:paraId="64EB35BC"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O conceito de campo, portanto, é usado de modo complementar para situar o lugar social e institucional dos diferentes atores inter e extracampo científico e humanos e não-humanos envolvidos no processo de produção e divulgação do conhecimento. Apesar do conceito em questão ter a perspectiva das teorias estruturalistas da sociedade, ele permite considerar as relações sociais como dinâmicas e flexíveis (Braman, 2004). </w:t>
      </w:r>
    </w:p>
    <w:p w14:paraId="2E795274" w14:textId="77777777" w:rsidR="002F7E08"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Não entendemos que as figuras estruturantes do campo são restritas à busca de autonomia e à luta concorrencial entre os diferentes atores. Também não devemos fazer generalizações. Ao propormos aplicar o conceito de regime de informação como modelo analítico, indicamos olhar para as interações decorrentes das práticas científicas. </w:t>
      </w:r>
    </w:p>
    <w:p w14:paraId="7F5CE7DB"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Indica</w:t>
      </w:r>
      <w:r w:rsidRPr="00EE54D7">
        <w:rPr>
          <w:rFonts w:ascii="Times New Roman" w:hAnsi="Times New Roman" w:cs="Times New Roman"/>
          <w:sz w:val="24"/>
          <w:szCs w:val="24"/>
        </w:rPr>
        <w:t xml:space="preserve">-se, ainda, combinar as determinações de conjuntura e estrutura com a dimensão das ações individuais, uma vez que algumas ações podem ser determinantes no desenvolvimento da instituição de pesquisa. Ao destacar o papel de alguns atores, faz-se necessário nos distanciar da imagem do pesquisador isolado do mundo social e movido pela verdade (Benchimol; Teixeira, 1993). </w:t>
      </w:r>
    </w:p>
    <w:p w14:paraId="2A37B3D9" w14:textId="77777777" w:rsidR="002F7E08" w:rsidRPr="00EE54D7" w:rsidRDefault="002F7E08" w:rsidP="002F7E08">
      <w:pPr>
        <w:spacing w:after="0" w:line="360" w:lineRule="auto"/>
        <w:jc w:val="both"/>
        <w:rPr>
          <w:rFonts w:ascii="Times New Roman" w:hAnsi="Times New Roman" w:cs="Times New Roman"/>
          <w:sz w:val="24"/>
          <w:szCs w:val="24"/>
        </w:rPr>
      </w:pPr>
    </w:p>
    <w:p w14:paraId="35FB45E7" w14:textId="5B95B1D5" w:rsidR="002F7E08" w:rsidRPr="00EE54D7" w:rsidRDefault="002F7E08" w:rsidP="002F7E08">
      <w:pPr>
        <w:spacing w:after="0" w:line="360" w:lineRule="auto"/>
        <w:jc w:val="both"/>
        <w:rPr>
          <w:rFonts w:ascii="Times New Roman" w:hAnsi="Times New Roman" w:cs="Times New Roman"/>
          <w:sz w:val="24"/>
          <w:szCs w:val="24"/>
        </w:rPr>
      </w:pPr>
      <w:r w:rsidRPr="00EE54D7">
        <w:rPr>
          <w:rFonts w:ascii="Times New Roman" w:hAnsi="Times New Roman" w:cs="Times New Roman"/>
          <w:sz w:val="24"/>
          <w:szCs w:val="24"/>
        </w:rPr>
        <w:lastRenderedPageBreak/>
        <w:t>4.3 ETAPAS PARA COMPREENDER A PRODUÇÃO E DIVULGAÇÃO DO CONHECIMENTO</w:t>
      </w:r>
    </w:p>
    <w:p w14:paraId="03B57FFF" w14:textId="77777777" w:rsidR="002F7E08" w:rsidRPr="00EE54D7" w:rsidRDefault="002F7E08" w:rsidP="002F7E08">
      <w:pPr>
        <w:spacing w:after="0" w:line="360" w:lineRule="auto"/>
        <w:jc w:val="both"/>
        <w:rPr>
          <w:rFonts w:ascii="Times New Roman" w:hAnsi="Times New Roman" w:cs="Times New Roman"/>
          <w:sz w:val="24"/>
          <w:szCs w:val="24"/>
        </w:rPr>
      </w:pPr>
    </w:p>
    <w:p w14:paraId="64FBFB47"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Além das considerações apresentadas acima, para buscar compreender os três diferentes estratos informacionais que configuram o regime de informação em uma instituição de pesquisa, propomos cumprir cinco etapas, sendo elas: 1) análise da trajetória histórica da instituição de pesquisa; 2) análise do regime jurídico, do modelo de gestão e da estrutura organizacional da instituição; 3) análise da política de ciência vigente; 4) análise dos modelos de infraestrutura de informação; 5) análise bibliométrica da produção científica da instituição de pesquisa e análise de redes de co-autoria. </w:t>
      </w:r>
    </w:p>
    <w:p w14:paraId="31E3C1FD" w14:textId="77777777" w:rsidR="002F7E08" w:rsidRDefault="002F7E08" w:rsidP="002F7E08">
      <w:pPr>
        <w:spacing w:after="0" w:line="360" w:lineRule="auto"/>
        <w:jc w:val="both"/>
        <w:rPr>
          <w:rFonts w:ascii="Times New Roman" w:hAnsi="Times New Roman" w:cs="Times New Roman"/>
          <w:sz w:val="24"/>
          <w:szCs w:val="24"/>
        </w:rPr>
      </w:pPr>
    </w:p>
    <w:p w14:paraId="0995CFAB" w14:textId="2DF77DEE" w:rsidR="002F7E08" w:rsidRPr="00D121C1" w:rsidRDefault="00D121C1" w:rsidP="00D121C1">
      <w:pPr>
        <w:pStyle w:val="Legenda"/>
        <w:jc w:val="center"/>
        <w:rPr>
          <w:rFonts w:ascii="Times New Roman" w:hAnsi="Times New Roman" w:cs="Times New Roman"/>
          <w:i w:val="0"/>
          <w:iCs w:val="0"/>
          <w:color w:val="auto"/>
          <w:sz w:val="24"/>
          <w:szCs w:val="24"/>
        </w:rPr>
      </w:pPr>
      <w:bookmarkStart w:id="2" w:name="_Hlk147400242"/>
      <w:r w:rsidRPr="00D121C1">
        <w:rPr>
          <w:rFonts w:ascii="Times New Roman" w:hAnsi="Times New Roman" w:cs="Times New Roman"/>
          <w:b/>
          <w:bCs/>
          <w:i w:val="0"/>
          <w:iCs w:val="0"/>
          <w:color w:val="auto"/>
          <w:sz w:val="24"/>
          <w:szCs w:val="24"/>
        </w:rPr>
        <w:t xml:space="preserve">Figura </w:t>
      </w:r>
      <w:r w:rsidRPr="00D121C1">
        <w:rPr>
          <w:rFonts w:ascii="Times New Roman" w:hAnsi="Times New Roman" w:cs="Times New Roman"/>
          <w:b/>
          <w:bCs/>
          <w:i w:val="0"/>
          <w:iCs w:val="0"/>
          <w:color w:val="auto"/>
          <w:sz w:val="24"/>
          <w:szCs w:val="24"/>
        </w:rPr>
        <w:fldChar w:fldCharType="begin"/>
      </w:r>
      <w:r w:rsidRPr="00D121C1">
        <w:rPr>
          <w:rFonts w:ascii="Times New Roman" w:hAnsi="Times New Roman" w:cs="Times New Roman"/>
          <w:b/>
          <w:bCs/>
          <w:i w:val="0"/>
          <w:iCs w:val="0"/>
          <w:color w:val="auto"/>
          <w:sz w:val="24"/>
          <w:szCs w:val="24"/>
        </w:rPr>
        <w:instrText xml:space="preserve"> SEQ Figura \* ARABIC </w:instrText>
      </w:r>
      <w:r w:rsidRPr="00D121C1">
        <w:rPr>
          <w:rFonts w:ascii="Times New Roman" w:hAnsi="Times New Roman" w:cs="Times New Roman"/>
          <w:b/>
          <w:bCs/>
          <w:i w:val="0"/>
          <w:iCs w:val="0"/>
          <w:color w:val="auto"/>
          <w:sz w:val="24"/>
          <w:szCs w:val="24"/>
        </w:rPr>
        <w:fldChar w:fldCharType="separate"/>
      </w:r>
      <w:r w:rsidRPr="00D121C1">
        <w:rPr>
          <w:rFonts w:ascii="Times New Roman" w:hAnsi="Times New Roman" w:cs="Times New Roman"/>
          <w:b/>
          <w:bCs/>
          <w:i w:val="0"/>
          <w:iCs w:val="0"/>
          <w:noProof/>
          <w:color w:val="auto"/>
          <w:sz w:val="24"/>
          <w:szCs w:val="24"/>
        </w:rPr>
        <w:t>1</w:t>
      </w:r>
      <w:r w:rsidRPr="00D121C1">
        <w:rPr>
          <w:rFonts w:ascii="Times New Roman" w:hAnsi="Times New Roman" w:cs="Times New Roman"/>
          <w:b/>
          <w:bCs/>
          <w:i w:val="0"/>
          <w:iCs w:val="0"/>
          <w:color w:val="auto"/>
          <w:sz w:val="24"/>
          <w:szCs w:val="24"/>
        </w:rPr>
        <w:fldChar w:fldCharType="end"/>
      </w:r>
      <w:r w:rsidR="002F7E08" w:rsidRPr="00D121C1">
        <w:rPr>
          <w:rFonts w:ascii="Times New Roman" w:hAnsi="Times New Roman" w:cs="Times New Roman"/>
          <w:b/>
          <w:bCs/>
          <w:i w:val="0"/>
          <w:iCs w:val="0"/>
          <w:color w:val="auto"/>
          <w:sz w:val="24"/>
          <w:szCs w:val="24"/>
        </w:rPr>
        <w:t>:</w:t>
      </w:r>
      <w:r w:rsidR="002F7E08" w:rsidRPr="00D121C1">
        <w:rPr>
          <w:rFonts w:ascii="Times New Roman" w:hAnsi="Times New Roman" w:cs="Times New Roman"/>
          <w:i w:val="0"/>
          <w:iCs w:val="0"/>
          <w:color w:val="auto"/>
          <w:sz w:val="24"/>
          <w:szCs w:val="24"/>
        </w:rPr>
        <w:t xml:space="preserve"> Etapas da análise de regime de informação em uma instituição de pesquisa</w:t>
      </w:r>
    </w:p>
    <w:p w14:paraId="534C94E8" w14:textId="77777777" w:rsidR="002F7E08" w:rsidRPr="00EE54D7" w:rsidRDefault="002F7E08" w:rsidP="002F7E08">
      <w:pPr>
        <w:spacing w:after="0" w:line="360" w:lineRule="auto"/>
        <w:jc w:val="center"/>
        <w:rPr>
          <w:rFonts w:ascii="Times New Roman" w:hAnsi="Times New Roman" w:cs="Times New Roman"/>
          <w:sz w:val="24"/>
          <w:szCs w:val="24"/>
        </w:rPr>
      </w:pPr>
      <w:r>
        <w:rPr>
          <w:bCs/>
          <w:noProof/>
          <w:sz w:val="20"/>
          <w:szCs w:val="20"/>
        </w:rPr>
        <w:drawing>
          <wp:inline distT="0" distB="0" distL="0" distR="0" wp14:anchorId="3848A289" wp14:editId="559028E0">
            <wp:extent cx="4457700" cy="2159000"/>
            <wp:effectExtent l="0" t="0" r="0" b="0"/>
            <wp:docPr id="1038979104"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79104" name="Imagem 1" descr="Uma imagem contendo Diagrama&#10;&#10;Descrição gerada automaticamente"/>
                    <pic:cNvPicPr/>
                  </pic:nvPicPr>
                  <pic:blipFill rotWithShape="1">
                    <a:blip r:embed="rId10"/>
                    <a:srcRect l="4507" t="11447" r="5100" b="10715"/>
                    <a:stretch/>
                  </pic:blipFill>
                  <pic:spPr bwMode="auto">
                    <a:xfrm>
                      <a:off x="0" y="0"/>
                      <a:ext cx="4457700" cy="2159000"/>
                    </a:xfrm>
                    <a:prstGeom prst="rect">
                      <a:avLst/>
                    </a:prstGeom>
                    <a:ln>
                      <a:noFill/>
                    </a:ln>
                    <a:extLst>
                      <a:ext uri="{53640926-AAD7-44D8-BBD7-CCE9431645EC}">
                        <a14:shadowObscured xmlns:a14="http://schemas.microsoft.com/office/drawing/2010/main"/>
                      </a:ext>
                    </a:extLst>
                  </pic:spPr>
                </pic:pic>
              </a:graphicData>
            </a:graphic>
          </wp:inline>
        </w:drawing>
      </w:r>
    </w:p>
    <w:p w14:paraId="3BF9748E" w14:textId="77777777" w:rsidR="002F7E08" w:rsidRPr="00485ADC" w:rsidRDefault="002F7E08" w:rsidP="002F7E08">
      <w:pPr>
        <w:spacing w:after="0" w:line="360" w:lineRule="auto"/>
        <w:jc w:val="center"/>
        <w:rPr>
          <w:rFonts w:ascii="Times New Roman" w:hAnsi="Times New Roman" w:cs="Times New Roman"/>
          <w:sz w:val="20"/>
          <w:szCs w:val="20"/>
        </w:rPr>
      </w:pPr>
      <w:r w:rsidRPr="00485ADC">
        <w:rPr>
          <w:rFonts w:ascii="Times New Roman" w:hAnsi="Times New Roman" w:cs="Times New Roman"/>
          <w:b/>
          <w:bCs/>
          <w:sz w:val="20"/>
          <w:szCs w:val="20"/>
        </w:rPr>
        <w:t>Fonte</w:t>
      </w:r>
      <w:r w:rsidRPr="00485ADC">
        <w:rPr>
          <w:rFonts w:ascii="Times New Roman" w:hAnsi="Times New Roman" w:cs="Times New Roman"/>
          <w:sz w:val="20"/>
          <w:szCs w:val="20"/>
        </w:rPr>
        <w:t>: elaboração própria</w:t>
      </w:r>
    </w:p>
    <w:bookmarkEnd w:id="2"/>
    <w:p w14:paraId="6BF9311E" w14:textId="77777777" w:rsidR="002F7E08" w:rsidRPr="00EE54D7" w:rsidRDefault="002F7E08" w:rsidP="002F7E08">
      <w:pPr>
        <w:spacing w:after="0" w:line="360" w:lineRule="auto"/>
        <w:jc w:val="both"/>
        <w:rPr>
          <w:rFonts w:ascii="Times New Roman" w:hAnsi="Times New Roman" w:cs="Times New Roman"/>
          <w:sz w:val="24"/>
          <w:szCs w:val="24"/>
        </w:rPr>
      </w:pPr>
    </w:p>
    <w:p w14:paraId="51DE3B51"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A análise da trajetória da instituição permite compreender os aspectos históricos, culturais, organizacionais e sociais que conformaram e caracterizam os estratos informacionais e o processo de estabilização de práticas informacionais e discursivas, bem como os princípios, normas e regras vigentes. Para tal, considera-se relevante recorrer à análise de documentos de arquivo, fontes secundárias e/ou entrevistas que podem se valer da análise do discurso, análise de conteúdos, estudos de narrativas, história oral, entre outros.</w:t>
      </w:r>
    </w:p>
    <w:p w14:paraId="55967029"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Por meio da análise de documentos e de fontes secundárias e/ou entrevistas, pode-se analisar elementos que caracterizam o estrato regulatório, com foco no modelo de gestão, na estrutura e nos contratos. Igualmente é significativo observar o contexto jurídico e administrativo, bem como possíveis conflitos e relações de poder entre os diferentes atores envolvidos.</w:t>
      </w:r>
    </w:p>
    <w:p w14:paraId="0759B7A7" w14:textId="2C1689FC"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lastRenderedPageBreak/>
        <w:t>Tanto no nível micro quanto no macrossocial deve-se considerar os agenciamentos do sistema de avaliação da atividade de pesquisa. No Brasil, como a maior parte do conhecimento científico é produzido no âmbito dos programas de pós-graduação, o Sistema de Avaliação da Coordenação de Aperfeiçoamento de Pessoal de Nível Superior (</w:t>
      </w:r>
      <w:r w:rsidR="00674250" w:rsidRPr="00EE54D7">
        <w:rPr>
          <w:rFonts w:ascii="Times New Roman" w:hAnsi="Times New Roman" w:cs="Times New Roman"/>
          <w:sz w:val="24"/>
          <w:szCs w:val="24"/>
        </w:rPr>
        <w:t>CAPES</w:t>
      </w:r>
      <w:r w:rsidRPr="00EE54D7">
        <w:rPr>
          <w:rFonts w:ascii="Times New Roman" w:hAnsi="Times New Roman" w:cs="Times New Roman"/>
          <w:sz w:val="24"/>
          <w:szCs w:val="24"/>
        </w:rPr>
        <w:t xml:space="preserve">) pode ser considerado como um dos elementos que atuam na configuração dos três estratos informacionais. </w:t>
      </w:r>
    </w:p>
    <w:p w14:paraId="17E74495"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Esse sistema de avaliação, junto com outras instituições e instrumentos de financiamento, regulação, assessoramento e avaliação das ciências, é denominado por González de Gómez (2003b) de dispositivo de conversão. Para a pesquisadora, os processos de produção do conhecimento seguem dois movimentos complementares. O primeiro está relacionado à autonomia e autoridade relativa da comunidade científica para definir regras e valores válidos para seus próprios domínios do conhecimento. O segundo está relacionado ao estabelecimento de medidas de equivalência entre os produtos das ciências e os valores e recursos políticos, simbólicos e econômicos através de procedimentos formais de conversão.</w:t>
      </w:r>
    </w:p>
    <w:p w14:paraId="1E3EC379" w14:textId="7353734C"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Entre os princípios propostos por González de Gómez (2003b) que organizam as atividades de ciência e tecnologia no Brasil, a </w:t>
      </w:r>
      <w:r w:rsidR="00674250" w:rsidRPr="00EE54D7">
        <w:rPr>
          <w:rFonts w:ascii="Times New Roman" w:hAnsi="Times New Roman" w:cs="Times New Roman"/>
          <w:sz w:val="24"/>
          <w:szCs w:val="24"/>
        </w:rPr>
        <w:t>CAPES</w:t>
      </w:r>
      <w:r w:rsidRPr="00EE54D7">
        <w:rPr>
          <w:rFonts w:ascii="Times New Roman" w:hAnsi="Times New Roman" w:cs="Times New Roman"/>
          <w:sz w:val="24"/>
          <w:szCs w:val="24"/>
        </w:rPr>
        <w:t xml:space="preserve"> representa o princípio pragmático ao ter como ênfase as estruturas epistemológicas e intelectuais da produção do conhecimento. No entanto, os princípios corporativos também estão representados, uma vez que esse sistema de avaliação privilegia a publicação em periódicos indexados por bases de dados comerciais e/ou periódicos publicados por editores comerciais. </w:t>
      </w:r>
    </w:p>
    <w:p w14:paraId="68DDCD66" w14:textId="77777777" w:rsidR="002F7E08" w:rsidRPr="00EE54D7" w:rsidRDefault="002F7E08" w:rsidP="002F7E08">
      <w:pPr>
        <w:spacing w:after="0" w:line="360" w:lineRule="auto"/>
        <w:ind w:firstLine="720"/>
        <w:jc w:val="both"/>
        <w:rPr>
          <w:rFonts w:ascii="Times New Roman" w:hAnsi="Times New Roman" w:cs="Times New Roman"/>
          <w:sz w:val="24"/>
          <w:szCs w:val="24"/>
        </w:rPr>
      </w:pPr>
      <w:r w:rsidRPr="00EE54D7">
        <w:rPr>
          <w:rFonts w:ascii="Times New Roman" w:hAnsi="Times New Roman" w:cs="Times New Roman"/>
          <w:sz w:val="24"/>
          <w:szCs w:val="24"/>
        </w:rPr>
        <w:t xml:space="preserve">As bases de dados bibliográficas, portanto, podem ser consideradas como um importante elemento do estrato de infraestrutura de informação. Nesse contexto, as empresas responsáveis pelas duas principais bases de dados comerciais – a Web of Science e a Scopus – são responsáveis pela produção dos indicadores bibliométricos usados por parte da comunidade científica e agências de fomento para aferir a qualidade dos periódicos científicos. Além das bases de dados, outros elementos podem ser considerados no estrato de infraestrutura de informação. Conforme lembra González de Gómez, esse estrato designa a convergência das diferentes tecnologias de informação e comunicação, sendo que a Internet é entendida como principal local de realização dessa convergência (González de Gómez, 2012b) </w:t>
      </w:r>
    </w:p>
    <w:p w14:paraId="201DB718" w14:textId="02CAF17E" w:rsidR="002F7E08" w:rsidRPr="00EE54D7" w:rsidRDefault="002F7E08" w:rsidP="002F7E08">
      <w:pPr>
        <w:spacing w:after="0" w:line="360" w:lineRule="auto"/>
        <w:jc w:val="both"/>
        <w:rPr>
          <w:rFonts w:ascii="Times New Roman" w:hAnsi="Times New Roman" w:cs="Times New Roman"/>
          <w:sz w:val="24"/>
          <w:szCs w:val="24"/>
        </w:rPr>
      </w:pPr>
      <w:r w:rsidRPr="00EE54D7">
        <w:rPr>
          <w:rFonts w:ascii="Times New Roman" w:hAnsi="Times New Roman" w:cs="Times New Roman"/>
          <w:sz w:val="24"/>
          <w:szCs w:val="24"/>
        </w:rPr>
        <w:tab/>
        <w:t>Por fim, indicamos utilizar métodos bibliométricos – ou seja, aplicar métodos quantitativos da produção, disseminação, socialização e evidenciação da informação registrada (Mac</w:t>
      </w:r>
      <w:r w:rsidR="00674250">
        <w:rPr>
          <w:rFonts w:ascii="Times New Roman" w:hAnsi="Times New Roman" w:cs="Times New Roman"/>
          <w:sz w:val="24"/>
          <w:szCs w:val="24"/>
        </w:rPr>
        <w:t>í</w:t>
      </w:r>
      <w:r w:rsidRPr="00EE54D7">
        <w:rPr>
          <w:rFonts w:ascii="Times New Roman" w:hAnsi="Times New Roman" w:cs="Times New Roman"/>
          <w:sz w:val="24"/>
          <w:szCs w:val="24"/>
        </w:rPr>
        <w:t xml:space="preserve">as-Chapula, 1998) – para reconstruir algumas características do estrato semântico, como o perfil da produção de artigos científicos, perfil de colaboração científica e principais áreas de pesquisa. Complementarmente, indicamos utilizar a análise de redes sociais como recurso metodológico para compreender e mensurar as relações entre os pesquisadores e instituições </w:t>
      </w:r>
      <w:r w:rsidRPr="00EE54D7">
        <w:rPr>
          <w:rFonts w:ascii="Times New Roman" w:hAnsi="Times New Roman" w:cs="Times New Roman"/>
          <w:sz w:val="24"/>
          <w:szCs w:val="24"/>
        </w:rPr>
        <w:lastRenderedPageBreak/>
        <w:t>através das coautorias em publicações científicas. Cabe destacar que outros recursos metodológicos também podem ser aplicados para analisar as dinâmicas desse estrato, como entrevistas com pesquisadores, gestores e políticos, análise de documentos e observação.</w:t>
      </w:r>
    </w:p>
    <w:p w14:paraId="2F05E2EB" w14:textId="77777777" w:rsidR="002F7E08" w:rsidRDefault="002F7E08" w:rsidP="002F7E08">
      <w:pPr>
        <w:spacing w:after="0" w:line="360" w:lineRule="auto"/>
        <w:jc w:val="both"/>
        <w:rPr>
          <w:rFonts w:ascii="Times New Roman" w:eastAsia="Times New Roman" w:hAnsi="Times New Roman" w:cs="Times New Roman"/>
          <w:sz w:val="24"/>
          <w:szCs w:val="24"/>
        </w:rPr>
      </w:pPr>
    </w:p>
    <w:p w14:paraId="0FDF2AFD" w14:textId="77777777" w:rsidR="002F7E08" w:rsidRDefault="002F7E08" w:rsidP="002F7E0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CONSIDERAÇÕES FINAIS</w:t>
      </w:r>
    </w:p>
    <w:p w14:paraId="7F80E8AC" w14:textId="77777777" w:rsidR="002F7E08" w:rsidRDefault="002F7E08" w:rsidP="002F7E08">
      <w:pPr>
        <w:spacing w:after="0" w:line="360" w:lineRule="auto"/>
        <w:jc w:val="both"/>
        <w:rPr>
          <w:rFonts w:ascii="Times New Roman" w:eastAsia="Times New Roman" w:hAnsi="Times New Roman" w:cs="Times New Roman"/>
          <w:sz w:val="24"/>
          <w:szCs w:val="24"/>
        </w:rPr>
      </w:pPr>
    </w:p>
    <w:p w14:paraId="0F6B1A9B" w14:textId="77777777" w:rsidR="002F7E08" w:rsidRDefault="002F7E08" w:rsidP="002F7E08">
      <w:pPr>
        <w:pStyle w:val="Fontes"/>
        <w:spacing w:before="120" w:after="120"/>
        <w:rPr>
          <w:rFonts w:cs="Arial"/>
          <w:sz w:val="24"/>
          <w:szCs w:val="24"/>
          <w:lang w:val="pt-BR"/>
        </w:rPr>
      </w:pPr>
      <w:r>
        <w:rPr>
          <w:rFonts w:cs="Arial"/>
          <w:sz w:val="24"/>
          <w:szCs w:val="24"/>
          <w:lang w:val="pt-BR"/>
        </w:rPr>
        <w:tab/>
      </w:r>
      <w:r w:rsidRPr="000F2C3C">
        <w:rPr>
          <w:rFonts w:cs="Arial"/>
          <w:sz w:val="24"/>
          <w:szCs w:val="24"/>
          <w:lang w:val="pt-BR"/>
        </w:rPr>
        <w:t>O conceito de regime de</w:t>
      </w:r>
      <w:r>
        <w:rPr>
          <w:rFonts w:cs="Arial"/>
          <w:sz w:val="24"/>
          <w:szCs w:val="24"/>
          <w:lang w:val="pt-BR"/>
        </w:rPr>
        <w:t xml:space="preserve"> informação</w:t>
      </w:r>
      <w:r w:rsidRPr="000F2C3C">
        <w:rPr>
          <w:rFonts w:cs="Arial"/>
          <w:sz w:val="24"/>
          <w:szCs w:val="24"/>
          <w:lang w:val="pt-BR"/>
        </w:rPr>
        <w:t xml:space="preserve"> é flexível e possibilita utilizar métodos e teorias de diferentes áreas do conhecimento para apoiar a descrição ou interpretação dos três estratos informacionais </w:t>
      </w:r>
      <w:r>
        <w:rPr>
          <w:rFonts w:cs="Arial"/>
          <w:sz w:val="24"/>
          <w:szCs w:val="24"/>
          <w:lang w:val="pt-BR"/>
        </w:rPr>
        <w:t xml:space="preserve">– </w:t>
      </w:r>
      <w:r w:rsidRPr="000F2C3C">
        <w:rPr>
          <w:rFonts w:cs="Arial"/>
          <w:sz w:val="24"/>
          <w:szCs w:val="24"/>
          <w:lang w:val="pt-BR"/>
        </w:rPr>
        <w:t>semântico, regulatório e de infraestruturas de informação</w:t>
      </w:r>
      <w:r>
        <w:rPr>
          <w:rFonts w:cs="Arial"/>
          <w:sz w:val="24"/>
          <w:szCs w:val="24"/>
          <w:lang w:val="pt-BR"/>
        </w:rPr>
        <w:t xml:space="preserve"> –</w:t>
      </w:r>
      <w:r w:rsidRPr="000F2C3C">
        <w:rPr>
          <w:rFonts w:cs="Arial"/>
          <w:sz w:val="24"/>
          <w:szCs w:val="24"/>
          <w:lang w:val="pt-BR"/>
        </w:rPr>
        <w:t xml:space="preserve"> que configuram o regime de informação. </w:t>
      </w:r>
    </w:p>
    <w:p w14:paraId="1AE85333" w14:textId="77777777" w:rsidR="002F7E08" w:rsidRPr="000F2C3C" w:rsidRDefault="002F7E08" w:rsidP="002F7E08">
      <w:pPr>
        <w:pStyle w:val="Fontes"/>
        <w:spacing w:before="120" w:after="120"/>
        <w:rPr>
          <w:rFonts w:cs="Arial"/>
          <w:sz w:val="24"/>
          <w:szCs w:val="24"/>
          <w:lang w:val="pt-BR"/>
        </w:rPr>
      </w:pPr>
      <w:r>
        <w:rPr>
          <w:rFonts w:cs="Arial"/>
          <w:sz w:val="24"/>
          <w:szCs w:val="24"/>
          <w:lang w:val="pt-BR"/>
        </w:rPr>
        <w:tab/>
      </w:r>
      <w:r w:rsidRPr="000F2C3C">
        <w:rPr>
          <w:rFonts w:cs="Arial"/>
          <w:sz w:val="24"/>
          <w:szCs w:val="24"/>
          <w:lang w:val="pt-BR"/>
        </w:rPr>
        <w:t>A partir dos estudos empreendidos por González de Gómez, o modelo proposto nesse artigo indica analisar o regime de informação a partir da articulação dos estratos informacionais</w:t>
      </w:r>
      <w:r>
        <w:rPr>
          <w:rFonts w:cs="Arial"/>
          <w:sz w:val="24"/>
          <w:szCs w:val="24"/>
          <w:lang w:val="pt-BR"/>
        </w:rPr>
        <w:t>,</w:t>
      </w:r>
      <w:r w:rsidRPr="000F2C3C">
        <w:rPr>
          <w:rFonts w:cs="Arial"/>
          <w:sz w:val="24"/>
          <w:szCs w:val="24"/>
          <w:lang w:val="pt-BR"/>
        </w:rPr>
        <w:t xml:space="preserve"> da relação entre o nível macro e microssocial</w:t>
      </w:r>
      <w:r>
        <w:rPr>
          <w:rFonts w:cs="Arial"/>
          <w:sz w:val="24"/>
          <w:szCs w:val="24"/>
          <w:lang w:val="pt-BR"/>
        </w:rPr>
        <w:t xml:space="preserve"> e considerando as relações de poder e agenciamentos entre os diferentes atores envolvidos no processo de produção e divulgação do conhecimento, seja eles atores humanos ou não-humanos</w:t>
      </w:r>
      <w:r w:rsidRPr="000F2C3C">
        <w:rPr>
          <w:rFonts w:cs="Arial"/>
          <w:sz w:val="24"/>
          <w:szCs w:val="24"/>
          <w:lang w:val="pt-BR"/>
        </w:rPr>
        <w:t>.</w:t>
      </w:r>
    </w:p>
    <w:p w14:paraId="5DCC896B" w14:textId="77777777" w:rsidR="002F7E08" w:rsidRPr="001D08D8" w:rsidRDefault="002F7E08" w:rsidP="002F7E08">
      <w:pPr>
        <w:pStyle w:val="Fontes"/>
        <w:spacing w:before="120" w:after="120"/>
        <w:rPr>
          <w:rFonts w:cs="Arial"/>
          <w:sz w:val="24"/>
          <w:szCs w:val="24"/>
          <w:lang w:val="pt-BR"/>
        </w:rPr>
      </w:pPr>
      <w:r w:rsidRPr="000F2C3C">
        <w:rPr>
          <w:rFonts w:cs="Arial"/>
          <w:szCs w:val="24"/>
          <w:lang w:val="pt-BR"/>
        </w:rPr>
        <w:tab/>
      </w:r>
      <w:r w:rsidRPr="001D08D8">
        <w:rPr>
          <w:rFonts w:cs="Arial"/>
          <w:sz w:val="24"/>
          <w:szCs w:val="24"/>
          <w:lang w:val="pt-BR"/>
        </w:rPr>
        <w:t xml:space="preserve">Para descrever ou interpretar os diferentes estratos informacionais e observar as relações de poder e tensões que ocorrem entre eles, pode-se recorrer às teorias e metodologias de diferentes disciplinas, como a </w:t>
      </w:r>
      <w:r>
        <w:rPr>
          <w:rFonts w:cs="Arial"/>
          <w:sz w:val="24"/>
          <w:szCs w:val="24"/>
          <w:lang w:val="pt-BR"/>
        </w:rPr>
        <w:t>S</w:t>
      </w:r>
      <w:r w:rsidRPr="001D08D8">
        <w:rPr>
          <w:rFonts w:cs="Arial"/>
          <w:sz w:val="24"/>
          <w:szCs w:val="24"/>
          <w:lang w:val="pt-BR"/>
        </w:rPr>
        <w:t xml:space="preserve">ociologia, as </w:t>
      </w:r>
      <w:r>
        <w:rPr>
          <w:rFonts w:cs="Arial"/>
          <w:sz w:val="24"/>
          <w:szCs w:val="24"/>
          <w:lang w:val="pt-BR"/>
        </w:rPr>
        <w:t>C</w:t>
      </w:r>
      <w:r w:rsidRPr="001D08D8">
        <w:rPr>
          <w:rFonts w:cs="Arial"/>
          <w:sz w:val="24"/>
          <w:szCs w:val="24"/>
          <w:lang w:val="pt-BR"/>
        </w:rPr>
        <w:t xml:space="preserve">iências </w:t>
      </w:r>
      <w:r>
        <w:rPr>
          <w:rFonts w:cs="Arial"/>
          <w:sz w:val="24"/>
          <w:szCs w:val="24"/>
          <w:lang w:val="pt-BR"/>
        </w:rPr>
        <w:t>P</w:t>
      </w:r>
      <w:r w:rsidRPr="001D08D8">
        <w:rPr>
          <w:rFonts w:cs="Arial"/>
          <w:sz w:val="24"/>
          <w:szCs w:val="24"/>
          <w:lang w:val="pt-BR"/>
        </w:rPr>
        <w:t xml:space="preserve">olíticas, a </w:t>
      </w:r>
      <w:r>
        <w:rPr>
          <w:rFonts w:cs="Arial"/>
          <w:sz w:val="24"/>
          <w:szCs w:val="24"/>
          <w:lang w:val="pt-BR"/>
        </w:rPr>
        <w:t>A</w:t>
      </w:r>
      <w:r w:rsidRPr="001D08D8">
        <w:rPr>
          <w:rFonts w:cs="Arial"/>
          <w:sz w:val="24"/>
          <w:szCs w:val="24"/>
          <w:lang w:val="pt-BR"/>
        </w:rPr>
        <w:t xml:space="preserve">dministração, a </w:t>
      </w:r>
      <w:r>
        <w:rPr>
          <w:rFonts w:cs="Arial"/>
          <w:sz w:val="24"/>
          <w:szCs w:val="24"/>
          <w:lang w:val="pt-BR"/>
        </w:rPr>
        <w:t>C</w:t>
      </w:r>
      <w:r w:rsidRPr="001D08D8">
        <w:rPr>
          <w:rFonts w:cs="Arial"/>
          <w:sz w:val="24"/>
          <w:szCs w:val="24"/>
          <w:lang w:val="pt-BR"/>
        </w:rPr>
        <w:t xml:space="preserve">iência da </w:t>
      </w:r>
      <w:r>
        <w:rPr>
          <w:rFonts w:cs="Arial"/>
          <w:sz w:val="24"/>
          <w:szCs w:val="24"/>
          <w:lang w:val="pt-BR"/>
        </w:rPr>
        <w:t>C</w:t>
      </w:r>
      <w:r w:rsidRPr="001D08D8">
        <w:rPr>
          <w:rFonts w:cs="Arial"/>
          <w:sz w:val="24"/>
          <w:szCs w:val="24"/>
          <w:lang w:val="pt-BR"/>
        </w:rPr>
        <w:t xml:space="preserve">omputação e a </w:t>
      </w:r>
      <w:r>
        <w:rPr>
          <w:rFonts w:cs="Arial"/>
          <w:sz w:val="24"/>
          <w:szCs w:val="24"/>
          <w:lang w:val="pt-BR"/>
        </w:rPr>
        <w:t>F</w:t>
      </w:r>
      <w:r w:rsidRPr="001D08D8">
        <w:rPr>
          <w:rFonts w:cs="Arial"/>
          <w:sz w:val="24"/>
          <w:szCs w:val="24"/>
          <w:lang w:val="pt-BR"/>
        </w:rPr>
        <w:t xml:space="preserve">ilosofia. Nesse sentido, é exigido do pesquisador ou do grupo de pesquisa uma abordagem </w:t>
      </w:r>
      <w:r>
        <w:rPr>
          <w:rFonts w:cs="Arial"/>
          <w:sz w:val="24"/>
          <w:szCs w:val="24"/>
          <w:lang w:val="pt-BR"/>
        </w:rPr>
        <w:t xml:space="preserve">multi e </w:t>
      </w:r>
      <w:r w:rsidRPr="001D08D8">
        <w:rPr>
          <w:rFonts w:cs="Arial"/>
          <w:sz w:val="24"/>
          <w:szCs w:val="24"/>
          <w:lang w:val="pt-BR"/>
        </w:rPr>
        <w:t>interdisciplinar</w:t>
      </w:r>
      <w:r>
        <w:rPr>
          <w:rFonts w:cs="Arial"/>
          <w:sz w:val="24"/>
          <w:szCs w:val="24"/>
          <w:lang w:val="pt-BR"/>
        </w:rPr>
        <w:t>, sendo</w:t>
      </w:r>
      <w:r w:rsidRPr="001D08D8">
        <w:rPr>
          <w:rFonts w:cs="Arial"/>
          <w:sz w:val="24"/>
          <w:szCs w:val="24"/>
          <w:lang w:val="pt-BR"/>
        </w:rPr>
        <w:t xml:space="preserve"> esse um dos maiores desafios para a aplicação da abordagem de regime de informação nas pesquisas em ciência da informação.</w:t>
      </w:r>
    </w:p>
    <w:p w14:paraId="0AC0A910" w14:textId="77777777" w:rsidR="002F7E08" w:rsidRPr="001D08D8" w:rsidRDefault="002F7E08" w:rsidP="002F7E08">
      <w:pPr>
        <w:pStyle w:val="Fontes"/>
        <w:spacing w:before="120" w:after="120"/>
        <w:rPr>
          <w:rFonts w:cs="Arial"/>
          <w:sz w:val="24"/>
          <w:szCs w:val="24"/>
          <w:lang w:val="pt-BR"/>
        </w:rPr>
      </w:pPr>
      <w:r w:rsidRPr="001D08D8">
        <w:rPr>
          <w:rFonts w:cs="Arial"/>
          <w:sz w:val="24"/>
          <w:szCs w:val="24"/>
          <w:lang w:val="pt-BR"/>
        </w:rPr>
        <w:tab/>
        <w:t xml:space="preserve">Entre as diferentes propostas e correntes dos </w:t>
      </w:r>
      <w:r>
        <w:rPr>
          <w:rFonts w:cs="Arial"/>
          <w:sz w:val="24"/>
          <w:szCs w:val="24"/>
          <w:lang w:val="pt-BR"/>
        </w:rPr>
        <w:t>E</w:t>
      </w:r>
      <w:r w:rsidRPr="001D08D8">
        <w:rPr>
          <w:rFonts w:cs="Arial"/>
          <w:sz w:val="24"/>
          <w:szCs w:val="24"/>
          <w:lang w:val="pt-BR"/>
        </w:rPr>
        <w:t xml:space="preserve">studos </w:t>
      </w:r>
      <w:r>
        <w:rPr>
          <w:rFonts w:cs="Arial"/>
          <w:sz w:val="24"/>
          <w:szCs w:val="24"/>
          <w:lang w:val="pt-BR"/>
        </w:rPr>
        <w:t>S</w:t>
      </w:r>
      <w:r w:rsidRPr="001D08D8">
        <w:rPr>
          <w:rFonts w:cs="Arial"/>
          <w:sz w:val="24"/>
          <w:szCs w:val="24"/>
          <w:lang w:val="pt-BR"/>
        </w:rPr>
        <w:t xml:space="preserve">ociais das </w:t>
      </w:r>
      <w:r>
        <w:rPr>
          <w:rFonts w:cs="Arial"/>
          <w:sz w:val="24"/>
          <w:szCs w:val="24"/>
          <w:lang w:val="pt-BR"/>
        </w:rPr>
        <w:t>C</w:t>
      </w:r>
      <w:r w:rsidRPr="001D08D8">
        <w:rPr>
          <w:rFonts w:cs="Arial"/>
          <w:sz w:val="24"/>
          <w:szCs w:val="24"/>
          <w:lang w:val="pt-BR"/>
        </w:rPr>
        <w:t>iências, utilizamos o conceito de capital científico desenvolvido por P. Bourdieu, a teoria ator­rede de B. Latour e M. Callon e as discussões propostas por K. Knorr­Cetina.</w:t>
      </w:r>
    </w:p>
    <w:p w14:paraId="1C228077" w14:textId="77777777" w:rsidR="002F7E08" w:rsidRPr="009900EB" w:rsidRDefault="002F7E08" w:rsidP="002F7E08">
      <w:pPr>
        <w:pStyle w:val="Fontes"/>
        <w:spacing w:before="120" w:after="120"/>
        <w:rPr>
          <w:rFonts w:cs="Arial"/>
          <w:sz w:val="24"/>
          <w:szCs w:val="24"/>
          <w:lang w:val="pt-BR"/>
        </w:rPr>
      </w:pPr>
      <w:r w:rsidRPr="001D08D8">
        <w:rPr>
          <w:rFonts w:cs="Arial"/>
          <w:sz w:val="24"/>
          <w:szCs w:val="24"/>
          <w:lang w:val="pt-BR"/>
        </w:rPr>
        <w:tab/>
      </w:r>
      <w:r w:rsidRPr="009900EB">
        <w:rPr>
          <w:rFonts w:cs="Arial"/>
          <w:sz w:val="24"/>
          <w:szCs w:val="24"/>
          <w:lang w:val="pt-BR"/>
        </w:rPr>
        <w:t>O primeiro permite observar os embates e lutas entre os diferentes atores envolvidos nos processos de produção e divulgação do conhecimento pelo monopólio da autoridade e da competência científica. Os trabalhos desenvolvidos por Latour, Callon e Knorr­Cetina – essenciais para compreensão do conceito de regime de informação de González de Gómez – possibilitam observar as práticas científicas associadas aos produtos das ciências através da interação entre diferentes atores humanos e não­humanos envolvidos diretamente ou indiretamente com as atividades de pesquisa.</w:t>
      </w:r>
    </w:p>
    <w:p w14:paraId="72A70ACD" w14:textId="77777777" w:rsidR="002F7E08" w:rsidRPr="00832056" w:rsidRDefault="002F7E08" w:rsidP="002F7E08">
      <w:pPr>
        <w:pStyle w:val="Fontes"/>
        <w:spacing w:before="120" w:after="120"/>
        <w:rPr>
          <w:rFonts w:cs="Arial"/>
          <w:sz w:val="24"/>
          <w:szCs w:val="24"/>
          <w:lang w:val="pt-BR"/>
        </w:rPr>
      </w:pPr>
      <w:r w:rsidRPr="000F2C3C">
        <w:rPr>
          <w:rFonts w:cs="Arial"/>
          <w:sz w:val="24"/>
          <w:szCs w:val="24"/>
          <w:lang w:val="pt-BR"/>
        </w:rPr>
        <w:tab/>
        <w:t xml:space="preserve">Destacamos também a contribuição do conceito de regime global emergente de informação desenvolvido por Sandra Braman para </w:t>
      </w:r>
      <w:r>
        <w:rPr>
          <w:rFonts w:cs="Arial"/>
          <w:sz w:val="24"/>
          <w:szCs w:val="24"/>
          <w:lang w:val="pt-BR"/>
        </w:rPr>
        <w:t xml:space="preserve">contextualizar no nível macrossocial </w:t>
      </w:r>
      <w:r w:rsidRPr="000F2C3C">
        <w:rPr>
          <w:rFonts w:cs="Arial"/>
          <w:sz w:val="24"/>
          <w:szCs w:val="24"/>
          <w:lang w:val="pt-BR"/>
        </w:rPr>
        <w:t xml:space="preserve">o </w:t>
      </w:r>
      <w:r w:rsidRPr="000F2C3C">
        <w:rPr>
          <w:rFonts w:cs="Arial"/>
          <w:sz w:val="24"/>
          <w:szCs w:val="24"/>
          <w:lang w:val="pt-BR"/>
        </w:rPr>
        <w:lastRenderedPageBreak/>
        <w:t xml:space="preserve">regime de informação vigente em uma instituição de pesquisa. Os estudos empreendidos por Braman permitem observar e discutir tendências na configuração de um regime de informação a partir do cenário </w:t>
      </w:r>
      <w:r w:rsidRPr="00832056">
        <w:rPr>
          <w:rFonts w:cs="Arial"/>
          <w:sz w:val="24"/>
          <w:szCs w:val="24"/>
          <w:lang w:val="pt-BR"/>
        </w:rPr>
        <w:t>internacional em uma perspectiva política, econômica e tecnológica.</w:t>
      </w:r>
    </w:p>
    <w:p w14:paraId="0D5655CF" w14:textId="77777777" w:rsidR="002F7E08" w:rsidRPr="00832056" w:rsidRDefault="002F7E08" w:rsidP="002F7E08">
      <w:pPr>
        <w:pStyle w:val="Fontes"/>
        <w:spacing w:before="120" w:after="120"/>
        <w:rPr>
          <w:rFonts w:cs="Arial"/>
          <w:sz w:val="24"/>
          <w:szCs w:val="24"/>
          <w:lang w:val="pt-BR"/>
        </w:rPr>
      </w:pPr>
      <w:r w:rsidRPr="00832056">
        <w:rPr>
          <w:rFonts w:cs="Arial"/>
          <w:sz w:val="24"/>
          <w:szCs w:val="24"/>
          <w:lang w:val="pt-BR"/>
        </w:rPr>
        <w:tab/>
        <w:t>Por fim, outros trabalhos publicados por González de Gómez e colaboradores ao longo dos anos também auxiliam na discussão sobre as configurações e modos de funcionamentos dos estratos informacionais como: as questões éticas e normativas nos contextos da colaboração científica internacional (Jesus</w:t>
      </w:r>
      <w:r w:rsidRPr="00832056">
        <w:rPr>
          <w:rFonts w:cs="Arial"/>
          <w:sz w:val="24"/>
          <w:szCs w:val="24"/>
        </w:rPr>
        <w:t>;</w:t>
      </w:r>
      <w:r w:rsidRPr="00832056">
        <w:rPr>
          <w:rFonts w:cs="Arial"/>
          <w:sz w:val="24"/>
          <w:szCs w:val="24"/>
          <w:lang w:val="pt-BR"/>
        </w:rPr>
        <w:t xml:space="preserve"> González de Gómez, 2016</w:t>
      </w:r>
      <w:r w:rsidRPr="00832056">
        <w:rPr>
          <w:rFonts w:cs="Arial"/>
          <w:sz w:val="24"/>
          <w:szCs w:val="24"/>
        </w:rPr>
        <w:t>;</w:t>
      </w:r>
      <w:r w:rsidRPr="00832056">
        <w:rPr>
          <w:rFonts w:cs="Arial"/>
          <w:sz w:val="24"/>
          <w:szCs w:val="24"/>
          <w:lang w:val="pt-BR"/>
        </w:rPr>
        <w:t xml:space="preserve"> 2018), o papel do Estado na configuração do regime de informação nas ciências (Gugliotta</w:t>
      </w:r>
      <w:r w:rsidRPr="00832056">
        <w:rPr>
          <w:rFonts w:cs="Arial"/>
          <w:sz w:val="24"/>
          <w:szCs w:val="24"/>
        </w:rPr>
        <w:t>;</w:t>
      </w:r>
      <w:r w:rsidRPr="00832056">
        <w:rPr>
          <w:rFonts w:cs="Arial"/>
          <w:sz w:val="24"/>
          <w:szCs w:val="24"/>
          <w:lang w:val="pt-BR"/>
        </w:rPr>
        <w:t xml:space="preserve"> González de Gómez</w:t>
      </w:r>
      <w:r w:rsidRPr="00832056">
        <w:rPr>
          <w:rFonts w:cs="Arial"/>
          <w:sz w:val="24"/>
          <w:szCs w:val="24"/>
        </w:rPr>
        <w:t>;</w:t>
      </w:r>
      <w:r w:rsidRPr="00832056">
        <w:rPr>
          <w:rFonts w:cs="Arial"/>
          <w:sz w:val="24"/>
          <w:szCs w:val="24"/>
          <w:lang w:val="pt-BR"/>
        </w:rPr>
        <w:t xml:space="preserve"> F</w:t>
      </w:r>
      <w:r w:rsidRPr="00BB60FF">
        <w:rPr>
          <w:rFonts w:cs="Arial"/>
          <w:sz w:val="24"/>
          <w:szCs w:val="24"/>
          <w:lang w:val="pt-BR"/>
        </w:rPr>
        <w:t xml:space="preserve"> </w:t>
      </w:r>
      <w:r w:rsidRPr="00832056">
        <w:rPr>
          <w:rFonts w:cs="Arial"/>
          <w:sz w:val="24"/>
          <w:szCs w:val="24"/>
          <w:lang w:val="pt-BR"/>
        </w:rPr>
        <w:t>González de Gómez, 2017</w:t>
      </w:r>
      <w:r w:rsidRPr="00832056">
        <w:rPr>
          <w:rFonts w:cs="Arial"/>
          <w:sz w:val="24"/>
          <w:szCs w:val="24"/>
        </w:rPr>
        <w:t>;</w:t>
      </w:r>
      <w:r w:rsidRPr="00832056">
        <w:rPr>
          <w:rFonts w:cs="Arial"/>
          <w:sz w:val="24"/>
          <w:szCs w:val="24"/>
          <w:lang w:val="pt-BR"/>
        </w:rPr>
        <w:t xml:space="preserve"> 2018), a tecnologia digital na promoção da saúde coletiva (González de Gómez, 2018), o uso da análise de citação no contexto da avaliação das ciências (González de Gómez, 2017), o uso do termo de consentimento informado nas pesquisas (Meirelles; González de Gómez, 2016), entre outros. </w:t>
      </w:r>
    </w:p>
    <w:p w14:paraId="44269913" w14:textId="77777777" w:rsidR="002F7E08" w:rsidRPr="000F2C3C" w:rsidRDefault="002F7E08" w:rsidP="002F7E08">
      <w:pPr>
        <w:pStyle w:val="Fontes"/>
        <w:spacing w:before="120" w:after="120"/>
        <w:rPr>
          <w:rFonts w:cs="Arial"/>
          <w:sz w:val="24"/>
          <w:szCs w:val="24"/>
          <w:lang w:val="pt-BR"/>
        </w:rPr>
      </w:pPr>
      <w:r w:rsidRPr="000F2C3C">
        <w:rPr>
          <w:rFonts w:cs="Arial"/>
          <w:sz w:val="24"/>
          <w:szCs w:val="24"/>
          <w:lang w:val="pt-BR"/>
        </w:rPr>
        <w:tab/>
      </w:r>
      <w:r>
        <w:rPr>
          <w:rFonts w:cs="Arial"/>
          <w:sz w:val="24"/>
          <w:szCs w:val="24"/>
          <w:lang w:val="pt-BR"/>
        </w:rPr>
        <w:t>Cabe destacar também que o</w:t>
      </w:r>
      <w:r w:rsidRPr="000F2C3C">
        <w:rPr>
          <w:rFonts w:cs="Arial"/>
          <w:sz w:val="24"/>
          <w:szCs w:val="24"/>
          <w:lang w:val="pt-BR"/>
        </w:rPr>
        <w:t>s métodos indicados no modelo analítico, se aproximam de alguns sugeridos por Hjørland (2002) para analisar os domínios do conhecimento como os estudos históricos, os estudos epistemológicos e críticos, os estudos das estruturas e instituições da comunicação científica e os estudos bibliométricos. Outras propostas também poderiam contribuir para os estudos de abordagem de regime de informação, como os estudos empíricos de usuários e estudos de documentos e gêneros.</w:t>
      </w:r>
    </w:p>
    <w:p w14:paraId="17CB548F" w14:textId="77777777" w:rsidR="002F7E08" w:rsidRPr="00064BFA" w:rsidRDefault="002F7E08" w:rsidP="002F7E08">
      <w:pPr>
        <w:pStyle w:val="Fontes"/>
        <w:spacing w:before="120" w:after="120"/>
        <w:rPr>
          <w:rFonts w:cs="Arial"/>
          <w:sz w:val="24"/>
          <w:szCs w:val="24"/>
          <w:lang w:val="pt-BR"/>
        </w:rPr>
      </w:pPr>
      <w:r w:rsidRPr="000F2C3C">
        <w:rPr>
          <w:rFonts w:cs="Arial"/>
          <w:sz w:val="24"/>
          <w:szCs w:val="24"/>
          <w:lang w:val="pt-BR"/>
        </w:rPr>
        <w:tab/>
        <w:t>Por fim, reafirmamos que o conceito desenvolvido por González de Gómez pode ser um valioso recurso para CI ao possibilitar compreender as relações entre os sujeitos, organizações e regras e como elas agenciam as práticas de produção e divulgação do conhecimento em uma instituição de pesquisa.</w:t>
      </w:r>
    </w:p>
    <w:p w14:paraId="6E779F94" w14:textId="77777777" w:rsidR="002F7E08" w:rsidRDefault="002F7E08" w:rsidP="002F7E08">
      <w:pPr>
        <w:spacing w:after="0" w:line="360" w:lineRule="auto"/>
        <w:jc w:val="both"/>
        <w:rPr>
          <w:rFonts w:ascii="Times New Roman" w:eastAsia="Times New Roman" w:hAnsi="Times New Roman" w:cs="Times New Roman"/>
          <w:b/>
          <w:sz w:val="24"/>
          <w:szCs w:val="24"/>
        </w:rPr>
      </w:pPr>
    </w:p>
    <w:p w14:paraId="7E31E25A" w14:textId="77777777" w:rsidR="002F7E08" w:rsidRDefault="002F7E08" w:rsidP="002F7E0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5AC5A4FC"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ALVES, T. D. S.; BEZERRA, A. C. Informação, política e poder: 20 anos do conceito de “regime de informação” em Maria Nélida González de Gómez. </w:t>
      </w:r>
      <w:r w:rsidRPr="00485ADC">
        <w:rPr>
          <w:b/>
          <w:bCs/>
          <w:color w:val="auto"/>
          <w:sz w:val="24"/>
          <w:szCs w:val="24"/>
          <w:lang w:val="pt-BR"/>
        </w:rPr>
        <w:t>Tendências da Pesquisa Brasileira em Ciência da Informação</w:t>
      </w:r>
      <w:r w:rsidRPr="00485ADC">
        <w:rPr>
          <w:color w:val="auto"/>
          <w:sz w:val="24"/>
          <w:szCs w:val="24"/>
          <w:lang w:val="pt-BR"/>
        </w:rPr>
        <w:t>, v.12, n.1, p. 1-23 2019.</w:t>
      </w:r>
    </w:p>
    <w:p w14:paraId="6B572EFC" w14:textId="77777777" w:rsidR="002F7E08" w:rsidRPr="00485ADC" w:rsidRDefault="002F7E08" w:rsidP="00485ADC">
      <w:pPr>
        <w:pStyle w:val="Fontes"/>
        <w:spacing w:before="120" w:after="120"/>
        <w:rPr>
          <w:color w:val="auto"/>
          <w:sz w:val="24"/>
          <w:szCs w:val="24"/>
          <w:lang w:val="pt-BR"/>
        </w:rPr>
      </w:pPr>
    </w:p>
    <w:p w14:paraId="0AB278C7"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ARAÚJO, C. A. A. Correntes teóricas da ciência da informação. </w:t>
      </w:r>
      <w:r w:rsidRPr="00485ADC">
        <w:rPr>
          <w:b/>
          <w:bCs/>
          <w:color w:val="auto"/>
          <w:sz w:val="24"/>
          <w:szCs w:val="24"/>
          <w:lang w:val="pt-BR"/>
        </w:rPr>
        <w:t>Ciência da Informação</w:t>
      </w:r>
      <w:r w:rsidRPr="00485ADC">
        <w:rPr>
          <w:color w:val="auto"/>
          <w:sz w:val="24"/>
          <w:szCs w:val="24"/>
          <w:lang w:val="pt-BR"/>
        </w:rPr>
        <w:t>, v. 38, n. 3, p. 192-204, 2009.</w:t>
      </w:r>
    </w:p>
    <w:p w14:paraId="7BD02E40" w14:textId="77777777" w:rsidR="002F7E08" w:rsidRPr="00485ADC" w:rsidRDefault="002F7E08" w:rsidP="00485ADC">
      <w:pPr>
        <w:pStyle w:val="Fontes"/>
        <w:spacing w:before="120" w:after="120"/>
        <w:rPr>
          <w:color w:val="auto"/>
          <w:sz w:val="24"/>
          <w:szCs w:val="24"/>
          <w:lang w:val="pt-BR"/>
        </w:rPr>
      </w:pPr>
    </w:p>
    <w:p w14:paraId="7C8B43C8"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BENCHIMOL, J.; TEIXEIRA, L. A. </w:t>
      </w:r>
      <w:r w:rsidRPr="00485ADC">
        <w:rPr>
          <w:b/>
          <w:bCs/>
          <w:color w:val="auto"/>
          <w:sz w:val="24"/>
          <w:szCs w:val="24"/>
          <w:lang w:val="pt-BR"/>
        </w:rPr>
        <w:t>Cobras, lagartos &amp; outros bichos</w:t>
      </w:r>
      <w:r w:rsidRPr="00485ADC">
        <w:rPr>
          <w:color w:val="auto"/>
          <w:sz w:val="24"/>
          <w:szCs w:val="24"/>
          <w:lang w:val="pt-BR"/>
        </w:rPr>
        <w:t>: uma história comparada dos institutos Oswaldo Cruz e Butantan. Rio de Janeiro: Fiocruz/Casa de Oswaldo Cruz, 1993.</w:t>
      </w:r>
    </w:p>
    <w:p w14:paraId="05B45DA6" w14:textId="77777777" w:rsidR="002F7E08" w:rsidRPr="00485ADC" w:rsidRDefault="002F7E08" w:rsidP="00485ADC">
      <w:pPr>
        <w:pStyle w:val="Fontes"/>
        <w:tabs>
          <w:tab w:val="left" w:pos="2740"/>
        </w:tabs>
        <w:spacing w:before="120" w:after="120"/>
        <w:rPr>
          <w:color w:val="auto"/>
          <w:sz w:val="24"/>
          <w:szCs w:val="24"/>
          <w:lang w:val="pt-BR"/>
        </w:rPr>
      </w:pPr>
    </w:p>
    <w:p w14:paraId="737964DF"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lastRenderedPageBreak/>
        <w:t xml:space="preserve">BEZERRA, E. </w:t>
      </w:r>
      <w:r w:rsidRPr="008A09B2">
        <w:rPr>
          <w:i/>
          <w:iCs/>
          <w:color w:val="auto"/>
          <w:sz w:val="24"/>
          <w:szCs w:val="24"/>
          <w:lang w:val="pt-BR"/>
        </w:rPr>
        <w:t>et al</w:t>
      </w:r>
      <w:r w:rsidRPr="00485ADC">
        <w:rPr>
          <w:color w:val="auto"/>
          <w:sz w:val="24"/>
          <w:szCs w:val="24"/>
          <w:lang w:val="pt-BR"/>
        </w:rPr>
        <w:t xml:space="preserve">. Regime de informação: abordagens conceituais e aplicações práticas. </w:t>
      </w:r>
      <w:r w:rsidRPr="00485ADC">
        <w:rPr>
          <w:b/>
          <w:bCs/>
          <w:color w:val="auto"/>
          <w:sz w:val="24"/>
          <w:szCs w:val="24"/>
          <w:lang w:val="pt-BR"/>
        </w:rPr>
        <w:t>Em questão</w:t>
      </w:r>
      <w:r w:rsidRPr="00485ADC">
        <w:rPr>
          <w:color w:val="auto"/>
          <w:sz w:val="24"/>
          <w:szCs w:val="24"/>
          <w:lang w:val="pt-BR"/>
        </w:rPr>
        <w:t>, v. 22, n. 2, p. 60-86, 2016.</w:t>
      </w:r>
    </w:p>
    <w:p w14:paraId="131FA85D" w14:textId="77777777" w:rsidR="002F7E08" w:rsidRPr="00485ADC" w:rsidRDefault="002F7E08" w:rsidP="00485ADC">
      <w:pPr>
        <w:pStyle w:val="Fontes"/>
        <w:spacing w:before="120" w:after="120"/>
        <w:rPr>
          <w:color w:val="auto"/>
          <w:sz w:val="24"/>
          <w:szCs w:val="24"/>
          <w:lang w:val="pt-BR"/>
        </w:rPr>
      </w:pPr>
    </w:p>
    <w:p w14:paraId="408ABA3F"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BOURDIEU, P. O campo científico. In: ORTIZ, R. (org.) </w:t>
      </w:r>
      <w:r w:rsidRPr="00485ADC">
        <w:rPr>
          <w:b/>
          <w:bCs/>
          <w:color w:val="auto"/>
          <w:sz w:val="24"/>
          <w:szCs w:val="24"/>
          <w:lang w:val="pt-BR"/>
        </w:rPr>
        <w:t>Pierre Bourdieu</w:t>
      </w:r>
      <w:r w:rsidRPr="00485ADC">
        <w:rPr>
          <w:color w:val="auto"/>
          <w:sz w:val="24"/>
          <w:szCs w:val="24"/>
          <w:lang w:val="pt-BR"/>
        </w:rPr>
        <w:t>: sociologia. São Paulo: Ática, 1983.</w:t>
      </w:r>
    </w:p>
    <w:p w14:paraId="2517E126" w14:textId="77777777" w:rsidR="002F7E08" w:rsidRPr="00485ADC" w:rsidRDefault="002F7E08" w:rsidP="00485ADC">
      <w:pPr>
        <w:pStyle w:val="Fontes"/>
        <w:tabs>
          <w:tab w:val="left" w:pos="2740"/>
        </w:tabs>
        <w:spacing w:before="120" w:after="120"/>
        <w:rPr>
          <w:color w:val="auto"/>
          <w:sz w:val="24"/>
          <w:szCs w:val="24"/>
          <w:lang w:val="pt-BR"/>
        </w:rPr>
      </w:pPr>
    </w:p>
    <w:p w14:paraId="2025359D" w14:textId="77777777" w:rsidR="002F7E08" w:rsidRPr="00485ADC" w:rsidRDefault="002F7E08" w:rsidP="002F7E08">
      <w:pPr>
        <w:pStyle w:val="Fontes"/>
        <w:tabs>
          <w:tab w:val="left" w:pos="2740"/>
        </w:tabs>
        <w:spacing w:before="120" w:after="120" w:line="240" w:lineRule="auto"/>
        <w:rPr>
          <w:color w:val="auto"/>
          <w:sz w:val="24"/>
          <w:szCs w:val="24"/>
        </w:rPr>
      </w:pPr>
      <w:r w:rsidRPr="00485ADC">
        <w:rPr>
          <w:color w:val="auto"/>
          <w:sz w:val="24"/>
          <w:szCs w:val="24"/>
          <w:lang w:val="pt-BR"/>
        </w:rPr>
        <w:t xml:space="preserve">BOURDIEU, P. </w:t>
      </w:r>
      <w:r w:rsidRPr="00485ADC">
        <w:rPr>
          <w:b/>
          <w:bCs/>
          <w:color w:val="auto"/>
          <w:sz w:val="24"/>
          <w:szCs w:val="24"/>
          <w:lang w:val="pt-BR"/>
        </w:rPr>
        <w:t>Os usos sociais da ciência</w:t>
      </w:r>
      <w:r w:rsidRPr="00485ADC">
        <w:rPr>
          <w:color w:val="auto"/>
          <w:sz w:val="24"/>
          <w:szCs w:val="24"/>
          <w:lang w:val="pt-BR"/>
        </w:rPr>
        <w:t xml:space="preserve">: por uma sociologia clínica do campo científico. </w:t>
      </w:r>
      <w:r w:rsidRPr="00485ADC">
        <w:rPr>
          <w:color w:val="auto"/>
          <w:sz w:val="24"/>
          <w:szCs w:val="24"/>
        </w:rPr>
        <w:t>São Paulo: Unesp/INRA, 2004.</w:t>
      </w:r>
    </w:p>
    <w:p w14:paraId="4E869476" w14:textId="77777777" w:rsidR="002F7E08" w:rsidRPr="00485ADC" w:rsidRDefault="002F7E08" w:rsidP="00485ADC">
      <w:pPr>
        <w:pStyle w:val="Fontes"/>
        <w:tabs>
          <w:tab w:val="left" w:pos="2740"/>
        </w:tabs>
        <w:spacing w:before="120" w:after="120"/>
        <w:rPr>
          <w:color w:val="auto"/>
          <w:sz w:val="24"/>
          <w:szCs w:val="24"/>
        </w:rPr>
      </w:pPr>
    </w:p>
    <w:p w14:paraId="1BFA5733"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rPr>
        <w:t xml:space="preserve">BRAMAN, S. The emergent global information policy regime. In.: ______. (Ed.) </w:t>
      </w:r>
      <w:r w:rsidRPr="00485ADC">
        <w:rPr>
          <w:b/>
          <w:bCs/>
          <w:color w:val="auto"/>
          <w:sz w:val="24"/>
          <w:szCs w:val="24"/>
          <w:lang w:val="pt-BR"/>
        </w:rPr>
        <w:t xml:space="preserve">The emergent global information policy regime. </w:t>
      </w:r>
      <w:r w:rsidRPr="00485ADC">
        <w:rPr>
          <w:color w:val="auto"/>
          <w:sz w:val="24"/>
          <w:szCs w:val="24"/>
          <w:lang w:val="pt-BR"/>
        </w:rPr>
        <w:t>Hampshire: Palgrave, 2004. p. 12-38.</w:t>
      </w:r>
    </w:p>
    <w:p w14:paraId="6DEFFB51" w14:textId="77777777" w:rsidR="002F7E08" w:rsidRPr="00485ADC" w:rsidRDefault="002F7E08" w:rsidP="00485ADC">
      <w:pPr>
        <w:pStyle w:val="Fontes"/>
        <w:spacing w:before="120" w:after="120"/>
        <w:rPr>
          <w:color w:val="auto"/>
          <w:sz w:val="24"/>
          <w:szCs w:val="24"/>
          <w:lang w:val="pt-BR"/>
        </w:rPr>
      </w:pPr>
    </w:p>
    <w:p w14:paraId="2A8950AE"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CAPURRO, R. Epistemologia e Ciência da Informação. In: ENCONTRO NACIONAL DE PESQUISA EM CIÊNCIA DA INFORMAÇÃO, 5, 2003. Belo Horizonte. </w:t>
      </w:r>
      <w:r w:rsidRPr="00485ADC">
        <w:rPr>
          <w:b/>
          <w:bCs/>
          <w:color w:val="auto"/>
          <w:sz w:val="24"/>
          <w:szCs w:val="24"/>
          <w:lang w:val="pt-BR"/>
        </w:rPr>
        <w:t xml:space="preserve">Anais... </w:t>
      </w:r>
      <w:r w:rsidRPr="00485ADC">
        <w:rPr>
          <w:color w:val="auto"/>
          <w:sz w:val="24"/>
          <w:szCs w:val="24"/>
          <w:lang w:val="pt-BR"/>
        </w:rPr>
        <w:t>Belo Horizonte: UFMG, 2003.</w:t>
      </w:r>
    </w:p>
    <w:p w14:paraId="70E8FF98" w14:textId="77777777" w:rsidR="002F7E08" w:rsidRPr="00485ADC" w:rsidRDefault="002F7E08" w:rsidP="00485ADC">
      <w:pPr>
        <w:pStyle w:val="Fontes"/>
        <w:spacing w:before="120" w:after="120"/>
        <w:rPr>
          <w:color w:val="auto"/>
          <w:sz w:val="24"/>
          <w:szCs w:val="24"/>
          <w:lang w:val="pt-BR"/>
        </w:rPr>
      </w:pPr>
    </w:p>
    <w:p w14:paraId="35A26900"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CAPURRO, R.; HJjØRLAND, B. O conceito de informação. </w:t>
      </w:r>
      <w:r w:rsidRPr="00485ADC">
        <w:rPr>
          <w:b/>
          <w:bCs/>
          <w:color w:val="auto"/>
          <w:sz w:val="24"/>
          <w:szCs w:val="24"/>
          <w:lang w:val="pt-BR"/>
        </w:rPr>
        <w:t>Perspectivas em ciência da informação</w:t>
      </w:r>
      <w:r w:rsidRPr="00485ADC">
        <w:rPr>
          <w:color w:val="auto"/>
          <w:sz w:val="24"/>
          <w:szCs w:val="24"/>
          <w:lang w:val="pt-BR"/>
        </w:rPr>
        <w:t>, v. 12, n. 1, p. 148-207, 2007.</w:t>
      </w:r>
    </w:p>
    <w:p w14:paraId="32A2E55D" w14:textId="77777777" w:rsidR="002F7E08" w:rsidRPr="00485ADC" w:rsidRDefault="002F7E08" w:rsidP="00485ADC">
      <w:pPr>
        <w:pStyle w:val="Fontes"/>
        <w:spacing w:before="120" w:after="120"/>
        <w:rPr>
          <w:color w:val="auto"/>
          <w:sz w:val="24"/>
          <w:szCs w:val="24"/>
          <w:lang w:val="pt-BR"/>
        </w:rPr>
      </w:pPr>
    </w:p>
    <w:p w14:paraId="2E45FBC0"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rPr>
        <w:t>EKBIA, H. R.</w:t>
      </w:r>
      <w:r w:rsidRPr="00485ADC">
        <w:rPr>
          <w:color w:val="auto"/>
          <w:sz w:val="24"/>
          <w:szCs w:val="24"/>
          <w:lang w:val="pt-BR"/>
        </w:rPr>
        <w:t>;</w:t>
      </w:r>
      <w:r w:rsidRPr="00485ADC">
        <w:rPr>
          <w:color w:val="auto"/>
          <w:sz w:val="24"/>
          <w:szCs w:val="24"/>
        </w:rPr>
        <w:t xml:space="preserve"> EVANS, T. P. Regimes of Information: Land Use, Management, and Policy. </w:t>
      </w:r>
      <w:r w:rsidRPr="00485ADC">
        <w:rPr>
          <w:b/>
          <w:bCs/>
          <w:color w:val="auto"/>
          <w:sz w:val="24"/>
          <w:szCs w:val="24"/>
          <w:lang w:val="pt-BR"/>
        </w:rPr>
        <w:t>The Information Society</w:t>
      </w:r>
      <w:r w:rsidRPr="00485ADC">
        <w:rPr>
          <w:color w:val="auto"/>
          <w:sz w:val="24"/>
          <w:szCs w:val="24"/>
          <w:lang w:val="pt-BR"/>
        </w:rPr>
        <w:t>, v. 25, n. 5, p. 328-343, 2009.</w:t>
      </w:r>
    </w:p>
    <w:p w14:paraId="4DD7BBDB" w14:textId="77777777" w:rsidR="002F7E08" w:rsidRPr="00485ADC" w:rsidRDefault="002F7E08" w:rsidP="00485ADC">
      <w:pPr>
        <w:pStyle w:val="Fontes"/>
        <w:spacing w:before="120" w:after="120"/>
        <w:rPr>
          <w:color w:val="auto"/>
          <w:sz w:val="24"/>
          <w:szCs w:val="24"/>
          <w:lang w:val="pt-BR"/>
        </w:rPr>
      </w:pPr>
    </w:p>
    <w:p w14:paraId="684EA8DB"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FERNANDES, G. C. Desempacotando o paradigma físico da Ciência da Informação. </w:t>
      </w:r>
      <w:r w:rsidRPr="00485ADC">
        <w:rPr>
          <w:b/>
          <w:bCs/>
          <w:color w:val="auto"/>
          <w:sz w:val="24"/>
          <w:szCs w:val="24"/>
          <w:lang w:val="pt-BR"/>
        </w:rPr>
        <w:t>Logeion</w:t>
      </w:r>
      <w:r w:rsidRPr="00485ADC">
        <w:rPr>
          <w:color w:val="auto"/>
          <w:sz w:val="24"/>
          <w:szCs w:val="24"/>
          <w:lang w:val="pt-BR"/>
        </w:rPr>
        <w:t>: Filosofia da Informação, Rio de Janeiro, v. 4, n. 2, p. 100-119, 2018.</w:t>
      </w:r>
    </w:p>
    <w:p w14:paraId="2CB0D3C5" w14:textId="77777777" w:rsidR="002F7E08" w:rsidRPr="00485ADC" w:rsidRDefault="002F7E08" w:rsidP="00485ADC">
      <w:pPr>
        <w:pStyle w:val="Fontes"/>
        <w:spacing w:before="120" w:after="120"/>
        <w:rPr>
          <w:color w:val="auto"/>
          <w:sz w:val="24"/>
          <w:szCs w:val="24"/>
          <w:lang w:val="pt-BR"/>
        </w:rPr>
      </w:pPr>
    </w:p>
    <w:p w14:paraId="16B8E9DC"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FERNANDES, G. C.; SALDANHA, G. S. Contribuições de Marteleto e González de Gómez ao Entendimento do Informacional: diálogos com três aportes da informação. </w:t>
      </w:r>
      <w:r w:rsidRPr="00485ADC">
        <w:rPr>
          <w:b/>
          <w:bCs/>
          <w:color w:val="auto"/>
          <w:sz w:val="24"/>
          <w:szCs w:val="24"/>
          <w:lang w:val="pt-BR"/>
        </w:rPr>
        <w:t>Ponto de Acesso</w:t>
      </w:r>
      <w:r w:rsidRPr="00485ADC">
        <w:rPr>
          <w:color w:val="auto"/>
          <w:sz w:val="24"/>
          <w:szCs w:val="24"/>
          <w:lang w:val="pt-BR"/>
        </w:rPr>
        <w:t>: Revista do Instituto de Ciência da Informação da UFBA, v. 6, n. 1, p. 2-31, 2012.</w:t>
      </w:r>
    </w:p>
    <w:p w14:paraId="4EF066BA" w14:textId="77777777" w:rsidR="002F7E08" w:rsidRPr="00485ADC" w:rsidRDefault="002F7E08" w:rsidP="00485ADC">
      <w:pPr>
        <w:pStyle w:val="Fontes"/>
        <w:spacing w:before="120" w:after="120"/>
        <w:rPr>
          <w:color w:val="auto"/>
          <w:sz w:val="24"/>
          <w:szCs w:val="24"/>
          <w:lang w:val="pt-BR"/>
        </w:rPr>
      </w:pPr>
    </w:p>
    <w:p w14:paraId="77A1C42F"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FOUCAULT, M. </w:t>
      </w:r>
      <w:r w:rsidRPr="00485ADC">
        <w:rPr>
          <w:b/>
          <w:bCs/>
          <w:color w:val="auto"/>
          <w:sz w:val="24"/>
          <w:szCs w:val="24"/>
          <w:lang w:val="pt-BR"/>
        </w:rPr>
        <w:t>Microfísica do poder</w:t>
      </w:r>
      <w:r w:rsidRPr="00485ADC">
        <w:rPr>
          <w:color w:val="auto"/>
          <w:sz w:val="24"/>
          <w:szCs w:val="24"/>
          <w:lang w:val="pt-BR"/>
        </w:rPr>
        <w:t>. Rio de Janeiro: Edições Graal, 1979.</w:t>
      </w:r>
    </w:p>
    <w:p w14:paraId="13F03E61" w14:textId="77777777" w:rsidR="002F7E08" w:rsidRPr="00485ADC" w:rsidRDefault="002F7E08" w:rsidP="00485ADC">
      <w:pPr>
        <w:pStyle w:val="Fontes"/>
        <w:spacing w:before="120" w:after="120"/>
        <w:rPr>
          <w:color w:val="auto"/>
          <w:sz w:val="24"/>
          <w:szCs w:val="24"/>
          <w:lang w:val="pt-BR"/>
        </w:rPr>
      </w:pPr>
    </w:p>
    <w:p w14:paraId="0295DA19"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FOUCAULT, N. </w:t>
      </w:r>
      <w:r w:rsidRPr="00485ADC">
        <w:rPr>
          <w:b/>
          <w:bCs/>
          <w:color w:val="auto"/>
          <w:sz w:val="24"/>
          <w:szCs w:val="24"/>
          <w:lang w:val="pt-BR"/>
        </w:rPr>
        <w:t>O nascimento da biopolítica</w:t>
      </w:r>
      <w:r w:rsidRPr="00485ADC">
        <w:rPr>
          <w:color w:val="auto"/>
          <w:sz w:val="24"/>
          <w:szCs w:val="24"/>
          <w:lang w:val="pt-BR"/>
        </w:rPr>
        <w:t>. São Paulo: Martins Fontes, 2008.</w:t>
      </w:r>
    </w:p>
    <w:p w14:paraId="49DC8FCD" w14:textId="77777777" w:rsidR="002F7E08" w:rsidRPr="00485ADC" w:rsidRDefault="002F7E08" w:rsidP="00485ADC">
      <w:pPr>
        <w:pStyle w:val="Fontes"/>
        <w:spacing w:before="120" w:after="120"/>
        <w:rPr>
          <w:color w:val="auto"/>
          <w:sz w:val="24"/>
          <w:szCs w:val="24"/>
          <w:lang w:val="pt-BR"/>
        </w:rPr>
      </w:pPr>
    </w:p>
    <w:p w14:paraId="2D859773"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FREITAS, L. S. </w:t>
      </w:r>
      <w:r w:rsidRPr="00485ADC">
        <w:rPr>
          <w:b/>
          <w:bCs/>
          <w:color w:val="auto"/>
          <w:sz w:val="24"/>
          <w:szCs w:val="24"/>
          <w:lang w:val="pt-BR"/>
        </w:rPr>
        <w:t>Na Teia dos Sentidos</w:t>
      </w:r>
      <w:r w:rsidRPr="00485ADC">
        <w:rPr>
          <w:color w:val="auto"/>
          <w:sz w:val="24"/>
          <w:szCs w:val="24"/>
          <w:lang w:val="pt-BR"/>
        </w:rPr>
        <w:t>: análise do discurso da Ciência da Informação sobre a atual condição da informação. 2001. Tese (Doutorado em Ciência da Informação e Documentação) Escola de Comunicações e Artes, Universidade de São Paulo, São Paulo, 2001.</w:t>
      </w:r>
    </w:p>
    <w:p w14:paraId="790FD770" w14:textId="77777777" w:rsidR="002F7E08" w:rsidRPr="00485ADC" w:rsidRDefault="002F7E08" w:rsidP="00485ADC">
      <w:pPr>
        <w:pStyle w:val="Fontes"/>
        <w:spacing w:before="120" w:after="120"/>
        <w:rPr>
          <w:color w:val="auto"/>
          <w:sz w:val="24"/>
          <w:szCs w:val="24"/>
          <w:lang w:val="pt-BR"/>
        </w:rPr>
      </w:pPr>
    </w:p>
    <w:p w14:paraId="6FC8DA85"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rPr>
        <w:t xml:space="preserve">FROHMANN, B. Taking information policy beyond information science: applying the actor network theory. In: ANNUAL CONFERENCE CANADIAN ASSOCIATION FOR INFORMATION SCIENCE, 23, 1995, Edmond, Alberta. </w:t>
      </w:r>
      <w:r w:rsidRPr="00485ADC">
        <w:rPr>
          <w:b/>
          <w:bCs/>
          <w:color w:val="auto"/>
          <w:sz w:val="24"/>
          <w:szCs w:val="24"/>
          <w:lang w:val="pt-BR"/>
        </w:rPr>
        <w:t>Proceedings</w:t>
      </w:r>
      <w:r w:rsidRPr="00485ADC">
        <w:rPr>
          <w:color w:val="auto"/>
          <w:sz w:val="24"/>
          <w:szCs w:val="24"/>
          <w:lang w:val="pt-BR"/>
        </w:rPr>
        <w:t>... Alberta, 1995.</w:t>
      </w:r>
    </w:p>
    <w:p w14:paraId="077423D2" w14:textId="77777777" w:rsidR="002F7E08" w:rsidRPr="00485ADC" w:rsidRDefault="002F7E08" w:rsidP="00485ADC">
      <w:pPr>
        <w:pStyle w:val="Fontes"/>
        <w:spacing w:before="120" w:after="120"/>
        <w:rPr>
          <w:color w:val="auto"/>
          <w:sz w:val="24"/>
          <w:szCs w:val="24"/>
          <w:lang w:val="pt-BR"/>
        </w:rPr>
      </w:pPr>
    </w:p>
    <w:p w14:paraId="0D8EDA60"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GONZÁLEZ DE GÓMEZ, M. N. O caráter seletivo das ações de informação. </w:t>
      </w:r>
      <w:r w:rsidRPr="00485ADC">
        <w:rPr>
          <w:b/>
          <w:bCs/>
          <w:color w:val="auto"/>
          <w:sz w:val="24"/>
          <w:szCs w:val="24"/>
          <w:lang w:val="pt-BR"/>
        </w:rPr>
        <w:t>Informare</w:t>
      </w:r>
      <w:r w:rsidRPr="00485ADC">
        <w:rPr>
          <w:color w:val="auto"/>
          <w:sz w:val="24"/>
          <w:szCs w:val="24"/>
          <w:lang w:val="pt-BR"/>
        </w:rPr>
        <w:t>, v. 5, n. 2, p. 7-31, 1999.</w:t>
      </w:r>
    </w:p>
    <w:p w14:paraId="3C5C595C" w14:textId="77777777" w:rsidR="002F7E08" w:rsidRPr="00485ADC" w:rsidRDefault="002F7E08" w:rsidP="00485ADC">
      <w:pPr>
        <w:pStyle w:val="Fontes"/>
        <w:spacing w:before="120" w:after="120"/>
        <w:rPr>
          <w:color w:val="auto"/>
          <w:sz w:val="24"/>
          <w:szCs w:val="24"/>
          <w:lang w:val="pt-BR"/>
        </w:rPr>
      </w:pPr>
    </w:p>
    <w:p w14:paraId="3DDCF903"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lastRenderedPageBreak/>
        <w:t xml:space="preserve">GONZÁLEZ DE GÓMEZ, M. N. Metodologia de pesquisa no campo da ciência da informação. </w:t>
      </w:r>
      <w:r w:rsidRPr="00485ADC">
        <w:rPr>
          <w:b/>
          <w:bCs/>
          <w:color w:val="auto"/>
          <w:sz w:val="24"/>
          <w:szCs w:val="24"/>
          <w:lang w:val="pt-BR"/>
        </w:rPr>
        <w:t>DataGramaZero</w:t>
      </w:r>
      <w:r w:rsidRPr="00485ADC">
        <w:rPr>
          <w:color w:val="auto"/>
          <w:sz w:val="24"/>
          <w:szCs w:val="24"/>
          <w:lang w:val="pt-BR"/>
        </w:rPr>
        <w:t>: Revista de Ciência da Informação, v. 1, n. 6, dez. 2000.</w:t>
      </w:r>
    </w:p>
    <w:p w14:paraId="6149B2B7" w14:textId="77777777" w:rsidR="002F7E08" w:rsidRPr="00485ADC" w:rsidRDefault="002F7E08" w:rsidP="00485ADC">
      <w:pPr>
        <w:pStyle w:val="Fontes"/>
        <w:spacing w:before="120" w:after="120"/>
        <w:rPr>
          <w:color w:val="auto"/>
          <w:sz w:val="24"/>
          <w:szCs w:val="24"/>
          <w:lang w:val="pt-BR"/>
        </w:rPr>
      </w:pPr>
    </w:p>
    <w:p w14:paraId="635A1362"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GONZÁLEZ DE GÓMEZ, M. N. O Contrato Social da Pesquisa: em busca de uma nova equação entre a autonomia epistêmica e autonomia política. </w:t>
      </w:r>
      <w:r w:rsidRPr="00485ADC">
        <w:rPr>
          <w:b/>
          <w:bCs/>
          <w:color w:val="auto"/>
          <w:sz w:val="24"/>
          <w:szCs w:val="24"/>
          <w:lang w:val="pt-BR"/>
        </w:rPr>
        <w:t>DatagramaZero</w:t>
      </w:r>
      <w:r w:rsidRPr="00485ADC">
        <w:rPr>
          <w:color w:val="auto"/>
          <w:sz w:val="24"/>
          <w:szCs w:val="24"/>
          <w:lang w:val="pt-BR"/>
        </w:rPr>
        <w:t>, v. 4, n. 1, p.1-22, 2003.</w:t>
      </w:r>
    </w:p>
    <w:p w14:paraId="11A68EF1" w14:textId="77777777" w:rsidR="002F7E08" w:rsidRPr="00485ADC" w:rsidRDefault="002F7E08" w:rsidP="00485ADC">
      <w:pPr>
        <w:pStyle w:val="Fontes"/>
        <w:tabs>
          <w:tab w:val="left" w:pos="2740"/>
        </w:tabs>
        <w:spacing w:before="120" w:after="120"/>
        <w:rPr>
          <w:color w:val="auto"/>
          <w:sz w:val="24"/>
          <w:szCs w:val="24"/>
          <w:lang w:val="pt-BR"/>
        </w:rPr>
      </w:pPr>
    </w:p>
    <w:p w14:paraId="3DC65C16" w14:textId="3B024C1C"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GONZÁLEZ DE GÓMEZ, M. N. Novas configurações do conhecimento e validade da informação. In: ENCONTRO NACIONAL DE PESQUISA EM CIÊNCIA DA INFORMAÇÃO, 8., 2007. </w:t>
      </w:r>
      <w:r w:rsidR="008A09B2">
        <w:rPr>
          <w:color w:val="auto"/>
          <w:sz w:val="24"/>
          <w:szCs w:val="24"/>
          <w:lang w:val="pt-BR"/>
        </w:rPr>
        <w:t>[</w:t>
      </w:r>
      <w:r w:rsidRPr="00485ADC">
        <w:rPr>
          <w:b/>
          <w:bCs/>
          <w:color w:val="auto"/>
          <w:sz w:val="24"/>
          <w:szCs w:val="24"/>
          <w:lang w:val="pt-BR"/>
        </w:rPr>
        <w:t>Anais...</w:t>
      </w:r>
      <w:r w:rsidR="008A09B2">
        <w:rPr>
          <w:b/>
          <w:bCs/>
          <w:color w:val="auto"/>
          <w:sz w:val="24"/>
          <w:szCs w:val="24"/>
          <w:lang w:val="pt-BR"/>
        </w:rPr>
        <w:t>]</w:t>
      </w:r>
      <w:r w:rsidRPr="00485ADC">
        <w:rPr>
          <w:color w:val="auto"/>
          <w:sz w:val="24"/>
          <w:szCs w:val="24"/>
          <w:lang w:val="pt-BR"/>
        </w:rPr>
        <w:t xml:space="preserve"> Salvador: UFBA, 2007.</w:t>
      </w:r>
    </w:p>
    <w:p w14:paraId="7DC79C18" w14:textId="77777777" w:rsidR="002F7E08" w:rsidRPr="00485ADC" w:rsidRDefault="002F7E08" w:rsidP="00485ADC">
      <w:pPr>
        <w:pStyle w:val="Fontes"/>
        <w:spacing w:before="120" w:after="120"/>
        <w:rPr>
          <w:color w:val="auto"/>
          <w:sz w:val="24"/>
          <w:szCs w:val="24"/>
          <w:lang w:val="pt-BR"/>
        </w:rPr>
      </w:pPr>
    </w:p>
    <w:p w14:paraId="6DBC3855"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GONZÁLEZ DE GÓMEZ, M. N. Regime de informação: construção de um conceito. </w:t>
      </w:r>
      <w:r w:rsidRPr="00485ADC">
        <w:rPr>
          <w:b/>
          <w:bCs/>
          <w:color w:val="auto"/>
          <w:sz w:val="24"/>
          <w:szCs w:val="24"/>
          <w:lang w:val="pt-BR"/>
        </w:rPr>
        <w:t>Informação &amp; Sociedade</w:t>
      </w:r>
      <w:r w:rsidRPr="00485ADC">
        <w:rPr>
          <w:color w:val="auto"/>
          <w:sz w:val="24"/>
          <w:szCs w:val="24"/>
          <w:lang w:val="pt-BR"/>
        </w:rPr>
        <w:t>: estudos, v. 22, n. 3, p. 43-60, 2012a.</w:t>
      </w:r>
    </w:p>
    <w:p w14:paraId="68C9F935" w14:textId="77777777" w:rsidR="002F7E08" w:rsidRPr="00485ADC" w:rsidRDefault="002F7E08" w:rsidP="00485ADC">
      <w:pPr>
        <w:pStyle w:val="Fontes"/>
        <w:spacing w:before="120" w:after="120"/>
        <w:rPr>
          <w:color w:val="auto"/>
          <w:sz w:val="24"/>
          <w:szCs w:val="24"/>
          <w:lang w:val="pt-BR"/>
        </w:rPr>
      </w:pPr>
    </w:p>
    <w:p w14:paraId="276A487D"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GONZÁLEZ DE GÓMEZ, M. N. As ciências sociais e as questões de informação. </w:t>
      </w:r>
      <w:r w:rsidRPr="00485ADC">
        <w:rPr>
          <w:b/>
          <w:bCs/>
          <w:color w:val="auto"/>
          <w:sz w:val="24"/>
          <w:szCs w:val="24"/>
          <w:lang w:val="pt-BR"/>
        </w:rPr>
        <w:t>Morpheus</w:t>
      </w:r>
      <w:r w:rsidRPr="00485ADC">
        <w:rPr>
          <w:color w:val="auto"/>
          <w:sz w:val="24"/>
          <w:szCs w:val="24"/>
          <w:lang w:val="pt-BR"/>
        </w:rPr>
        <w:t>: Revista Eletrônica em Ciências Humanas, ano 9, n. 14, p. 18-37, 2012b.</w:t>
      </w:r>
    </w:p>
    <w:p w14:paraId="336B9BE8" w14:textId="77777777" w:rsidR="002F7E08" w:rsidRPr="00485ADC" w:rsidRDefault="002F7E08" w:rsidP="00485ADC">
      <w:pPr>
        <w:pStyle w:val="Fontes"/>
        <w:spacing w:before="120" w:after="120"/>
        <w:rPr>
          <w:color w:val="auto"/>
          <w:sz w:val="24"/>
          <w:szCs w:val="24"/>
          <w:lang w:val="pt-BR"/>
        </w:rPr>
      </w:pPr>
    </w:p>
    <w:p w14:paraId="4248EB79"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GONZÁLEZ DE GÓMEZ, M. N. Tecnologias digitais e análise do regime de informação para a promoção da saúde coletiva. </w:t>
      </w:r>
      <w:r w:rsidRPr="00485ADC">
        <w:rPr>
          <w:b/>
          <w:bCs/>
          <w:color w:val="auto"/>
          <w:sz w:val="24"/>
          <w:szCs w:val="24"/>
          <w:lang w:val="pt-BR"/>
        </w:rPr>
        <w:t>Revista</w:t>
      </w:r>
      <w:r w:rsidRPr="00485ADC">
        <w:rPr>
          <w:color w:val="auto"/>
          <w:sz w:val="24"/>
          <w:szCs w:val="24"/>
          <w:lang w:val="pt-BR"/>
        </w:rPr>
        <w:t xml:space="preserve"> </w:t>
      </w:r>
      <w:r w:rsidRPr="00485ADC">
        <w:rPr>
          <w:b/>
          <w:bCs/>
          <w:color w:val="auto"/>
          <w:sz w:val="24"/>
          <w:szCs w:val="24"/>
          <w:lang w:val="pt-BR"/>
        </w:rPr>
        <w:t>Informação em Pauta</w:t>
      </w:r>
      <w:r w:rsidRPr="00485ADC">
        <w:rPr>
          <w:color w:val="auto"/>
          <w:sz w:val="24"/>
          <w:szCs w:val="24"/>
          <w:lang w:val="pt-BR"/>
        </w:rPr>
        <w:t>, v. 3, número especial, p. 9-29, 2018.</w:t>
      </w:r>
    </w:p>
    <w:p w14:paraId="027E52C8" w14:textId="77777777" w:rsidR="002F7E08" w:rsidRPr="00485ADC" w:rsidRDefault="002F7E08" w:rsidP="00485ADC">
      <w:pPr>
        <w:pStyle w:val="Fontes"/>
        <w:spacing w:before="120" w:after="120"/>
        <w:rPr>
          <w:color w:val="auto"/>
          <w:sz w:val="24"/>
          <w:szCs w:val="24"/>
          <w:lang w:val="pt-BR"/>
        </w:rPr>
      </w:pPr>
    </w:p>
    <w:p w14:paraId="433A839F"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GONZÁLEZ DE GÓMEZ, M. N. Reflexões sobre a genealogia dos regimes de informação. </w:t>
      </w:r>
      <w:r w:rsidRPr="00485ADC">
        <w:rPr>
          <w:b/>
          <w:bCs/>
          <w:color w:val="auto"/>
          <w:sz w:val="24"/>
          <w:szCs w:val="24"/>
          <w:lang w:val="pt-BR"/>
        </w:rPr>
        <w:t>Informação &amp; Sociedade</w:t>
      </w:r>
      <w:r w:rsidRPr="00485ADC">
        <w:rPr>
          <w:color w:val="auto"/>
          <w:sz w:val="24"/>
          <w:szCs w:val="24"/>
          <w:lang w:val="pt-BR"/>
        </w:rPr>
        <w:t>: estudos, v. 29, n. 1, p 137-158, 2019.</w:t>
      </w:r>
    </w:p>
    <w:p w14:paraId="36D830BF" w14:textId="77777777" w:rsidR="002F7E08" w:rsidRPr="00485ADC" w:rsidRDefault="002F7E08" w:rsidP="00485ADC">
      <w:pPr>
        <w:pStyle w:val="Fontes"/>
        <w:spacing w:before="120" w:after="120"/>
        <w:rPr>
          <w:color w:val="auto"/>
          <w:sz w:val="24"/>
          <w:szCs w:val="24"/>
          <w:lang w:val="pt-BR"/>
        </w:rPr>
      </w:pPr>
    </w:p>
    <w:p w14:paraId="1ED2F2E5"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GONZÁLEZ DE GÓMEZ, M. N. As ações de informação e seus contextos: aportes da pragmática ao campo investigativo da Ciência da Informação. </w:t>
      </w:r>
      <w:r w:rsidRPr="00485ADC">
        <w:rPr>
          <w:b/>
          <w:bCs/>
          <w:color w:val="auto"/>
          <w:sz w:val="24"/>
          <w:szCs w:val="24"/>
          <w:lang w:val="pt-BR"/>
        </w:rPr>
        <w:t>Informação e</w:t>
      </w:r>
      <w:r w:rsidRPr="00485ADC">
        <w:rPr>
          <w:color w:val="auto"/>
          <w:sz w:val="24"/>
          <w:szCs w:val="24"/>
          <w:lang w:val="pt-BR"/>
        </w:rPr>
        <w:t xml:space="preserve"> </w:t>
      </w:r>
      <w:r w:rsidRPr="00485ADC">
        <w:rPr>
          <w:b/>
          <w:bCs/>
          <w:color w:val="auto"/>
          <w:sz w:val="24"/>
          <w:szCs w:val="24"/>
          <w:lang w:val="pt-BR"/>
        </w:rPr>
        <w:t>Sociedade</w:t>
      </w:r>
      <w:r w:rsidRPr="00485ADC">
        <w:rPr>
          <w:color w:val="auto"/>
          <w:sz w:val="24"/>
          <w:szCs w:val="24"/>
          <w:lang w:val="pt-BR"/>
        </w:rPr>
        <w:t>: Estudos, v. 20, n. 4, p. 1-20, 2020.</w:t>
      </w:r>
    </w:p>
    <w:p w14:paraId="1DBCF710" w14:textId="77777777" w:rsidR="002F7E08" w:rsidRPr="00485ADC" w:rsidRDefault="002F7E08" w:rsidP="00485ADC">
      <w:pPr>
        <w:pStyle w:val="Fontes"/>
        <w:spacing w:before="120" w:after="120"/>
        <w:rPr>
          <w:color w:val="auto"/>
          <w:sz w:val="24"/>
          <w:szCs w:val="24"/>
          <w:lang w:val="pt-BR"/>
        </w:rPr>
      </w:pPr>
    </w:p>
    <w:p w14:paraId="755ED94E" w14:textId="362C6563"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GONZÁLEZ DEGÓMEZ, M. N.; CHICANEL, M. A mudança de regimes de informação e as variações tecnológicas. In: ENCONTRO NACIONAL DE PESQUISA EM CIÊNCIA DA INFORMAÇÃO, 9. 2008, São Paulo. </w:t>
      </w:r>
      <w:r w:rsidR="008A09B2">
        <w:rPr>
          <w:color w:val="auto"/>
          <w:sz w:val="24"/>
          <w:szCs w:val="24"/>
          <w:lang w:val="pt-BR"/>
        </w:rPr>
        <w:t>[</w:t>
      </w:r>
      <w:r w:rsidRPr="00485ADC">
        <w:rPr>
          <w:b/>
          <w:bCs/>
          <w:color w:val="auto"/>
          <w:sz w:val="24"/>
          <w:szCs w:val="24"/>
          <w:lang w:val="pt-BR"/>
        </w:rPr>
        <w:t>Anais...</w:t>
      </w:r>
      <w:r w:rsidR="008A09B2">
        <w:rPr>
          <w:b/>
          <w:bCs/>
          <w:color w:val="auto"/>
          <w:sz w:val="24"/>
          <w:szCs w:val="24"/>
          <w:lang w:val="pt-BR"/>
        </w:rPr>
        <w:t>]</w:t>
      </w:r>
      <w:r w:rsidRPr="00485ADC">
        <w:rPr>
          <w:color w:val="auto"/>
          <w:sz w:val="24"/>
          <w:szCs w:val="24"/>
          <w:lang w:val="pt-BR"/>
        </w:rPr>
        <w:t xml:space="preserve"> São Paulo: USP, 2008.</w:t>
      </w:r>
    </w:p>
    <w:p w14:paraId="52C383E4" w14:textId="77777777" w:rsidR="002F7E08" w:rsidRPr="00485ADC" w:rsidRDefault="002F7E08" w:rsidP="00485ADC">
      <w:pPr>
        <w:pStyle w:val="Fontes"/>
        <w:spacing w:before="120" w:after="120"/>
        <w:rPr>
          <w:color w:val="auto"/>
          <w:sz w:val="24"/>
          <w:szCs w:val="24"/>
          <w:lang w:val="pt-BR"/>
        </w:rPr>
      </w:pPr>
    </w:p>
    <w:p w14:paraId="31A793BA" w14:textId="5388F2EA"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GUGLIOTTA, A.C; GONZÁLEZ DE GÓMEZ, M. N.; FONSECA, V. M. Informação a serviço do Estado burocrático. In: ENCONTRO NACIONAL DE PESQUISA EM. CIÊNCIA DA INFORMAÇÃO, 18., 2017, Marília. </w:t>
      </w:r>
      <w:r w:rsidR="008A09B2">
        <w:rPr>
          <w:color w:val="auto"/>
          <w:sz w:val="24"/>
          <w:szCs w:val="24"/>
          <w:lang w:val="pt-BR"/>
        </w:rPr>
        <w:t>[</w:t>
      </w:r>
      <w:r w:rsidRPr="00485ADC">
        <w:rPr>
          <w:b/>
          <w:bCs/>
          <w:color w:val="auto"/>
          <w:sz w:val="24"/>
          <w:szCs w:val="24"/>
          <w:lang w:val="pt-BR"/>
        </w:rPr>
        <w:t>Anais...</w:t>
      </w:r>
      <w:r w:rsidR="008A09B2">
        <w:rPr>
          <w:b/>
          <w:bCs/>
          <w:color w:val="auto"/>
          <w:sz w:val="24"/>
          <w:szCs w:val="24"/>
          <w:lang w:val="pt-BR"/>
        </w:rPr>
        <w:t>]</w:t>
      </w:r>
      <w:r w:rsidRPr="00485ADC">
        <w:rPr>
          <w:color w:val="auto"/>
          <w:sz w:val="24"/>
          <w:szCs w:val="24"/>
          <w:lang w:val="pt-BR"/>
        </w:rPr>
        <w:t xml:space="preserve"> Marília: Universidade Estadual Paulista, 2017.</w:t>
      </w:r>
    </w:p>
    <w:p w14:paraId="04DB0E81" w14:textId="77777777" w:rsidR="002F7E08" w:rsidRPr="00485ADC" w:rsidRDefault="002F7E08" w:rsidP="00485ADC">
      <w:pPr>
        <w:pStyle w:val="Fontes"/>
        <w:tabs>
          <w:tab w:val="left" w:pos="2740"/>
        </w:tabs>
        <w:spacing w:before="120" w:after="120"/>
        <w:rPr>
          <w:color w:val="auto"/>
          <w:sz w:val="24"/>
          <w:szCs w:val="24"/>
          <w:lang w:val="pt-BR"/>
        </w:rPr>
      </w:pPr>
    </w:p>
    <w:p w14:paraId="62C82CB9"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GUIMARÃES, R. Pesquisa em saúde no Brasil: contexto e desafios. </w:t>
      </w:r>
      <w:r w:rsidRPr="00485ADC">
        <w:rPr>
          <w:b/>
          <w:bCs/>
          <w:color w:val="auto"/>
          <w:sz w:val="24"/>
          <w:szCs w:val="24"/>
          <w:lang w:val="pt-BR"/>
        </w:rPr>
        <w:t>Revista de Saúde Pública</w:t>
      </w:r>
      <w:r w:rsidRPr="00485ADC">
        <w:rPr>
          <w:color w:val="auto"/>
          <w:sz w:val="24"/>
          <w:szCs w:val="24"/>
          <w:lang w:val="pt-BR"/>
        </w:rPr>
        <w:t>, v. 40, n. esp., p. 3-10, 2006.</w:t>
      </w:r>
    </w:p>
    <w:p w14:paraId="3468A873" w14:textId="77777777" w:rsidR="002F7E08" w:rsidRPr="00485ADC" w:rsidRDefault="002F7E08" w:rsidP="00485ADC">
      <w:pPr>
        <w:pStyle w:val="Fontes"/>
        <w:tabs>
          <w:tab w:val="left" w:pos="2740"/>
        </w:tabs>
        <w:spacing w:before="120" w:after="120"/>
        <w:rPr>
          <w:color w:val="auto"/>
          <w:sz w:val="24"/>
          <w:szCs w:val="24"/>
          <w:lang w:val="pt-BR"/>
        </w:rPr>
      </w:pPr>
    </w:p>
    <w:p w14:paraId="2E130531" w14:textId="77777777" w:rsidR="002F7E08" w:rsidRPr="00485ADC" w:rsidRDefault="002F7E08" w:rsidP="002F7E08">
      <w:pPr>
        <w:pStyle w:val="Fontes"/>
        <w:spacing w:before="120" w:after="120" w:line="240" w:lineRule="auto"/>
        <w:rPr>
          <w:color w:val="auto"/>
          <w:sz w:val="24"/>
          <w:szCs w:val="24"/>
        </w:rPr>
      </w:pPr>
      <w:r w:rsidRPr="00485ADC">
        <w:rPr>
          <w:color w:val="auto"/>
          <w:sz w:val="24"/>
          <w:szCs w:val="24"/>
          <w:lang w:val="pt-BR"/>
        </w:rPr>
        <w:t xml:space="preserve">HABERMAS, J. </w:t>
      </w:r>
      <w:r w:rsidRPr="00485ADC">
        <w:rPr>
          <w:b/>
          <w:bCs/>
          <w:color w:val="auto"/>
          <w:sz w:val="24"/>
          <w:szCs w:val="24"/>
          <w:lang w:val="pt-BR"/>
        </w:rPr>
        <w:t>Técnica e ciência como ideologia</w:t>
      </w:r>
      <w:r w:rsidRPr="00485ADC">
        <w:rPr>
          <w:color w:val="auto"/>
          <w:sz w:val="24"/>
          <w:szCs w:val="24"/>
          <w:lang w:val="pt-BR"/>
        </w:rPr>
        <w:t xml:space="preserve">. </w:t>
      </w:r>
      <w:r w:rsidRPr="00485ADC">
        <w:rPr>
          <w:color w:val="auto"/>
          <w:sz w:val="24"/>
          <w:szCs w:val="24"/>
        </w:rPr>
        <w:t>Lisboa: Edições 70, 1968.</w:t>
      </w:r>
    </w:p>
    <w:p w14:paraId="2ABAF23B" w14:textId="77777777" w:rsidR="002F7E08" w:rsidRPr="00485ADC" w:rsidRDefault="002F7E08" w:rsidP="00485ADC">
      <w:pPr>
        <w:pStyle w:val="Fontes"/>
        <w:spacing w:before="120" w:after="120"/>
        <w:rPr>
          <w:color w:val="auto"/>
          <w:sz w:val="24"/>
          <w:szCs w:val="24"/>
        </w:rPr>
      </w:pPr>
    </w:p>
    <w:p w14:paraId="60EB9B92" w14:textId="77777777" w:rsidR="002F7E08" w:rsidRPr="00485ADC" w:rsidRDefault="002F7E08" w:rsidP="002F7E08">
      <w:pPr>
        <w:pStyle w:val="Fontes"/>
        <w:spacing w:before="120" w:after="120" w:line="240" w:lineRule="auto"/>
        <w:rPr>
          <w:color w:val="auto"/>
          <w:sz w:val="24"/>
          <w:szCs w:val="24"/>
        </w:rPr>
      </w:pPr>
      <w:r w:rsidRPr="00485ADC">
        <w:rPr>
          <w:color w:val="auto"/>
          <w:sz w:val="24"/>
          <w:szCs w:val="24"/>
        </w:rPr>
        <w:t xml:space="preserve">HJØRLAND, B. Theory and metatheory of information Science: a new interpretation. </w:t>
      </w:r>
      <w:r w:rsidRPr="00485ADC">
        <w:rPr>
          <w:b/>
          <w:bCs/>
          <w:color w:val="auto"/>
          <w:sz w:val="24"/>
          <w:szCs w:val="24"/>
        </w:rPr>
        <w:t>Journal of Documentation</w:t>
      </w:r>
      <w:r w:rsidRPr="00485ADC">
        <w:rPr>
          <w:color w:val="auto"/>
          <w:sz w:val="24"/>
          <w:szCs w:val="24"/>
        </w:rPr>
        <w:t>, v. 54, n. 5, p. 606-621, 1998.</w:t>
      </w:r>
    </w:p>
    <w:p w14:paraId="50C7CC66"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rPr>
        <w:lastRenderedPageBreak/>
        <w:t xml:space="preserve">HJØRLAND, B. Domain analysis in information science: Eleven approaches Traditional as well as innovative. </w:t>
      </w:r>
      <w:r w:rsidRPr="00485ADC">
        <w:rPr>
          <w:b/>
          <w:bCs/>
          <w:color w:val="auto"/>
          <w:sz w:val="24"/>
          <w:szCs w:val="24"/>
          <w:lang w:val="pt-BR"/>
        </w:rPr>
        <w:t>Journal of Documentation</w:t>
      </w:r>
      <w:r w:rsidRPr="00485ADC">
        <w:rPr>
          <w:color w:val="auto"/>
          <w:sz w:val="24"/>
          <w:szCs w:val="24"/>
          <w:lang w:val="pt-BR"/>
        </w:rPr>
        <w:t>, v. 58, n. 4, p. 422-462, 2002.</w:t>
      </w:r>
    </w:p>
    <w:p w14:paraId="1BF934C8" w14:textId="77777777" w:rsidR="002F7E08" w:rsidRPr="00485ADC" w:rsidRDefault="002F7E08" w:rsidP="008A09B2">
      <w:pPr>
        <w:pStyle w:val="Fontes"/>
        <w:tabs>
          <w:tab w:val="left" w:pos="2740"/>
        </w:tabs>
        <w:spacing w:before="120" w:after="120"/>
        <w:rPr>
          <w:color w:val="auto"/>
          <w:sz w:val="24"/>
          <w:szCs w:val="24"/>
          <w:lang w:val="pt-BR"/>
        </w:rPr>
      </w:pPr>
    </w:p>
    <w:p w14:paraId="426A9A53"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HOCHMAN, G. A ciência entre a comunidade e o mercado: leituras de Kuhn, Bourdieu, Latour e Knorr Cetina. PORTOCARRERO, V. (org). </w:t>
      </w:r>
      <w:r w:rsidRPr="00485ADC">
        <w:rPr>
          <w:b/>
          <w:bCs/>
          <w:color w:val="auto"/>
          <w:sz w:val="24"/>
          <w:szCs w:val="24"/>
          <w:lang w:val="pt-BR"/>
        </w:rPr>
        <w:t>Filosofia, história e sociologia das ciências I:</w:t>
      </w:r>
      <w:r w:rsidRPr="00485ADC">
        <w:rPr>
          <w:color w:val="auto"/>
          <w:sz w:val="24"/>
          <w:szCs w:val="24"/>
          <w:lang w:val="pt-BR"/>
        </w:rPr>
        <w:t xml:space="preserve"> abordagens contemporâneas. Rio de Janeiro: Fiocruz, 1994. p. 199-231.</w:t>
      </w:r>
    </w:p>
    <w:p w14:paraId="0EAF2870" w14:textId="77777777" w:rsidR="002F7E08" w:rsidRPr="00485ADC" w:rsidRDefault="002F7E08" w:rsidP="008A09B2">
      <w:pPr>
        <w:pStyle w:val="Fontes"/>
        <w:tabs>
          <w:tab w:val="left" w:pos="2740"/>
        </w:tabs>
        <w:spacing w:before="120" w:after="120"/>
        <w:rPr>
          <w:color w:val="auto"/>
          <w:sz w:val="24"/>
          <w:szCs w:val="24"/>
          <w:lang w:val="pt-BR"/>
        </w:rPr>
      </w:pPr>
    </w:p>
    <w:p w14:paraId="70AF12B2"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JESUS, E. M. F.; GONZÁLEZ DE GÓMEZ, M. N. Colaboração Internacional: colocando ética e integridade da pesquisa em perspectiva. In: ENCONTRO NACIONAL DE PESQUISA EM CIÊNCIA DA INFORMAÇÃO, 18., 2016, Salvador. </w:t>
      </w:r>
      <w:r w:rsidRPr="00485ADC">
        <w:rPr>
          <w:b/>
          <w:bCs/>
          <w:color w:val="auto"/>
          <w:sz w:val="24"/>
          <w:szCs w:val="24"/>
          <w:lang w:val="pt-BR"/>
        </w:rPr>
        <w:t>Anais...</w:t>
      </w:r>
      <w:r w:rsidRPr="00485ADC">
        <w:rPr>
          <w:color w:val="auto"/>
          <w:sz w:val="24"/>
          <w:szCs w:val="24"/>
          <w:lang w:val="pt-BR"/>
        </w:rPr>
        <w:t xml:space="preserve"> Salvador: Universidade Federal da Bahia, Salvador, 2016.</w:t>
      </w:r>
    </w:p>
    <w:p w14:paraId="076D37D8" w14:textId="77777777" w:rsidR="002F7E08" w:rsidRPr="00485ADC" w:rsidRDefault="002F7E08" w:rsidP="008A09B2">
      <w:pPr>
        <w:pStyle w:val="Fontes"/>
        <w:tabs>
          <w:tab w:val="left" w:pos="2740"/>
        </w:tabs>
        <w:spacing w:before="120" w:after="120"/>
        <w:rPr>
          <w:color w:val="auto"/>
          <w:sz w:val="24"/>
          <w:szCs w:val="24"/>
          <w:lang w:val="pt-BR"/>
        </w:rPr>
      </w:pPr>
    </w:p>
    <w:p w14:paraId="040412A5"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KRASNER, S. D. Causas estruturais e consequências dos regimes internacionais: regimes como variáveis intervenientes. </w:t>
      </w:r>
      <w:r w:rsidRPr="00485ADC">
        <w:rPr>
          <w:b/>
          <w:bCs/>
          <w:color w:val="auto"/>
          <w:sz w:val="24"/>
          <w:szCs w:val="24"/>
          <w:lang w:val="pt-BR"/>
        </w:rPr>
        <w:t>Revista de Sociologia e Política</w:t>
      </w:r>
      <w:r w:rsidRPr="00485ADC">
        <w:rPr>
          <w:color w:val="auto"/>
          <w:sz w:val="24"/>
          <w:szCs w:val="24"/>
          <w:lang w:val="pt-BR"/>
        </w:rPr>
        <w:t>, v. 20, n. 42, p. 93-110, 2012.</w:t>
      </w:r>
    </w:p>
    <w:p w14:paraId="2B4BE7C2" w14:textId="77777777" w:rsidR="002F7E08" w:rsidRPr="00485ADC" w:rsidRDefault="002F7E08" w:rsidP="008A09B2">
      <w:pPr>
        <w:pStyle w:val="Fontes"/>
        <w:spacing w:before="120" w:after="120"/>
        <w:rPr>
          <w:color w:val="auto"/>
          <w:sz w:val="24"/>
          <w:szCs w:val="24"/>
          <w:lang w:val="pt-BR"/>
        </w:rPr>
      </w:pPr>
    </w:p>
    <w:p w14:paraId="1A06D093"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MACIAS CHAPULA, C. O papel da informetria e da cienciometria e sua perspectiva nacional e internacional. </w:t>
      </w:r>
      <w:r w:rsidRPr="00485ADC">
        <w:rPr>
          <w:b/>
          <w:bCs/>
          <w:color w:val="auto"/>
          <w:sz w:val="24"/>
          <w:szCs w:val="24"/>
          <w:lang w:val="pt-BR"/>
        </w:rPr>
        <w:t>Ciência da Informação</w:t>
      </w:r>
      <w:r w:rsidRPr="00485ADC">
        <w:rPr>
          <w:color w:val="auto"/>
          <w:sz w:val="24"/>
          <w:szCs w:val="24"/>
          <w:lang w:val="pt-BR"/>
        </w:rPr>
        <w:t>, v. 27, n. 2, p. 134 140, 1998.</w:t>
      </w:r>
    </w:p>
    <w:p w14:paraId="127C5BBD" w14:textId="77777777" w:rsidR="002F7E08" w:rsidRPr="00485ADC" w:rsidRDefault="002F7E08" w:rsidP="008A09B2">
      <w:pPr>
        <w:pStyle w:val="Fontes"/>
        <w:tabs>
          <w:tab w:val="left" w:pos="2740"/>
        </w:tabs>
        <w:spacing w:before="120" w:after="120"/>
        <w:rPr>
          <w:color w:val="auto"/>
          <w:sz w:val="24"/>
          <w:szCs w:val="24"/>
          <w:lang w:val="pt-BR"/>
        </w:rPr>
      </w:pPr>
    </w:p>
    <w:p w14:paraId="47D82E50"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MARTELETO, R. M.; SILVA, M. V. P. Redes, campo científico e processos de informação e comunicação em saúde. In: TOMAÉL, M. I.; MARTELETO, R. M. M. (Org.). </w:t>
      </w:r>
      <w:r w:rsidRPr="00485ADC">
        <w:rPr>
          <w:b/>
          <w:bCs/>
          <w:color w:val="auto"/>
          <w:sz w:val="24"/>
          <w:szCs w:val="24"/>
          <w:lang w:val="pt-BR"/>
        </w:rPr>
        <w:t>Informação e redes sociais:</w:t>
      </w:r>
      <w:r w:rsidRPr="00485ADC">
        <w:rPr>
          <w:color w:val="auto"/>
          <w:sz w:val="24"/>
          <w:szCs w:val="24"/>
          <w:lang w:val="pt-BR"/>
        </w:rPr>
        <w:t xml:space="preserve"> interfaces de teorias, método e objetos. Londrina: EDUEL, 2015. p. 136-155.</w:t>
      </w:r>
    </w:p>
    <w:p w14:paraId="4B7585EF" w14:textId="77777777" w:rsidR="002F7E08" w:rsidRPr="00485ADC" w:rsidRDefault="002F7E08" w:rsidP="008A09B2">
      <w:pPr>
        <w:pStyle w:val="Fontes"/>
        <w:tabs>
          <w:tab w:val="left" w:pos="2740"/>
        </w:tabs>
        <w:spacing w:before="120" w:after="120"/>
        <w:rPr>
          <w:color w:val="auto"/>
          <w:sz w:val="24"/>
          <w:szCs w:val="24"/>
          <w:lang w:val="pt-BR"/>
        </w:rPr>
      </w:pPr>
    </w:p>
    <w:p w14:paraId="769FF79D"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MEDINA, E. La polémica internalismo / externalismo. </w:t>
      </w:r>
      <w:r w:rsidRPr="00485ADC">
        <w:rPr>
          <w:b/>
          <w:bCs/>
          <w:color w:val="auto"/>
          <w:sz w:val="24"/>
          <w:szCs w:val="24"/>
          <w:lang w:val="pt-BR"/>
        </w:rPr>
        <w:t>Reis</w:t>
      </w:r>
      <w:r w:rsidRPr="00485ADC">
        <w:rPr>
          <w:color w:val="auto"/>
          <w:sz w:val="24"/>
          <w:szCs w:val="24"/>
          <w:lang w:val="pt-BR"/>
        </w:rPr>
        <w:t>: Revista española de investigaciones sociológicas, n. 23, p. 53-76, 1983 .</w:t>
      </w:r>
    </w:p>
    <w:p w14:paraId="71EB4169" w14:textId="77777777" w:rsidR="002F7E08" w:rsidRPr="00485ADC" w:rsidRDefault="002F7E08" w:rsidP="008A09B2">
      <w:pPr>
        <w:pStyle w:val="Fontes"/>
        <w:tabs>
          <w:tab w:val="left" w:pos="2740"/>
        </w:tabs>
        <w:spacing w:before="120" w:after="120"/>
        <w:rPr>
          <w:color w:val="auto"/>
          <w:sz w:val="24"/>
          <w:szCs w:val="24"/>
          <w:lang w:val="pt-BR"/>
        </w:rPr>
      </w:pPr>
    </w:p>
    <w:p w14:paraId="69395141" w14:textId="77777777" w:rsidR="002F7E08" w:rsidRPr="00485ADC" w:rsidRDefault="002F7E08" w:rsidP="002F7E08">
      <w:pPr>
        <w:pStyle w:val="Fontes"/>
        <w:tabs>
          <w:tab w:val="left" w:pos="2740"/>
        </w:tabs>
        <w:spacing w:before="120" w:after="120" w:line="240" w:lineRule="auto"/>
        <w:rPr>
          <w:color w:val="auto"/>
          <w:sz w:val="24"/>
          <w:szCs w:val="24"/>
          <w:lang w:val="pt-BR"/>
        </w:rPr>
      </w:pPr>
      <w:r w:rsidRPr="00485ADC">
        <w:rPr>
          <w:color w:val="auto"/>
          <w:sz w:val="24"/>
          <w:szCs w:val="24"/>
          <w:lang w:val="pt-BR"/>
        </w:rPr>
        <w:t xml:space="preserve">MEIRELLES, M. B.; GONZÁLEZ DE GÓMEZ, M. N. O uso do termo de Consentimento Informado na mediação infocomunicacional: Implicações éticas. In: ENCONTRO NACIONAL DE PESQUISA EM CIÊNCIA DA INFORMAÇÃO, 18., 2016, Salvador. </w:t>
      </w:r>
      <w:r w:rsidRPr="00485ADC">
        <w:rPr>
          <w:b/>
          <w:bCs/>
          <w:color w:val="auto"/>
          <w:sz w:val="24"/>
          <w:szCs w:val="24"/>
          <w:lang w:val="pt-BR"/>
        </w:rPr>
        <w:t>Anais...</w:t>
      </w:r>
      <w:r w:rsidRPr="00485ADC">
        <w:rPr>
          <w:color w:val="auto"/>
          <w:sz w:val="24"/>
          <w:szCs w:val="24"/>
          <w:lang w:val="pt-BR"/>
        </w:rPr>
        <w:t xml:space="preserve"> Salvador: Universidade Federal da Bahia, Salvador, 2016.</w:t>
      </w:r>
    </w:p>
    <w:p w14:paraId="56EF0B0B" w14:textId="77777777" w:rsidR="002F7E08" w:rsidRPr="00485ADC" w:rsidRDefault="002F7E08" w:rsidP="008A09B2">
      <w:pPr>
        <w:pStyle w:val="Fontes"/>
        <w:tabs>
          <w:tab w:val="left" w:pos="2740"/>
        </w:tabs>
        <w:spacing w:before="120" w:after="120"/>
        <w:rPr>
          <w:color w:val="auto"/>
          <w:sz w:val="24"/>
          <w:szCs w:val="24"/>
          <w:lang w:val="pt-BR"/>
        </w:rPr>
      </w:pPr>
    </w:p>
    <w:p w14:paraId="2B879C6F"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RABELLO, R. História dos conceitos e ciência da informação: apontamentos teórico metodológicos para uma perspectiva epistemológica. </w:t>
      </w:r>
      <w:r w:rsidRPr="00485ADC">
        <w:rPr>
          <w:b/>
          <w:bCs/>
          <w:color w:val="auto"/>
          <w:sz w:val="24"/>
          <w:szCs w:val="24"/>
          <w:lang w:val="pt-BR"/>
        </w:rPr>
        <w:t>Encontros Bibli</w:t>
      </w:r>
      <w:r w:rsidRPr="00485ADC">
        <w:rPr>
          <w:color w:val="auto"/>
          <w:sz w:val="24"/>
          <w:szCs w:val="24"/>
          <w:lang w:val="pt-BR"/>
        </w:rPr>
        <w:t>: Revista eletrônica de Biblioteconomia e Ciência da informação, v. 13, n. 26, p. 17-46, 2008.</w:t>
      </w:r>
    </w:p>
    <w:p w14:paraId="0C891655" w14:textId="77777777" w:rsidR="002F7E08" w:rsidRPr="00485ADC" w:rsidRDefault="002F7E08" w:rsidP="008A09B2">
      <w:pPr>
        <w:pStyle w:val="Fontes"/>
        <w:spacing w:before="120" w:after="120"/>
        <w:rPr>
          <w:color w:val="auto"/>
          <w:sz w:val="24"/>
          <w:szCs w:val="24"/>
          <w:lang w:val="pt-BR"/>
        </w:rPr>
      </w:pPr>
    </w:p>
    <w:p w14:paraId="022A83B7" w14:textId="77777777" w:rsidR="002F7E08" w:rsidRPr="00485ADC" w:rsidRDefault="002F7E08" w:rsidP="002F7E08">
      <w:pPr>
        <w:pStyle w:val="Fontes"/>
        <w:spacing w:before="120" w:after="120" w:line="240" w:lineRule="auto"/>
        <w:rPr>
          <w:color w:val="auto"/>
          <w:sz w:val="24"/>
          <w:szCs w:val="24"/>
        </w:rPr>
      </w:pPr>
      <w:r w:rsidRPr="00485ADC">
        <w:rPr>
          <w:color w:val="auto"/>
          <w:sz w:val="24"/>
          <w:szCs w:val="24"/>
        </w:rPr>
        <w:t xml:space="preserve">RUIVO, B. “Phases” or “paradigms” of science policy? </w:t>
      </w:r>
      <w:r w:rsidRPr="00485ADC">
        <w:rPr>
          <w:b/>
          <w:bCs/>
          <w:color w:val="auto"/>
          <w:sz w:val="24"/>
          <w:szCs w:val="24"/>
        </w:rPr>
        <w:t>Science and Public Policy</w:t>
      </w:r>
      <w:r w:rsidRPr="00485ADC">
        <w:rPr>
          <w:color w:val="auto"/>
          <w:sz w:val="24"/>
          <w:szCs w:val="24"/>
        </w:rPr>
        <w:t>, v.21, n. 3, p. -157-164, 1994.</w:t>
      </w:r>
    </w:p>
    <w:p w14:paraId="340BA5E0" w14:textId="77777777" w:rsidR="002F7E08" w:rsidRPr="00485ADC" w:rsidRDefault="002F7E08" w:rsidP="008A09B2">
      <w:pPr>
        <w:pStyle w:val="Fontes"/>
        <w:spacing w:before="120" w:after="120"/>
        <w:rPr>
          <w:color w:val="auto"/>
          <w:sz w:val="24"/>
          <w:szCs w:val="24"/>
        </w:rPr>
      </w:pPr>
    </w:p>
    <w:p w14:paraId="3DE7442A"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SILVA, Marcus Vinícius Pereira da. Regime de informação em redes de movimentos sociais na saúde: uma análise da educação popular e saúde. In: MARTELETO, R. M.; DAVID, H. M. S. L. </w:t>
      </w:r>
      <w:r w:rsidRPr="00485ADC">
        <w:rPr>
          <w:b/>
          <w:bCs/>
          <w:color w:val="auto"/>
          <w:sz w:val="24"/>
          <w:szCs w:val="24"/>
          <w:lang w:val="pt-BR"/>
        </w:rPr>
        <w:t>Cultura, conhecimento e mediação de saberes em saúde</w:t>
      </w:r>
      <w:r w:rsidRPr="00485ADC">
        <w:rPr>
          <w:color w:val="auto"/>
          <w:sz w:val="24"/>
          <w:szCs w:val="24"/>
          <w:lang w:val="pt-BR"/>
        </w:rPr>
        <w:t>: diálogos da informação e da educação popular. Rio de Janeiro: Ibict, 2021. p. 237- 258.</w:t>
      </w:r>
    </w:p>
    <w:p w14:paraId="6C2EDC2B" w14:textId="77777777" w:rsidR="002F7E08" w:rsidRPr="00485ADC" w:rsidRDefault="002F7E08" w:rsidP="008A09B2">
      <w:pPr>
        <w:pStyle w:val="Fontes"/>
        <w:spacing w:before="120" w:after="120"/>
        <w:rPr>
          <w:color w:val="auto"/>
          <w:sz w:val="24"/>
          <w:szCs w:val="24"/>
          <w:lang w:val="pt-BR"/>
        </w:rPr>
      </w:pPr>
    </w:p>
    <w:p w14:paraId="5CC14073" w14:textId="77777777" w:rsidR="002F7E08" w:rsidRPr="00485ADC" w:rsidRDefault="002F7E08" w:rsidP="002F7E08">
      <w:pPr>
        <w:pStyle w:val="Fontes"/>
        <w:spacing w:before="120" w:after="120" w:line="240" w:lineRule="auto"/>
        <w:rPr>
          <w:color w:val="auto"/>
          <w:sz w:val="24"/>
          <w:szCs w:val="24"/>
          <w:lang w:val="pt-BR"/>
        </w:rPr>
      </w:pPr>
      <w:r w:rsidRPr="00485ADC">
        <w:rPr>
          <w:color w:val="auto"/>
          <w:sz w:val="24"/>
          <w:szCs w:val="24"/>
          <w:lang w:val="pt-BR"/>
        </w:rPr>
        <w:t xml:space="preserve">TAUILE, J. R. Uma introdução à economia política da informação. </w:t>
      </w:r>
      <w:r w:rsidRPr="00485ADC">
        <w:rPr>
          <w:b/>
          <w:bCs/>
          <w:color w:val="auto"/>
          <w:sz w:val="24"/>
          <w:szCs w:val="24"/>
          <w:lang w:val="pt-BR"/>
        </w:rPr>
        <w:t>Ensaios FEE</w:t>
      </w:r>
      <w:r w:rsidRPr="00485ADC">
        <w:rPr>
          <w:color w:val="auto"/>
          <w:sz w:val="24"/>
          <w:szCs w:val="24"/>
          <w:lang w:val="pt-BR"/>
        </w:rPr>
        <w:t>, Porto Alegre, v. 2, n. 2, p. 89-108, 1981.</w:t>
      </w:r>
    </w:p>
    <w:p w14:paraId="7CD26C17" w14:textId="77777777" w:rsidR="002F7E08" w:rsidRPr="00485ADC" w:rsidRDefault="002F7E08" w:rsidP="008A09B2">
      <w:pPr>
        <w:pStyle w:val="Fontes"/>
        <w:spacing w:before="120" w:after="120"/>
        <w:rPr>
          <w:color w:val="auto"/>
          <w:sz w:val="24"/>
          <w:szCs w:val="24"/>
          <w:lang w:val="pt-BR"/>
        </w:rPr>
      </w:pPr>
    </w:p>
    <w:p w14:paraId="2F89B946" w14:textId="77777777" w:rsidR="002F7E08" w:rsidRPr="00485ADC" w:rsidRDefault="002F7E08" w:rsidP="002F7E08">
      <w:pPr>
        <w:pStyle w:val="Fontes"/>
        <w:tabs>
          <w:tab w:val="left" w:pos="2740"/>
        </w:tabs>
        <w:spacing w:before="120" w:after="120" w:line="240" w:lineRule="auto"/>
        <w:rPr>
          <w:color w:val="auto"/>
          <w:sz w:val="24"/>
          <w:szCs w:val="24"/>
        </w:rPr>
      </w:pPr>
      <w:r w:rsidRPr="00485ADC">
        <w:rPr>
          <w:color w:val="auto"/>
          <w:sz w:val="24"/>
          <w:szCs w:val="24"/>
          <w:lang w:val="pt-BR"/>
        </w:rPr>
        <w:lastRenderedPageBreak/>
        <w:t xml:space="preserve">VELHO, L. Conceitos de Ciência e a Política Científica, Tecnológica e de Inovação. </w:t>
      </w:r>
      <w:r w:rsidRPr="00485ADC">
        <w:rPr>
          <w:b/>
          <w:bCs/>
          <w:color w:val="auto"/>
          <w:sz w:val="24"/>
          <w:szCs w:val="24"/>
        </w:rPr>
        <w:t>Sociologias</w:t>
      </w:r>
      <w:r w:rsidRPr="00485ADC">
        <w:rPr>
          <w:color w:val="auto"/>
          <w:sz w:val="24"/>
          <w:szCs w:val="24"/>
        </w:rPr>
        <w:t>, v. 13, n. 26, p. 128-153, 2011.</w:t>
      </w:r>
    </w:p>
    <w:p w14:paraId="51958347" w14:textId="77777777" w:rsidR="002F7E08" w:rsidRPr="00485ADC" w:rsidRDefault="002F7E08" w:rsidP="008A09B2">
      <w:pPr>
        <w:pStyle w:val="Fontes"/>
        <w:tabs>
          <w:tab w:val="left" w:pos="2740"/>
        </w:tabs>
        <w:spacing w:before="120" w:after="120"/>
        <w:rPr>
          <w:color w:val="auto"/>
          <w:sz w:val="24"/>
          <w:szCs w:val="24"/>
        </w:rPr>
      </w:pPr>
    </w:p>
    <w:p w14:paraId="6FDA1441" w14:textId="209FB983" w:rsidR="002F7E08" w:rsidRPr="00485ADC" w:rsidRDefault="002F7E08" w:rsidP="002F7E08">
      <w:pPr>
        <w:pStyle w:val="Fontes"/>
        <w:spacing w:before="120" w:after="120" w:line="240" w:lineRule="auto"/>
        <w:rPr>
          <w:color w:val="auto"/>
          <w:sz w:val="24"/>
          <w:szCs w:val="24"/>
        </w:rPr>
      </w:pPr>
      <w:r w:rsidRPr="00485ADC">
        <w:rPr>
          <w:color w:val="auto"/>
          <w:sz w:val="24"/>
          <w:szCs w:val="24"/>
        </w:rPr>
        <w:t xml:space="preserve">WARD, K. Regime. In: ENCYCLOPÆDIA Britannica. </w:t>
      </w:r>
      <w:r w:rsidRPr="00485ADC">
        <w:rPr>
          <w:color w:val="auto"/>
          <w:sz w:val="24"/>
          <w:szCs w:val="24"/>
          <w:lang w:val="pt-BR"/>
        </w:rPr>
        <w:t xml:space="preserve">Chicago: Encyclopædia Britannica, inc., 2016. Disponível em: https://www.britannica.com/topic/regime. </w:t>
      </w:r>
      <w:r w:rsidRPr="00485ADC">
        <w:rPr>
          <w:color w:val="auto"/>
          <w:sz w:val="24"/>
          <w:szCs w:val="24"/>
        </w:rPr>
        <w:t>Acesso em: 12 de maio 2019.</w:t>
      </w:r>
    </w:p>
    <w:p w14:paraId="1C47FD2C" w14:textId="77777777" w:rsidR="002F7E08" w:rsidRPr="00485ADC" w:rsidRDefault="002F7E08" w:rsidP="008A09B2">
      <w:pPr>
        <w:pStyle w:val="Fontes"/>
        <w:spacing w:before="120" w:after="120"/>
        <w:rPr>
          <w:color w:val="auto"/>
          <w:sz w:val="24"/>
          <w:szCs w:val="24"/>
        </w:rPr>
      </w:pPr>
    </w:p>
    <w:p w14:paraId="10C848B2" w14:textId="77777777" w:rsidR="002F7E08" w:rsidRPr="00863B19" w:rsidRDefault="002F7E08" w:rsidP="002F7E08">
      <w:pPr>
        <w:pStyle w:val="Fontes"/>
        <w:spacing w:before="120" w:after="120" w:line="240" w:lineRule="auto"/>
        <w:rPr>
          <w:color w:val="auto"/>
          <w:sz w:val="24"/>
          <w:szCs w:val="24"/>
          <w:lang w:val="pt-BR"/>
        </w:rPr>
      </w:pPr>
      <w:r w:rsidRPr="00485ADC">
        <w:rPr>
          <w:color w:val="auto"/>
          <w:sz w:val="24"/>
          <w:szCs w:val="24"/>
        </w:rPr>
        <w:t xml:space="preserve">YTURBE C. The History of Science: internal or external? In: RAMIREZ S., COHEN R.S. (Ed.). </w:t>
      </w:r>
      <w:r w:rsidRPr="00485ADC">
        <w:rPr>
          <w:b/>
          <w:bCs/>
          <w:color w:val="auto"/>
          <w:sz w:val="24"/>
          <w:szCs w:val="24"/>
        </w:rPr>
        <w:t>Mexican Studies in the History and Philosophy of Science</w:t>
      </w:r>
      <w:r w:rsidRPr="00485ADC">
        <w:rPr>
          <w:color w:val="auto"/>
          <w:sz w:val="24"/>
          <w:szCs w:val="24"/>
        </w:rPr>
        <w:t xml:space="preserve">. Dordrecht: Springer, 1995. </w:t>
      </w:r>
      <w:r w:rsidRPr="00863B19">
        <w:rPr>
          <w:color w:val="auto"/>
          <w:sz w:val="24"/>
          <w:szCs w:val="24"/>
          <w:lang w:val="pt-BR"/>
        </w:rPr>
        <w:t>(Boston Studies in the Philosophy of Science, v. 172).</w:t>
      </w:r>
    </w:p>
    <w:p w14:paraId="6E99819E" w14:textId="77777777" w:rsidR="002F7E08" w:rsidRDefault="002F7E08" w:rsidP="002F7E08">
      <w:pPr>
        <w:spacing w:after="0" w:line="360" w:lineRule="auto"/>
        <w:jc w:val="both"/>
        <w:rPr>
          <w:rFonts w:ascii="Times New Roman" w:eastAsia="Times New Roman" w:hAnsi="Times New Roman" w:cs="Times New Roman"/>
          <w:b/>
          <w:sz w:val="24"/>
          <w:szCs w:val="24"/>
        </w:rPr>
      </w:pPr>
    </w:p>
    <w:p w14:paraId="7AF58835"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6B7E6ACE"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D1FF3DD"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29257F3"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568465AE"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829FBC8"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041E0C4"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75725B77"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102F7BF0"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3BED4E87"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4F55A5D1"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34DEB685" w14:textId="77777777" w:rsidR="008A09B2" w:rsidRDefault="008A09B2">
      <w:pPr>
        <w:rPr>
          <w:rFonts w:ascii="Times New Roman" w:hAnsi="Times New Roman" w:cs="Times New Roman"/>
          <w:b/>
          <w:caps/>
          <w:sz w:val="24"/>
          <w:szCs w:val="24"/>
        </w:rPr>
      </w:pPr>
      <w:r>
        <w:rPr>
          <w:rFonts w:ascii="Times New Roman" w:hAnsi="Times New Roman" w:cs="Times New Roman"/>
          <w:b/>
          <w:caps/>
          <w:sz w:val="24"/>
          <w:szCs w:val="24"/>
        </w:rPr>
        <w:br w:type="page"/>
      </w:r>
    </w:p>
    <w:p w14:paraId="5F4B1C5C" w14:textId="6F84DF0E" w:rsidR="00B125DC" w:rsidRPr="006D4265" w:rsidRDefault="00B125DC" w:rsidP="006D4265">
      <w:pPr>
        <w:pStyle w:val="Ttulo1"/>
        <w:jc w:val="center"/>
        <w:rPr>
          <w:rFonts w:ascii="Times New Roman" w:eastAsia="Times New Roman" w:hAnsi="Times New Roman" w:cs="Times New Roman"/>
          <w:b/>
          <w:color w:val="auto"/>
          <w:sz w:val="24"/>
          <w:szCs w:val="24"/>
        </w:rPr>
      </w:pPr>
      <w:bookmarkStart w:id="3" w:name="_Toc146826498"/>
      <w:r w:rsidRPr="006D4265">
        <w:rPr>
          <w:rFonts w:ascii="Times New Roman" w:hAnsi="Times New Roman" w:cs="Times New Roman"/>
          <w:b/>
          <w:caps/>
          <w:color w:val="auto"/>
          <w:sz w:val="24"/>
          <w:szCs w:val="24"/>
        </w:rPr>
        <w:lastRenderedPageBreak/>
        <w:t>A formação profissional em arquivos correntes no Brasil</w:t>
      </w:r>
      <w:bookmarkEnd w:id="3"/>
    </w:p>
    <w:p w14:paraId="12AF0299" w14:textId="77777777" w:rsidR="00B125DC" w:rsidRDefault="00B125DC" w:rsidP="00B125DC">
      <w:pPr>
        <w:spacing w:after="0" w:line="360" w:lineRule="auto"/>
        <w:jc w:val="center"/>
        <w:rPr>
          <w:rFonts w:ascii="Times New Roman" w:eastAsia="Times New Roman" w:hAnsi="Times New Roman" w:cs="Times New Roman"/>
          <w:sz w:val="24"/>
          <w:szCs w:val="24"/>
        </w:rPr>
      </w:pPr>
    </w:p>
    <w:p w14:paraId="39634427" w14:textId="77777777" w:rsidR="001A02E1" w:rsidRPr="001A02E1" w:rsidRDefault="001A02E1" w:rsidP="00F04B4D">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b/>
          <w:bCs/>
          <w:color w:val="000000"/>
          <w:kern w:val="0"/>
          <w:sz w:val="24"/>
          <w:szCs w:val="24"/>
          <w:lang w:eastAsia="pt-BR"/>
          <w14:ligatures w14:val="none"/>
        </w:rPr>
        <w:t>Fernanda Bouth Pinto</w:t>
      </w:r>
    </w:p>
    <w:p w14:paraId="303A609D" w14:textId="77777777" w:rsidR="001A02E1" w:rsidRPr="001A02E1" w:rsidRDefault="001A02E1" w:rsidP="00F04B4D">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color w:val="000000"/>
          <w:kern w:val="0"/>
          <w:sz w:val="24"/>
          <w:szCs w:val="24"/>
          <w:lang w:eastAsia="pt-BR"/>
          <w14:ligatures w14:val="none"/>
        </w:rPr>
        <w:t>Fundação Oswaldo Cruz</w:t>
      </w:r>
    </w:p>
    <w:p w14:paraId="4A9935B6" w14:textId="77777777" w:rsidR="001A02E1" w:rsidRPr="001A02E1" w:rsidRDefault="001A02E1" w:rsidP="00F04B4D">
      <w:pPr>
        <w:spacing w:after="0" w:line="360" w:lineRule="auto"/>
        <w:rPr>
          <w:rFonts w:ascii="Times New Roman" w:eastAsia="Times New Roman" w:hAnsi="Times New Roman" w:cs="Times New Roman"/>
          <w:kern w:val="0"/>
          <w:sz w:val="24"/>
          <w:szCs w:val="24"/>
          <w:lang w:eastAsia="pt-BR"/>
          <w14:ligatures w14:val="none"/>
        </w:rPr>
      </w:pPr>
    </w:p>
    <w:p w14:paraId="72AE5650" w14:textId="77777777" w:rsidR="001A02E1" w:rsidRPr="001A02E1" w:rsidRDefault="001A02E1" w:rsidP="00F04B4D">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b/>
          <w:bCs/>
          <w:color w:val="000000"/>
          <w:kern w:val="0"/>
          <w:sz w:val="24"/>
          <w:szCs w:val="24"/>
          <w:lang w:eastAsia="pt-BR"/>
          <w14:ligatures w14:val="none"/>
        </w:rPr>
        <w:t>Clarissa Moreira dos Santos Schmidt </w:t>
      </w:r>
    </w:p>
    <w:p w14:paraId="25323B0B" w14:textId="77777777" w:rsidR="001A02E1" w:rsidRPr="001A02E1" w:rsidRDefault="001A02E1" w:rsidP="00F04B4D">
      <w:pPr>
        <w:spacing w:after="0" w:line="360" w:lineRule="auto"/>
        <w:jc w:val="both"/>
        <w:rPr>
          <w:rFonts w:ascii="Times New Roman" w:eastAsia="Times New Roman" w:hAnsi="Times New Roman" w:cs="Times New Roman"/>
          <w:kern w:val="0"/>
          <w:sz w:val="24"/>
          <w:szCs w:val="24"/>
          <w:lang w:eastAsia="pt-BR"/>
          <w14:ligatures w14:val="none"/>
        </w:rPr>
      </w:pPr>
      <w:r w:rsidRPr="001A02E1">
        <w:rPr>
          <w:rFonts w:ascii="Times New Roman" w:eastAsia="Times New Roman" w:hAnsi="Times New Roman" w:cs="Times New Roman"/>
          <w:color w:val="000000"/>
          <w:kern w:val="0"/>
          <w:sz w:val="24"/>
          <w:szCs w:val="24"/>
          <w:lang w:eastAsia="pt-BR"/>
          <w14:ligatures w14:val="none"/>
        </w:rPr>
        <w:t>Universidade Federal Fluminense</w:t>
      </w:r>
    </w:p>
    <w:p w14:paraId="57F35FA5" w14:textId="77777777" w:rsidR="001A02E1" w:rsidRDefault="001A02E1" w:rsidP="00B125DC">
      <w:pPr>
        <w:spacing w:after="0" w:line="360" w:lineRule="auto"/>
        <w:jc w:val="center"/>
        <w:rPr>
          <w:rFonts w:ascii="Times New Roman" w:eastAsia="Times New Roman" w:hAnsi="Times New Roman" w:cs="Times New Roman"/>
          <w:sz w:val="24"/>
          <w:szCs w:val="24"/>
        </w:rPr>
      </w:pPr>
    </w:p>
    <w:p w14:paraId="0FFFFE09"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INTRODUÇÃO</w:t>
      </w:r>
    </w:p>
    <w:p w14:paraId="6AC146E8" w14:textId="77777777" w:rsidR="00B125DC" w:rsidRDefault="00B125DC" w:rsidP="00B125D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3CA0F7F" w14:textId="77777777" w:rsidR="00B125DC"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3277D">
        <w:rPr>
          <w:rFonts w:ascii="Times New Roman" w:hAnsi="Times New Roman" w:cs="Times New Roman"/>
          <w:color w:val="000000"/>
          <w:sz w:val="24"/>
          <w:szCs w:val="24"/>
        </w:rPr>
        <w:t>O objetivo deste trabalho</w:t>
      </w:r>
      <w:r w:rsidRPr="0073277D">
        <w:rPr>
          <w:rFonts w:ascii="Times New Roman" w:hAnsi="Times New Roman" w:cs="Times New Roman"/>
          <w:color w:val="000000"/>
          <w:sz w:val="24"/>
          <w:szCs w:val="24"/>
          <w:vertAlign w:val="superscript"/>
        </w:rPr>
        <w:footnoteReference w:id="3"/>
      </w:r>
      <w:r w:rsidRPr="0073277D">
        <w:rPr>
          <w:rFonts w:ascii="Times New Roman" w:hAnsi="Times New Roman" w:cs="Times New Roman"/>
          <w:color w:val="000000"/>
          <w:sz w:val="24"/>
          <w:szCs w:val="24"/>
        </w:rPr>
        <w:t xml:space="preserve"> é refletir acerca de cursos de aperfeiçoamento em formação</w:t>
      </w:r>
      <w:r>
        <w:rPr>
          <w:rFonts w:ascii="Times New Roman" w:hAnsi="Times New Roman" w:cs="Times New Roman"/>
          <w:color w:val="000000"/>
          <w:sz w:val="24"/>
          <w:szCs w:val="24"/>
        </w:rPr>
        <w:t xml:space="preserve"> profissional</w:t>
      </w:r>
      <w:r w:rsidRPr="0073277D">
        <w:rPr>
          <w:rFonts w:ascii="Times New Roman" w:hAnsi="Times New Roman" w:cs="Times New Roman"/>
          <w:color w:val="000000"/>
          <w:sz w:val="24"/>
          <w:szCs w:val="24"/>
        </w:rPr>
        <w:t xml:space="preserve"> arquivística em arquivos correntes no Brasil a partir da metodologia difundida por Marilena Leite Paes no contexto dos anos 1970. Desde essa década até o início dos anos 2000, Marilena era atuante na disseminação de conhecimentos em cursos oferecidos pela Associação dos Arquivistas Brasileiros (AAB) e pelo Instituto de Documentação (INDOC) da </w:t>
      </w:r>
      <w:r>
        <w:rPr>
          <w:rFonts w:ascii="Times New Roman" w:hAnsi="Times New Roman" w:cs="Times New Roman"/>
          <w:color w:val="000000"/>
          <w:sz w:val="24"/>
          <w:szCs w:val="24"/>
        </w:rPr>
        <w:t>Fundação Getúlio Vargas (</w:t>
      </w:r>
      <w:r w:rsidRPr="0073277D">
        <w:rPr>
          <w:rFonts w:ascii="Times New Roman" w:hAnsi="Times New Roman" w:cs="Times New Roman"/>
          <w:color w:val="000000"/>
          <w:sz w:val="24"/>
          <w:szCs w:val="24"/>
        </w:rPr>
        <w:t>FGV</w:t>
      </w:r>
      <w:r>
        <w:rPr>
          <w:rFonts w:ascii="Times New Roman" w:hAnsi="Times New Roman" w:cs="Times New Roman"/>
          <w:color w:val="000000"/>
          <w:sz w:val="24"/>
          <w:szCs w:val="24"/>
        </w:rPr>
        <w:t>)</w:t>
      </w:r>
      <w:r w:rsidRPr="0073277D">
        <w:rPr>
          <w:rFonts w:ascii="Times New Roman" w:hAnsi="Times New Roman" w:cs="Times New Roman"/>
          <w:color w:val="000000"/>
          <w:sz w:val="24"/>
          <w:szCs w:val="24"/>
        </w:rPr>
        <w:t xml:space="preserve">. À vista disso, busca-se compreender, no âmbito da história dos arquivos e da Arquivologia brasileira, a maneira pela qual a formação dos profissionais de arquivos foi se constituindo, na tentativa de resolver problemas de gestão de </w:t>
      </w:r>
      <w:r>
        <w:rPr>
          <w:rFonts w:ascii="Times New Roman" w:hAnsi="Times New Roman" w:cs="Times New Roman"/>
          <w:color w:val="000000"/>
          <w:sz w:val="24"/>
          <w:szCs w:val="24"/>
        </w:rPr>
        <w:t>arquivos</w:t>
      </w:r>
      <w:r w:rsidRPr="0073277D">
        <w:rPr>
          <w:rFonts w:ascii="Times New Roman" w:hAnsi="Times New Roman" w:cs="Times New Roman"/>
          <w:color w:val="000000"/>
          <w:sz w:val="24"/>
          <w:szCs w:val="24"/>
        </w:rPr>
        <w:t xml:space="preserve"> correntes demandados tanto por instituições públicas quanto privadas.</w:t>
      </w:r>
    </w:p>
    <w:p w14:paraId="49C12D1D" w14:textId="77777777" w:rsidR="00B125DC" w:rsidRPr="00B825B8"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825B8">
        <w:rPr>
          <w:rFonts w:ascii="Times New Roman" w:hAnsi="Times New Roman" w:cs="Times New Roman"/>
          <w:color w:val="000000"/>
          <w:sz w:val="24"/>
          <w:szCs w:val="24"/>
        </w:rPr>
        <w:t>Neste trabalho, buscamos retratar o histórico da formação profissional em arquivos a partir dos cursos de aperfeiçoamento em formação arquivística no Brasil lecionados pela profissional Marilena Leite Paes</w:t>
      </w:r>
      <w:r w:rsidRPr="00B825B8">
        <w:rPr>
          <w:rFonts w:ascii="Times New Roman" w:hAnsi="Times New Roman" w:cs="Times New Roman"/>
          <w:color w:val="000000"/>
          <w:sz w:val="24"/>
          <w:szCs w:val="24"/>
          <w:vertAlign w:val="superscript"/>
        </w:rPr>
        <w:footnoteReference w:id="4"/>
      </w:r>
      <w:r w:rsidRPr="00B825B8">
        <w:rPr>
          <w:rFonts w:ascii="Times New Roman" w:hAnsi="Times New Roman" w:cs="Times New Roman"/>
          <w:color w:val="000000"/>
          <w:sz w:val="24"/>
          <w:szCs w:val="24"/>
        </w:rPr>
        <w:t xml:space="preserve"> e a maneira pela qual impactaram o campo dos arquivos</w:t>
      </w:r>
      <w:r>
        <w:rPr>
          <w:rFonts w:ascii="Times New Roman" w:hAnsi="Times New Roman" w:cs="Times New Roman"/>
          <w:color w:val="000000"/>
          <w:sz w:val="24"/>
          <w:szCs w:val="24"/>
        </w:rPr>
        <w:t xml:space="preserve"> no país, que estava</w:t>
      </w:r>
      <w:r w:rsidRPr="00B825B8">
        <w:rPr>
          <w:rFonts w:ascii="Times New Roman" w:hAnsi="Times New Roman" w:cs="Times New Roman"/>
          <w:color w:val="000000"/>
          <w:sz w:val="24"/>
          <w:szCs w:val="24"/>
        </w:rPr>
        <w:t xml:space="preserve"> em constituição. A área de atuação de Marilena era a gestão de documentos, </w:t>
      </w:r>
      <w:r>
        <w:rPr>
          <w:rFonts w:ascii="Times New Roman" w:hAnsi="Times New Roman" w:cs="Times New Roman"/>
          <w:color w:val="000000"/>
          <w:sz w:val="24"/>
          <w:szCs w:val="24"/>
        </w:rPr>
        <w:t>o que a levou a ministrar</w:t>
      </w:r>
      <w:r w:rsidRPr="00B825B8">
        <w:rPr>
          <w:rFonts w:ascii="Times New Roman" w:hAnsi="Times New Roman" w:cs="Times New Roman"/>
          <w:color w:val="000000"/>
          <w:sz w:val="24"/>
          <w:szCs w:val="24"/>
        </w:rPr>
        <w:t xml:space="preserve"> cursos nas temáticas de arquivos correntes e classificação de documentos de arquivo, colaborando muito para a formação profissional em Arquivologia, suprindo uma carência de conhecimentos e orientações para empresas privadas e instituições públicas num contexto em que cursos de graduação na área eram incipientes.</w:t>
      </w:r>
    </w:p>
    <w:p w14:paraId="12EC914C" w14:textId="77777777" w:rsidR="00B125DC" w:rsidRPr="00B825B8"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825B8">
        <w:rPr>
          <w:rFonts w:ascii="Times New Roman" w:hAnsi="Times New Roman" w:cs="Times New Roman"/>
          <w:color w:val="000000"/>
          <w:sz w:val="24"/>
          <w:szCs w:val="24"/>
        </w:rPr>
        <w:lastRenderedPageBreak/>
        <w:t xml:space="preserve">A problemática trazida por este trabalho se concentra na tentativa de </w:t>
      </w:r>
      <w:r>
        <w:rPr>
          <w:rFonts w:ascii="Times New Roman" w:hAnsi="Times New Roman" w:cs="Times New Roman"/>
          <w:color w:val="000000"/>
          <w:sz w:val="24"/>
          <w:szCs w:val="24"/>
        </w:rPr>
        <w:t>compreender os esforços em solucionar</w:t>
      </w:r>
      <w:r w:rsidRPr="00B825B8">
        <w:rPr>
          <w:rFonts w:ascii="Times New Roman" w:hAnsi="Times New Roman" w:cs="Times New Roman"/>
          <w:color w:val="000000"/>
          <w:sz w:val="24"/>
          <w:szCs w:val="24"/>
        </w:rPr>
        <w:t xml:space="preserve"> questões colocadas pelos arquivos</w:t>
      </w:r>
      <w:r>
        <w:rPr>
          <w:rFonts w:ascii="Times New Roman" w:hAnsi="Times New Roman" w:cs="Times New Roman"/>
          <w:color w:val="000000"/>
          <w:sz w:val="24"/>
          <w:szCs w:val="24"/>
        </w:rPr>
        <w:t xml:space="preserve"> </w:t>
      </w:r>
      <w:r w:rsidRPr="00B825B8">
        <w:rPr>
          <w:rFonts w:ascii="Times New Roman" w:hAnsi="Times New Roman" w:cs="Times New Roman"/>
          <w:color w:val="000000"/>
          <w:sz w:val="24"/>
          <w:szCs w:val="24"/>
        </w:rPr>
        <w:t>em meados dos anos 1950 e 1960,</w:t>
      </w:r>
      <w:r>
        <w:rPr>
          <w:rFonts w:ascii="Times New Roman" w:hAnsi="Times New Roman" w:cs="Times New Roman"/>
          <w:color w:val="000000"/>
          <w:sz w:val="24"/>
          <w:szCs w:val="24"/>
        </w:rPr>
        <w:t xml:space="preserve"> quais sejam,</w:t>
      </w:r>
      <w:r w:rsidRPr="00B825B8">
        <w:rPr>
          <w:rFonts w:ascii="Times New Roman" w:hAnsi="Times New Roman" w:cs="Times New Roman"/>
          <w:color w:val="000000"/>
          <w:sz w:val="24"/>
          <w:szCs w:val="24"/>
        </w:rPr>
        <w:t xml:space="preserve"> os arquivos correntes, </w:t>
      </w:r>
      <w:r>
        <w:rPr>
          <w:rFonts w:ascii="Times New Roman" w:hAnsi="Times New Roman" w:cs="Times New Roman"/>
          <w:color w:val="000000"/>
          <w:sz w:val="24"/>
          <w:szCs w:val="24"/>
        </w:rPr>
        <w:t xml:space="preserve">até então </w:t>
      </w:r>
      <w:r w:rsidRPr="00B825B8">
        <w:rPr>
          <w:rFonts w:ascii="Times New Roman" w:hAnsi="Times New Roman" w:cs="Times New Roman"/>
          <w:color w:val="000000"/>
          <w:sz w:val="24"/>
          <w:szCs w:val="24"/>
        </w:rPr>
        <w:t>acumulado</w:t>
      </w:r>
      <w:r>
        <w:rPr>
          <w:rFonts w:ascii="Times New Roman" w:hAnsi="Times New Roman" w:cs="Times New Roman"/>
          <w:color w:val="000000"/>
          <w:sz w:val="24"/>
          <w:szCs w:val="24"/>
        </w:rPr>
        <w:t>s</w:t>
      </w:r>
      <w:r w:rsidRPr="00B825B8">
        <w:rPr>
          <w:rFonts w:ascii="Times New Roman" w:hAnsi="Times New Roman" w:cs="Times New Roman"/>
          <w:color w:val="000000"/>
          <w:sz w:val="24"/>
          <w:szCs w:val="24"/>
        </w:rPr>
        <w:t xml:space="preserve"> de papéis administrativos em setores de trabalho</w:t>
      </w:r>
      <w:r>
        <w:rPr>
          <w:rFonts w:ascii="Times New Roman" w:hAnsi="Times New Roman" w:cs="Times New Roman"/>
          <w:color w:val="000000"/>
          <w:sz w:val="24"/>
          <w:szCs w:val="24"/>
        </w:rPr>
        <w:t xml:space="preserve">. </w:t>
      </w:r>
      <w:r w:rsidRPr="00B825B8">
        <w:rPr>
          <w:rFonts w:ascii="Times New Roman" w:hAnsi="Times New Roman" w:cs="Times New Roman"/>
          <w:color w:val="000000"/>
          <w:sz w:val="24"/>
          <w:szCs w:val="24"/>
        </w:rPr>
        <w:t>O problema estava colocado, restava aos profissionais</w:t>
      </w:r>
      <w:r>
        <w:rPr>
          <w:rFonts w:ascii="Times New Roman" w:hAnsi="Times New Roman" w:cs="Times New Roman"/>
          <w:color w:val="000000"/>
          <w:sz w:val="24"/>
          <w:szCs w:val="24"/>
        </w:rPr>
        <w:t xml:space="preserve"> arquivistas</w:t>
      </w:r>
      <w:r w:rsidRPr="00B825B8">
        <w:rPr>
          <w:rFonts w:ascii="Times New Roman" w:hAnsi="Times New Roman" w:cs="Times New Roman"/>
          <w:color w:val="000000"/>
          <w:sz w:val="24"/>
          <w:szCs w:val="24"/>
        </w:rPr>
        <w:t xml:space="preserve"> encontrar respostas para lidar com eles. </w:t>
      </w:r>
    </w:p>
    <w:p w14:paraId="188EC955" w14:textId="77777777" w:rsidR="00B125DC"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Na esteira desta discussão, ressalta-se que, comumente, os arquivistas buscam respostas aos problemas com os arquivos na</w:t>
      </w:r>
      <w:r w:rsidRPr="00B825B8">
        <w:rPr>
          <w:rFonts w:ascii="Times New Roman" w:hAnsi="Times New Roman" w:cs="Times New Roman"/>
          <w:color w:val="000000"/>
          <w:sz w:val="24"/>
          <w:szCs w:val="24"/>
        </w:rPr>
        <w:t xml:space="preserve"> Arquivologia</w:t>
      </w:r>
      <w:r>
        <w:rPr>
          <w:rFonts w:ascii="Times New Roman" w:hAnsi="Times New Roman" w:cs="Times New Roman"/>
          <w:color w:val="000000"/>
          <w:sz w:val="24"/>
          <w:szCs w:val="24"/>
        </w:rPr>
        <w:t>.</w:t>
      </w:r>
      <w:r w:rsidRPr="00B825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Contudo, nas décadas supracitadas,</w:t>
      </w:r>
      <w:r w:rsidRPr="00B825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B825B8">
        <w:rPr>
          <w:rFonts w:ascii="Times New Roman" w:hAnsi="Times New Roman" w:cs="Times New Roman"/>
          <w:color w:val="000000"/>
          <w:sz w:val="24"/>
          <w:szCs w:val="24"/>
        </w:rPr>
        <w:t xml:space="preserve"> Arquivologia</w:t>
      </w:r>
      <w:r>
        <w:rPr>
          <w:rFonts w:ascii="Times New Roman" w:hAnsi="Times New Roman" w:cs="Times New Roman"/>
          <w:color w:val="000000"/>
          <w:sz w:val="24"/>
          <w:szCs w:val="24"/>
        </w:rPr>
        <w:t>, até então</w:t>
      </w:r>
      <w:r w:rsidRPr="00B825B8">
        <w:rPr>
          <w:rFonts w:ascii="Times New Roman" w:hAnsi="Times New Roman" w:cs="Times New Roman"/>
          <w:color w:val="000000"/>
          <w:sz w:val="24"/>
          <w:szCs w:val="24"/>
        </w:rPr>
        <w:t xml:space="preserve"> acostumada a</w:t>
      </w:r>
      <w:r>
        <w:rPr>
          <w:rFonts w:ascii="Times New Roman" w:hAnsi="Times New Roman" w:cs="Times New Roman"/>
          <w:color w:val="000000"/>
          <w:sz w:val="24"/>
          <w:szCs w:val="24"/>
        </w:rPr>
        <w:t xml:space="preserve"> lidar com</w:t>
      </w:r>
      <w:r w:rsidRPr="00B825B8">
        <w:rPr>
          <w:rFonts w:ascii="Times New Roman" w:hAnsi="Times New Roman" w:cs="Times New Roman"/>
          <w:color w:val="000000"/>
          <w:sz w:val="24"/>
          <w:szCs w:val="24"/>
        </w:rPr>
        <w:t xml:space="preserve"> documento</w:t>
      </w:r>
      <w:r>
        <w:rPr>
          <w:rFonts w:ascii="Times New Roman" w:hAnsi="Times New Roman" w:cs="Times New Roman"/>
          <w:color w:val="000000"/>
          <w:sz w:val="24"/>
          <w:szCs w:val="24"/>
        </w:rPr>
        <w:t>s</w:t>
      </w:r>
      <w:r w:rsidRPr="00B825B8">
        <w:rPr>
          <w:rFonts w:ascii="Times New Roman" w:hAnsi="Times New Roman" w:cs="Times New Roman"/>
          <w:color w:val="000000"/>
          <w:sz w:val="24"/>
          <w:szCs w:val="24"/>
        </w:rPr>
        <w:t xml:space="preserve"> histórico</w:t>
      </w:r>
      <w:r>
        <w:rPr>
          <w:rFonts w:ascii="Times New Roman" w:hAnsi="Times New Roman" w:cs="Times New Roman"/>
          <w:color w:val="000000"/>
          <w:sz w:val="24"/>
          <w:szCs w:val="24"/>
        </w:rPr>
        <w:t>s</w:t>
      </w:r>
      <w:r w:rsidRPr="00B825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passou</w:t>
      </w:r>
      <w:r w:rsidRPr="00B825B8">
        <w:rPr>
          <w:rFonts w:ascii="Times New Roman" w:hAnsi="Times New Roman" w:cs="Times New Roman"/>
          <w:color w:val="000000"/>
          <w:sz w:val="24"/>
          <w:szCs w:val="24"/>
        </w:rPr>
        <w:t xml:space="preserve"> a ter que direcionar </w:t>
      </w:r>
      <w:r>
        <w:rPr>
          <w:rFonts w:ascii="Times New Roman" w:hAnsi="Times New Roman" w:cs="Times New Roman"/>
          <w:color w:val="000000"/>
          <w:sz w:val="24"/>
          <w:szCs w:val="24"/>
        </w:rPr>
        <w:t>suas preocupações teóricas e metodológicas</w:t>
      </w:r>
      <w:r w:rsidRPr="00B825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aos arquivos</w:t>
      </w:r>
      <w:r w:rsidRPr="00B825B8">
        <w:rPr>
          <w:rFonts w:ascii="Times New Roman" w:hAnsi="Times New Roman" w:cs="Times New Roman"/>
          <w:color w:val="000000"/>
          <w:sz w:val="24"/>
          <w:szCs w:val="24"/>
        </w:rPr>
        <w:t xml:space="preserve"> corrente</w:t>
      </w:r>
      <w:r>
        <w:rPr>
          <w:rFonts w:ascii="Times New Roman" w:hAnsi="Times New Roman" w:cs="Times New Roman"/>
          <w:color w:val="000000"/>
          <w:sz w:val="24"/>
          <w:szCs w:val="24"/>
        </w:rPr>
        <w:t>s.</w:t>
      </w:r>
      <w:r w:rsidRPr="00B825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Sendo assim, este</w:t>
      </w:r>
      <w:r w:rsidRPr="00B825B8">
        <w:rPr>
          <w:rFonts w:ascii="Times New Roman" w:hAnsi="Times New Roman" w:cs="Times New Roman"/>
          <w:color w:val="000000"/>
          <w:sz w:val="24"/>
          <w:szCs w:val="24"/>
        </w:rPr>
        <w:t xml:space="preserve"> trabalho</w:t>
      </w:r>
      <w:r>
        <w:rPr>
          <w:rFonts w:ascii="Times New Roman" w:hAnsi="Times New Roman" w:cs="Times New Roman"/>
          <w:color w:val="000000"/>
          <w:sz w:val="24"/>
          <w:szCs w:val="24"/>
        </w:rPr>
        <w:t xml:space="preserve"> se</w:t>
      </w:r>
      <w:r w:rsidRPr="00B825B8">
        <w:rPr>
          <w:rFonts w:ascii="Times New Roman" w:hAnsi="Times New Roman" w:cs="Times New Roman"/>
          <w:color w:val="000000"/>
          <w:sz w:val="24"/>
          <w:szCs w:val="24"/>
        </w:rPr>
        <w:t xml:space="preserve"> justifica pela importância </w:t>
      </w:r>
      <w:r>
        <w:rPr>
          <w:rFonts w:ascii="Times New Roman" w:hAnsi="Times New Roman" w:cs="Times New Roman"/>
          <w:color w:val="000000"/>
          <w:sz w:val="24"/>
          <w:szCs w:val="24"/>
        </w:rPr>
        <w:t>em</w:t>
      </w:r>
      <w:r w:rsidRPr="00B825B8">
        <w:rPr>
          <w:rFonts w:ascii="Times New Roman" w:hAnsi="Times New Roman" w:cs="Times New Roman"/>
          <w:color w:val="000000"/>
          <w:sz w:val="24"/>
          <w:szCs w:val="24"/>
        </w:rPr>
        <w:t xml:space="preserve"> retomar a história dos arquivos no Brasil e, nesse sentido, colaborar para o conhecimento da área. </w:t>
      </w:r>
    </w:p>
    <w:p w14:paraId="38CE889D" w14:textId="77777777" w:rsidR="00B125DC" w:rsidRPr="00B825B8"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825B8">
        <w:rPr>
          <w:rFonts w:ascii="Times New Roman" w:hAnsi="Times New Roman" w:cs="Times New Roman"/>
          <w:color w:val="000000"/>
          <w:sz w:val="24"/>
          <w:szCs w:val="24"/>
        </w:rPr>
        <w:t xml:space="preserve">Marilena Leite Paes foi uma das pessoas que olhou para o problema dos arquivos correntes e foi buscar caminhos e entendimentos para organizar as grandes massas documentais acumuladas a partir das relações que possuía com outros profissionais e instituições </w:t>
      </w:r>
      <w:r>
        <w:rPr>
          <w:rFonts w:ascii="Times New Roman" w:hAnsi="Times New Roman" w:cs="Times New Roman"/>
          <w:color w:val="000000"/>
          <w:sz w:val="24"/>
          <w:szCs w:val="24"/>
        </w:rPr>
        <w:t>do campo dos arquivos.</w:t>
      </w:r>
      <w:r w:rsidRPr="00B825B8">
        <w:rPr>
          <w:rFonts w:ascii="Times New Roman" w:hAnsi="Times New Roman" w:cs="Times New Roman"/>
          <w:color w:val="000000"/>
          <w:sz w:val="24"/>
          <w:szCs w:val="24"/>
        </w:rPr>
        <w:t xml:space="preserve"> Vale salientar que a metodologia de organização de arquivos e a classificação de documentos por assuntos difundida por Marilena desde os anos 1970 ainda permanece até os dias de hoje.</w:t>
      </w:r>
    </w:p>
    <w:p w14:paraId="665BB47E" w14:textId="77777777" w:rsidR="00B125DC" w:rsidRPr="00B825B8"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Paes</w:t>
      </w:r>
      <w:r w:rsidRPr="00B825B8">
        <w:rPr>
          <w:rFonts w:ascii="Times New Roman" w:hAnsi="Times New Roman" w:cs="Times New Roman"/>
          <w:color w:val="000000"/>
          <w:sz w:val="24"/>
          <w:szCs w:val="24"/>
        </w:rPr>
        <w:t xml:space="preserve"> iniciou sua carreira na Fundação Getúlio Vargas (FGV) em 1954. Formada em Biblioteconomia e Documentação na Universidade Santa Úrsula (1968/1970) e provisionada arquivista (1979), fez parte do grupo fundador da Associação dos Arquivistas Brasileiros (AAB) e trabalhou no Conselho Nacional de Arquivos (CONARQ), além de lecionar em cursos e prestar consultorias na área da gestão de documentos.</w:t>
      </w:r>
    </w:p>
    <w:p w14:paraId="67282E39" w14:textId="77777777" w:rsidR="00B125DC" w:rsidRPr="00B825B8"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825B8">
        <w:rPr>
          <w:rFonts w:ascii="Times New Roman" w:hAnsi="Times New Roman" w:cs="Times New Roman"/>
          <w:color w:val="000000"/>
          <w:sz w:val="24"/>
          <w:szCs w:val="24"/>
        </w:rPr>
        <w:t xml:space="preserve">Na FGV, enquanto organizava os documentos, começou a registrar os procedimentos e foi escrevendo um manual para seu uso. Em 10 de julho de 1961, pelo Ato nº 433, o Superintendente Geral da Fundação, Sr. Alim Pedro, designou Marilena Leite Paes </w:t>
      </w:r>
      <w:r>
        <w:rPr>
          <w:rFonts w:ascii="Times New Roman" w:hAnsi="Times New Roman" w:cs="Times New Roman"/>
          <w:color w:val="000000"/>
          <w:sz w:val="24"/>
          <w:szCs w:val="24"/>
        </w:rPr>
        <w:t>como</w:t>
      </w:r>
      <w:r w:rsidRPr="00B825B8">
        <w:rPr>
          <w:rFonts w:ascii="Times New Roman" w:hAnsi="Times New Roman" w:cs="Times New Roman"/>
          <w:color w:val="000000"/>
          <w:sz w:val="24"/>
          <w:szCs w:val="24"/>
        </w:rPr>
        <w:t xml:space="preserve"> responsável pela Coordenação Geral dos Arquivos da instituição, com seus núcleos de arquivo junto aos órgãos. Esta nomeação firmou o reconhecimento do trabalho que vinha sendo desenvolvido por Marilena há algum tempo. </w:t>
      </w:r>
    </w:p>
    <w:p w14:paraId="0B82227E" w14:textId="77777777" w:rsidR="00B125DC" w:rsidRDefault="00B125DC" w:rsidP="00B125DC">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Cumpre</w:t>
      </w:r>
      <w:r w:rsidRPr="00B825B8">
        <w:rPr>
          <w:rFonts w:ascii="Times New Roman" w:hAnsi="Times New Roman" w:cs="Times New Roman"/>
          <w:color w:val="000000"/>
          <w:sz w:val="24"/>
          <w:szCs w:val="24"/>
        </w:rPr>
        <w:t xml:space="preserve"> destacar sua atuação </w:t>
      </w:r>
      <w:r>
        <w:rPr>
          <w:rFonts w:ascii="Times New Roman" w:hAnsi="Times New Roman" w:cs="Times New Roman"/>
          <w:color w:val="000000"/>
          <w:sz w:val="24"/>
          <w:szCs w:val="24"/>
        </w:rPr>
        <w:t xml:space="preserve">enquanto </w:t>
      </w:r>
      <w:r w:rsidRPr="00B825B8">
        <w:rPr>
          <w:rFonts w:ascii="Times New Roman" w:hAnsi="Times New Roman" w:cs="Times New Roman"/>
          <w:color w:val="000000"/>
          <w:sz w:val="24"/>
          <w:szCs w:val="24"/>
        </w:rPr>
        <w:t xml:space="preserve">docente </w:t>
      </w:r>
      <w:r>
        <w:rPr>
          <w:rFonts w:ascii="Times New Roman" w:hAnsi="Times New Roman" w:cs="Times New Roman"/>
          <w:color w:val="000000"/>
          <w:sz w:val="24"/>
          <w:szCs w:val="24"/>
        </w:rPr>
        <w:t>do</w:t>
      </w:r>
      <w:r w:rsidRPr="00B825B8">
        <w:rPr>
          <w:rFonts w:ascii="Times New Roman" w:hAnsi="Times New Roman" w:cs="Times New Roman"/>
          <w:color w:val="000000"/>
          <w:sz w:val="24"/>
          <w:szCs w:val="24"/>
        </w:rPr>
        <w:t xml:space="preserve"> Curso de Aperfeiçoamento Técnico e Didático para Professores de Arquivologia (Parecer nº 336/82 do Conselho Federal de Educação), como professora de ensino superior do Curso de Biblioteconomia e Documentação da Universidade Santa Úrsula, em 1972, e professora de Teoria Arquivística na Pós-Graduação da Universidade Federal Fluminense, em 1983. Sua grande contribuição na formação de </w:t>
      </w:r>
      <w:r w:rsidRPr="00B825B8">
        <w:rPr>
          <w:rFonts w:ascii="Times New Roman" w:hAnsi="Times New Roman" w:cs="Times New Roman"/>
          <w:color w:val="000000"/>
          <w:sz w:val="24"/>
          <w:szCs w:val="24"/>
        </w:rPr>
        <w:lastRenderedPageBreak/>
        <w:t>profissionais concentrou-se nos cursos de aperfeiçoamento oferecidos pela AAB e pelo INDOC (FGV) ao longo dos anos 1970 até os anos 2000.</w:t>
      </w:r>
      <w:r>
        <w:rPr>
          <w:rFonts w:ascii="Times New Roman" w:hAnsi="Times New Roman" w:cs="Times New Roman"/>
          <w:color w:val="000000"/>
          <w:sz w:val="24"/>
          <w:szCs w:val="24"/>
        </w:rPr>
        <w:t xml:space="preserve"> Vejamos como se desenvolveu essa trajetória.</w:t>
      </w:r>
    </w:p>
    <w:p w14:paraId="4FB687E9" w14:textId="77777777" w:rsidR="008A09B2" w:rsidRDefault="008A09B2" w:rsidP="00B125DC">
      <w:pPr>
        <w:spacing w:after="0" w:line="360" w:lineRule="auto"/>
        <w:jc w:val="both"/>
        <w:rPr>
          <w:rFonts w:ascii="Times New Roman" w:eastAsia="Times New Roman" w:hAnsi="Times New Roman" w:cs="Times New Roman"/>
          <w:sz w:val="24"/>
          <w:szCs w:val="24"/>
        </w:rPr>
      </w:pPr>
    </w:p>
    <w:p w14:paraId="037255D5" w14:textId="2F9A5B8A"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METODOLOGIA</w:t>
      </w:r>
    </w:p>
    <w:p w14:paraId="0F00BDB6" w14:textId="77777777" w:rsidR="008A09B2" w:rsidRDefault="008A09B2" w:rsidP="00B125DC">
      <w:pPr>
        <w:spacing w:after="0" w:line="360" w:lineRule="auto"/>
        <w:ind w:firstLine="720"/>
        <w:jc w:val="both"/>
        <w:rPr>
          <w:rFonts w:ascii="Times New Roman" w:eastAsia="Times New Roman" w:hAnsi="Times New Roman" w:cs="Times New Roman"/>
          <w:sz w:val="24"/>
          <w:szCs w:val="24"/>
        </w:rPr>
      </w:pPr>
    </w:p>
    <w:p w14:paraId="526CF04A" w14:textId="2524C75B" w:rsidR="00B125DC" w:rsidRPr="00504B74" w:rsidRDefault="00B125DC" w:rsidP="00B125DC">
      <w:pPr>
        <w:spacing w:after="0" w:line="360" w:lineRule="auto"/>
        <w:ind w:firstLine="720"/>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Tendo como metodologia de pesquisa uma investigação qualitativa, com a análise de fontes primárias e entrevistas, o trabalho é um estudo de análise documental baseado no levantamento bibliográfico em teses, dissertações, artigos de periódicos e livros que contemplam os marcos teóricos analisados, e a coleta de dados a partir de entrevistas e fontes documentais. A busca no fundo da AAB custodiado pelo Arquivo Nacional foi fundamental para conhecermos todos os cursos lecionados por Marilena Leite Paes e sua temática a respeito de arquivos correntes e classificação de documentos.</w:t>
      </w:r>
    </w:p>
    <w:p w14:paraId="3666BD0B" w14:textId="77777777" w:rsidR="00B125DC" w:rsidRDefault="00B125DC" w:rsidP="00B125DC">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E6F156E"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DESENVOLVIMENTO</w:t>
      </w:r>
    </w:p>
    <w:p w14:paraId="60AE7937" w14:textId="77777777" w:rsidR="00B125DC" w:rsidRDefault="00B125DC" w:rsidP="00B125DC">
      <w:pPr>
        <w:spacing w:after="0" w:line="360" w:lineRule="auto"/>
        <w:jc w:val="both"/>
        <w:rPr>
          <w:rFonts w:ascii="Times New Roman" w:eastAsia="Times New Roman" w:hAnsi="Times New Roman" w:cs="Times New Roman"/>
          <w:sz w:val="24"/>
          <w:szCs w:val="24"/>
        </w:rPr>
      </w:pPr>
    </w:p>
    <w:p w14:paraId="206D1344" w14:textId="77777777" w:rsidR="00B125DC" w:rsidRPr="00504B74" w:rsidRDefault="00B125DC" w:rsidP="00B125DC">
      <w:pPr>
        <w:spacing w:after="0" w:line="360" w:lineRule="auto"/>
        <w:ind w:firstLine="720"/>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No Brasil, até meados do século XX, não havia a preocupação com os documentos correntes. O foco do tratamento dos arquivos eram os documentos históricos, de valor permanente, produzidos em muito menor quantidade do que os documentos administrativos que surgiram com o boom do pós-Segunda Guerra Mundial</w:t>
      </w:r>
      <w:r>
        <w:rPr>
          <w:rFonts w:ascii="Times New Roman" w:eastAsia="Times New Roman" w:hAnsi="Times New Roman" w:cs="Times New Roman"/>
          <w:sz w:val="24"/>
          <w:szCs w:val="24"/>
        </w:rPr>
        <w:t xml:space="preserve"> (1939-1945)</w:t>
      </w:r>
      <w:r w:rsidRPr="00504B74">
        <w:rPr>
          <w:rFonts w:ascii="Times New Roman" w:eastAsia="Times New Roman" w:hAnsi="Times New Roman" w:cs="Times New Roman"/>
          <w:sz w:val="24"/>
          <w:szCs w:val="24"/>
        </w:rPr>
        <w:t>. Duas instituições brasileiras se dividiam em relação ao tratamento de documentos nas suas diferentes fases: o Departamento Administrativo do Serviço Público (DASP), com a responsabilidade de pensar a administração de arquivos correntes e o Arquivo Nacional, instituição que tinha como incumbência a guarda e preservação de documentos históricos.</w:t>
      </w:r>
    </w:p>
    <w:p w14:paraId="1388DAD8"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Muitas vezes sem bibliografia disponível sobre os documentos correntes, Marilena</w:t>
      </w:r>
      <w:r>
        <w:rPr>
          <w:rFonts w:ascii="Times New Roman" w:hAnsi="Times New Roman" w:cs="Times New Roman"/>
          <w:sz w:val="24"/>
          <w:szCs w:val="24"/>
        </w:rPr>
        <w:t xml:space="preserve"> Leite Paes</w:t>
      </w:r>
      <w:r w:rsidRPr="00504B74">
        <w:rPr>
          <w:rFonts w:ascii="Times New Roman" w:hAnsi="Times New Roman" w:cs="Times New Roman"/>
          <w:sz w:val="24"/>
          <w:szCs w:val="24"/>
        </w:rPr>
        <w:t xml:space="preserve"> buscou saída em literaturas trazidas por profissionais do DASP, sobretudo com os que foram ao exterior, Estados Unidos principalmente, e voltaram </w:t>
      </w:r>
      <w:r>
        <w:rPr>
          <w:rFonts w:ascii="Times New Roman" w:hAnsi="Times New Roman" w:cs="Times New Roman"/>
          <w:sz w:val="24"/>
          <w:szCs w:val="24"/>
        </w:rPr>
        <w:t>com</w:t>
      </w:r>
      <w:r w:rsidRPr="00504B74">
        <w:rPr>
          <w:rFonts w:ascii="Times New Roman" w:hAnsi="Times New Roman" w:cs="Times New Roman"/>
          <w:sz w:val="24"/>
          <w:szCs w:val="24"/>
        </w:rPr>
        <w:t xml:space="preserve"> cursos realizados por lá. Acredita-se que, para suprir esta escassez na área dos arquivos, </w:t>
      </w:r>
      <w:r>
        <w:rPr>
          <w:rFonts w:ascii="Times New Roman" w:hAnsi="Times New Roman" w:cs="Times New Roman"/>
          <w:sz w:val="24"/>
          <w:szCs w:val="24"/>
        </w:rPr>
        <w:t>Paes</w:t>
      </w:r>
      <w:r w:rsidRPr="00504B74">
        <w:rPr>
          <w:rFonts w:ascii="Times New Roman" w:hAnsi="Times New Roman" w:cs="Times New Roman"/>
          <w:sz w:val="24"/>
          <w:szCs w:val="24"/>
        </w:rPr>
        <w:t xml:space="preserve"> recorreu à livros e manuais da Biblioteconomia que tratavam da organização de </w:t>
      </w:r>
      <w:r>
        <w:rPr>
          <w:rFonts w:ascii="Times New Roman" w:hAnsi="Times New Roman" w:cs="Times New Roman"/>
          <w:sz w:val="24"/>
          <w:szCs w:val="24"/>
        </w:rPr>
        <w:t>documentos</w:t>
      </w:r>
      <w:r w:rsidRPr="00504B74">
        <w:rPr>
          <w:rFonts w:ascii="Times New Roman" w:hAnsi="Times New Roman" w:cs="Times New Roman"/>
          <w:sz w:val="24"/>
          <w:szCs w:val="24"/>
        </w:rPr>
        <w:t xml:space="preserve">, como percebemos através da bibliografia utilizada em suas publicações. Com referências norte-americanas, alguns manuais que buscavam esclarecer as técnicas de arquivo e as experiências práticas com o fazer no dia a dia, Marilena buscou cursos e começou a construir um caminho importante na área de arquivos, deixando o registro de sua prática em um manual que se tornaria seu futuro livro: </w:t>
      </w:r>
      <w:r w:rsidRPr="00504B74">
        <w:rPr>
          <w:rFonts w:ascii="Times New Roman" w:hAnsi="Times New Roman" w:cs="Times New Roman"/>
          <w:b/>
          <w:bCs/>
          <w:sz w:val="24"/>
          <w:szCs w:val="24"/>
        </w:rPr>
        <w:t>Arquivo: teoria e prática.</w:t>
      </w:r>
    </w:p>
    <w:p w14:paraId="04403A5C"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lastRenderedPageBreak/>
        <w:t>Em relação à difusão das suas ideias, observamos, lendo a apresentação deste livro,</w:t>
      </w:r>
      <w:r>
        <w:rPr>
          <w:rFonts w:ascii="Times New Roman" w:hAnsi="Times New Roman" w:cs="Times New Roman"/>
          <w:sz w:val="24"/>
          <w:szCs w:val="24"/>
        </w:rPr>
        <w:t xml:space="preserve"> </w:t>
      </w:r>
      <w:r w:rsidRPr="00504B74">
        <w:rPr>
          <w:rFonts w:ascii="Times New Roman" w:hAnsi="Times New Roman" w:cs="Times New Roman"/>
          <w:sz w:val="24"/>
          <w:szCs w:val="24"/>
        </w:rPr>
        <w:t xml:space="preserve">que a necessidade da área em obter conhecimento sistematizado a levou a elaborar o trabalho </w:t>
      </w:r>
      <w:r w:rsidRPr="00504B74">
        <w:rPr>
          <w:rFonts w:ascii="Times New Roman" w:hAnsi="Times New Roman" w:cs="Times New Roman"/>
          <w:b/>
          <w:sz w:val="24"/>
          <w:szCs w:val="24"/>
        </w:rPr>
        <w:t>“O papel da arquivística na documentação”</w:t>
      </w:r>
      <w:r w:rsidRPr="00504B74">
        <w:rPr>
          <w:rFonts w:ascii="Times New Roman" w:hAnsi="Times New Roman" w:cs="Times New Roman"/>
          <w:sz w:val="24"/>
          <w:szCs w:val="24"/>
        </w:rPr>
        <w:t xml:space="preserve">, em 1969, editado em forma de apostila impressa pelo Instituto de Documentação (INDOC) da FGV e utilizado pelos alunos em seus cursos. É com esta apostila que a difusão de suas ideias começa a se materializar. À época, o foco principal era a organização dos arquivos correntes com o objetivo de “desafogar as gavetas do produtor”, com vistas à recuperação dos documentos pelas instituições. </w:t>
      </w:r>
    </w:p>
    <w:p w14:paraId="2F0B7D24" w14:textId="77777777" w:rsidR="00B125DC" w:rsidRPr="00504B74" w:rsidRDefault="00B125DC" w:rsidP="00B125DC">
      <w:pPr>
        <w:spacing w:after="0" w:line="360" w:lineRule="auto"/>
        <w:ind w:firstLine="720"/>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A partir de uma leitura cuidadosa do Manual elaborado por Marilena em 1972 – </w:t>
      </w:r>
      <w:r w:rsidRPr="00504B74">
        <w:rPr>
          <w:rFonts w:ascii="Times New Roman" w:eastAsia="Times New Roman" w:hAnsi="Times New Roman" w:cs="Times New Roman"/>
          <w:b/>
          <w:bCs/>
          <w:sz w:val="24"/>
          <w:szCs w:val="24"/>
        </w:rPr>
        <w:t xml:space="preserve">Teoria e prática de arquivo, </w:t>
      </w:r>
      <w:r w:rsidRPr="00504B74">
        <w:rPr>
          <w:rFonts w:ascii="Times New Roman" w:eastAsia="Times New Roman" w:hAnsi="Times New Roman" w:cs="Times New Roman"/>
          <w:sz w:val="24"/>
          <w:szCs w:val="24"/>
        </w:rPr>
        <w:t xml:space="preserve">do texto “O que é o sistema de arquivos da FGV” de 1975, do Manual de Arquivo da FGV de 1977 (INDOC), e as outras edições de seu livro </w:t>
      </w:r>
      <w:r w:rsidRPr="00504B74">
        <w:rPr>
          <w:rFonts w:ascii="Times New Roman" w:eastAsia="Times New Roman" w:hAnsi="Times New Roman" w:cs="Times New Roman"/>
          <w:b/>
          <w:bCs/>
          <w:sz w:val="24"/>
          <w:szCs w:val="24"/>
        </w:rPr>
        <w:t>Arquivo: teoria e prática</w:t>
      </w:r>
      <w:r w:rsidRPr="00504B74">
        <w:rPr>
          <w:rFonts w:ascii="Times New Roman" w:eastAsia="Times New Roman" w:hAnsi="Times New Roman" w:cs="Times New Roman"/>
          <w:sz w:val="24"/>
          <w:szCs w:val="24"/>
          <w:vertAlign w:val="superscript"/>
          <w:lang w:val="es-PY"/>
        </w:rPr>
        <w:footnoteReference w:id="5"/>
      </w:r>
      <w:r w:rsidRPr="00504B74">
        <w:rPr>
          <w:rFonts w:ascii="Times New Roman" w:eastAsia="Times New Roman" w:hAnsi="Times New Roman" w:cs="Times New Roman"/>
          <w:sz w:val="24"/>
          <w:szCs w:val="24"/>
        </w:rPr>
        <w:t>, podemos chegar a algumas considerações a respeito de seu pensamento sobre documentos correntes, da diferença entre arquivo ativo e inativo no que se refere à conceituação e ao modelo de classificação proposto por ela, da diferença de tratamento de documentos correntes e permanentes, assim como podemos identificar as leituras que Marilena fazia, presentes em suas referências bibliográficas.</w:t>
      </w:r>
    </w:p>
    <w:p w14:paraId="66CC9DE0"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O texto da apresentação do Manual de arquivo da FGV (1977) registra a importância da documentação administrativa a partir da evolução das sociedades, que ao gerar um aumento do valor atribuído à informação, denotaram aos arquivos notável reconhecimento dentro dos setores administrativos. Na nota prévia de seu manual de 1972, </w:t>
      </w:r>
      <w:r>
        <w:rPr>
          <w:rFonts w:ascii="Times New Roman" w:hAnsi="Times New Roman" w:cs="Times New Roman"/>
          <w:sz w:val="24"/>
          <w:szCs w:val="24"/>
        </w:rPr>
        <w:t>Paes</w:t>
      </w:r>
      <w:r w:rsidRPr="00504B74">
        <w:rPr>
          <w:rFonts w:ascii="Times New Roman" w:hAnsi="Times New Roman" w:cs="Times New Roman"/>
          <w:sz w:val="24"/>
          <w:szCs w:val="24"/>
        </w:rPr>
        <w:t xml:space="preserve"> registra que seu objetivo é suprir a falta de publicação sobre arquivos institucionais, sendo este trabalho fruto de conhecimentos de diversas fontes. </w:t>
      </w:r>
    </w:p>
    <w:p w14:paraId="52D1855F"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Marilena considerava que o tratamento dos documentos correntes deveria seguir os métodos de arquivamento, a ordenação por critérios alfabéticos, numéricos, geográficos, entre outros, sem levar em conta que o documento de arquivo é um documento único independentemente da idade em que se encontra no ciclo de vida documental. Nessa linha de pensamento, para Marilena haveria uma mudança no tratamento dos documentos quando estes chegassem à fase permanente, ou seja, deveriam ser organizados e classificados de acordo com os princípios de respeito aos fundos e proveniência. </w:t>
      </w:r>
    </w:p>
    <w:p w14:paraId="4AF67609"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Quanto aos arquivos correntes, é mais frequente a autora falar em arquivo ativo, vivo ou de movimento, que seriam “onde são guardados os documentos de uso frequente e aqueles que ainda estão em fase de conclusão, isto é, em que o ato administrativo ainda não terminou” </w:t>
      </w:r>
      <w:r w:rsidRPr="00504B74">
        <w:rPr>
          <w:rFonts w:ascii="Times New Roman" w:hAnsi="Times New Roman" w:cs="Times New Roman"/>
          <w:sz w:val="24"/>
          <w:szCs w:val="24"/>
        </w:rPr>
        <w:lastRenderedPageBreak/>
        <w:t>(PAES, 1972, p. 62). Outra colocação curiosa em seu manual é a descrição de arquivo inativo: “onde são guardados os documentos de menor frequência de uso” e de arquivo morto, permanente, de custódia ou geral: “onde são guardados os documentos cuja frequência de uso é quase nula ou muito esporádica”, além do arquivo histórico: “onde são guardados os documentos aos quais foi atribuído valor histórico” (PAES, 1972, p. 62-63). Nas edições seguintes de seu livro, a autora já não considera os conceitos de arquivo inativo, nem de arquivo morto, mas mantém os termos arquivo corrente, arquivo intermediário e arquivo permanente, o que demonstra um repensar sobre a área e a experiência prática.</w:t>
      </w:r>
    </w:p>
    <w:p w14:paraId="6C1B2004"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O artigo de Marilena, “Arquivos correntes, o calcanhar de Aquiles da Arquivologia”, de 1987, é praticamente uma denúncia ao estado precário em que se encontravam a maioria dos arquivos correntes no país. No texto, a autora afirma que, dada a incumbência de prestar atendimento de informações ao cidadão, os arquivos devem estar minimamente organizados para atenderem tal demanda. Ela reflete, ainda, que a supervalorização do arquivo permanente por quem tem a responsabilidade de estabelecer políticas arquivísticas, em detrimento do arquivo corrente, é fruto do desconhecimento das funções dos arquivos:</w:t>
      </w:r>
    </w:p>
    <w:p w14:paraId="67A8371B" w14:textId="77777777" w:rsidR="00B125DC" w:rsidRPr="00504B74" w:rsidRDefault="00B125DC" w:rsidP="00B125DC">
      <w:pPr>
        <w:spacing w:after="0" w:line="240" w:lineRule="auto"/>
        <w:ind w:left="2268"/>
        <w:jc w:val="both"/>
        <w:rPr>
          <w:rFonts w:ascii="Arial" w:hAnsi="Arial" w:cs="Arial"/>
          <w:sz w:val="24"/>
          <w:szCs w:val="24"/>
        </w:rPr>
      </w:pPr>
    </w:p>
    <w:p w14:paraId="3B56F82D" w14:textId="08FD517E" w:rsidR="00B125DC" w:rsidRPr="00504B74" w:rsidRDefault="00B125DC" w:rsidP="00B125DC">
      <w:pPr>
        <w:spacing w:after="0" w:line="240" w:lineRule="auto"/>
        <w:ind w:left="2268"/>
        <w:jc w:val="both"/>
        <w:rPr>
          <w:rFonts w:ascii="Times New Roman" w:hAnsi="Times New Roman" w:cs="Times New Roman"/>
        </w:rPr>
      </w:pPr>
      <w:r w:rsidRPr="00504B74">
        <w:rPr>
          <w:rFonts w:ascii="Times New Roman" w:hAnsi="Times New Roman" w:cs="Times New Roman"/>
        </w:rPr>
        <w:t>No cumprimento de suas funções, os arquivos correntes, constituídos de documentos em curso ou frequentemente consultados, quase sempre respondem pelas atividades de protocolo, que incluem o recebimento, o registro, a distribuição, a movimentação e, algumas vezes, a expedição de correspondência e documentos em geral (</w:t>
      </w:r>
      <w:r w:rsidR="00E204C9" w:rsidRPr="00504B74">
        <w:rPr>
          <w:rFonts w:ascii="Times New Roman" w:hAnsi="Times New Roman" w:cs="Times New Roman"/>
        </w:rPr>
        <w:t>Paes</w:t>
      </w:r>
      <w:r w:rsidRPr="00504B74">
        <w:rPr>
          <w:rFonts w:ascii="Times New Roman" w:hAnsi="Times New Roman" w:cs="Times New Roman"/>
        </w:rPr>
        <w:t>, 1987, p. 19).</w:t>
      </w:r>
    </w:p>
    <w:p w14:paraId="127BA95F" w14:textId="77777777" w:rsidR="00B125DC" w:rsidRPr="00504B74" w:rsidRDefault="00B125DC" w:rsidP="00B125DC">
      <w:pPr>
        <w:spacing w:after="0" w:line="240" w:lineRule="auto"/>
        <w:ind w:left="2268"/>
        <w:jc w:val="both"/>
        <w:rPr>
          <w:rFonts w:ascii="Arial" w:hAnsi="Arial" w:cs="Arial"/>
          <w:sz w:val="24"/>
          <w:szCs w:val="24"/>
        </w:rPr>
      </w:pPr>
    </w:p>
    <w:p w14:paraId="2D1D5EE1" w14:textId="77777777" w:rsidR="00B125DC" w:rsidRPr="002B35DC"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Nesse sentido, pode-se apreender o quanto as atividades no arquivo corrente são fundamentais para o atendimento de demandas tanto do produtor quanto do cidadão.</w:t>
      </w:r>
      <w:r>
        <w:rPr>
          <w:rFonts w:ascii="Times New Roman" w:hAnsi="Times New Roman" w:cs="Times New Roman"/>
          <w:sz w:val="24"/>
          <w:szCs w:val="24"/>
        </w:rPr>
        <w:t xml:space="preserve"> Ao</w:t>
      </w:r>
      <w:r w:rsidRPr="002B35DC">
        <w:rPr>
          <w:rFonts w:ascii="Times New Roman" w:hAnsi="Times New Roman" w:cs="Times New Roman"/>
          <w:sz w:val="24"/>
          <w:szCs w:val="24"/>
        </w:rPr>
        <w:t xml:space="preserve"> considera</w:t>
      </w:r>
      <w:r>
        <w:rPr>
          <w:rFonts w:ascii="Times New Roman" w:hAnsi="Times New Roman" w:cs="Times New Roman"/>
          <w:sz w:val="24"/>
          <w:szCs w:val="24"/>
        </w:rPr>
        <w:t>r</w:t>
      </w:r>
      <w:r w:rsidRPr="002B35DC">
        <w:rPr>
          <w:rFonts w:ascii="Times New Roman" w:hAnsi="Times New Roman" w:cs="Times New Roman"/>
          <w:sz w:val="24"/>
          <w:szCs w:val="24"/>
        </w:rPr>
        <w:t xml:space="preserve"> a classificação de documentos correntes como métodos de arquivamento</w:t>
      </w:r>
      <w:r>
        <w:rPr>
          <w:rFonts w:ascii="Times New Roman" w:hAnsi="Times New Roman" w:cs="Times New Roman"/>
          <w:sz w:val="24"/>
          <w:szCs w:val="24"/>
        </w:rPr>
        <w:t>, Marilena destaca que</w:t>
      </w:r>
      <w:r w:rsidRPr="002B35DC">
        <w:rPr>
          <w:rFonts w:ascii="Times New Roman" w:hAnsi="Times New Roman" w:cs="Times New Roman"/>
          <w:sz w:val="24"/>
          <w:szCs w:val="24"/>
        </w:rPr>
        <w:t xml:space="preserve"> </w:t>
      </w:r>
    </w:p>
    <w:p w14:paraId="1FACAA17" w14:textId="1F3D4686" w:rsidR="00B125DC" w:rsidRPr="00674250" w:rsidRDefault="00B125DC" w:rsidP="00674250">
      <w:pPr>
        <w:pStyle w:val="Citao"/>
        <w:spacing w:before="0" w:after="0" w:line="240" w:lineRule="auto"/>
        <w:ind w:left="2268" w:right="0"/>
        <w:jc w:val="both"/>
        <w:rPr>
          <w:rFonts w:ascii="Times New Roman" w:hAnsi="Times New Roman" w:cs="Times New Roman"/>
          <w:i w:val="0"/>
          <w:sz w:val="20"/>
          <w:szCs w:val="20"/>
        </w:rPr>
      </w:pPr>
      <w:r w:rsidRPr="00674250">
        <w:rPr>
          <w:rFonts w:ascii="Times New Roman" w:hAnsi="Times New Roman" w:cs="Times New Roman"/>
          <w:i w:val="0"/>
          <w:color w:val="auto"/>
          <w:sz w:val="20"/>
          <w:szCs w:val="20"/>
        </w:rPr>
        <w:t>A tarefa de classificar documentos para um arquivo exige do classificador conhecimentos não só da administração a que serve, como da natureza dos documentos a serem classificados. Cada ramo da atividade exige um método diferente, adequado à finalidade da agência criadora. Daí o problema difícil, quando se quer organizar um arquivo, da escolha de um método ideal de classificação para que a finalidade precípua do arquivo, que é o acesso aos documentos desejados, seja plenamente atendida (</w:t>
      </w:r>
      <w:r w:rsidR="00E204C9" w:rsidRPr="00674250">
        <w:rPr>
          <w:rFonts w:ascii="Times New Roman" w:hAnsi="Times New Roman" w:cs="Times New Roman"/>
          <w:i w:val="0"/>
          <w:color w:val="auto"/>
          <w:sz w:val="20"/>
          <w:szCs w:val="20"/>
        </w:rPr>
        <w:t>Paes</w:t>
      </w:r>
      <w:r w:rsidRPr="00674250">
        <w:rPr>
          <w:rFonts w:ascii="Times New Roman" w:hAnsi="Times New Roman" w:cs="Times New Roman"/>
          <w:i w:val="0"/>
          <w:color w:val="auto"/>
          <w:sz w:val="20"/>
          <w:szCs w:val="20"/>
        </w:rPr>
        <w:t>, 1972, p. 26)</w:t>
      </w:r>
      <w:r w:rsidR="00E204C9" w:rsidRPr="00674250">
        <w:rPr>
          <w:rFonts w:ascii="Times New Roman" w:hAnsi="Times New Roman" w:cs="Times New Roman"/>
          <w:i w:val="0"/>
          <w:color w:val="auto"/>
          <w:sz w:val="20"/>
          <w:szCs w:val="20"/>
        </w:rPr>
        <w:t>.</w:t>
      </w:r>
    </w:p>
    <w:p w14:paraId="3E05E74F" w14:textId="77777777" w:rsidR="00B125DC" w:rsidRPr="002B35DC" w:rsidRDefault="00B125DC" w:rsidP="00B125DC">
      <w:pPr>
        <w:spacing w:after="0" w:line="360" w:lineRule="auto"/>
        <w:ind w:firstLine="567"/>
        <w:jc w:val="both"/>
        <w:rPr>
          <w:rFonts w:ascii="Times New Roman" w:hAnsi="Times New Roman" w:cs="Times New Roman"/>
          <w:sz w:val="24"/>
          <w:szCs w:val="24"/>
        </w:rPr>
      </w:pPr>
    </w:p>
    <w:p w14:paraId="038788F6" w14:textId="397BCB87" w:rsidR="00B125DC" w:rsidRPr="002B35DC" w:rsidRDefault="00B125DC" w:rsidP="00B125DC">
      <w:pPr>
        <w:spacing w:after="0" w:line="360" w:lineRule="auto"/>
        <w:ind w:firstLine="720"/>
        <w:jc w:val="both"/>
        <w:rPr>
          <w:rFonts w:ascii="Times New Roman" w:hAnsi="Times New Roman" w:cs="Times New Roman"/>
          <w:sz w:val="24"/>
          <w:szCs w:val="24"/>
        </w:rPr>
      </w:pPr>
      <w:r w:rsidRPr="002B35DC">
        <w:rPr>
          <w:rFonts w:ascii="Times New Roman" w:hAnsi="Times New Roman" w:cs="Times New Roman"/>
          <w:sz w:val="24"/>
          <w:szCs w:val="24"/>
        </w:rPr>
        <w:t xml:space="preserve">Neste ponto a autora deixa claro que entende como objetivo da classificação o acesso ao documento, o que significa dizer que o foco estava em localizar os documentos. Isso nos leva a </w:t>
      </w:r>
      <w:r>
        <w:rPr>
          <w:rFonts w:ascii="Times New Roman" w:hAnsi="Times New Roman" w:cs="Times New Roman"/>
          <w:sz w:val="24"/>
          <w:szCs w:val="24"/>
        </w:rPr>
        <w:t>compreender</w:t>
      </w:r>
      <w:r w:rsidRPr="002B35DC">
        <w:rPr>
          <w:rFonts w:ascii="Times New Roman" w:hAnsi="Times New Roman" w:cs="Times New Roman"/>
          <w:sz w:val="24"/>
          <w:szCs w:val="24"/>
        </w:rPr>
        <w:t xml:space="preserve"> que, nesse momento, a classificação não estava relacionada à representação do contexto de produção documental, nem à compreensão dos documentos produzidos pela instituiçã</w:t>
      </w:r>
      <w:r>
        <w:rPr>
          <w:rFonts w:ascii="Times New Roman" w:hAnsi="Times New Roman" w:cs="Times New Roman"/>
          <w:sz w:val="24"/>
          <w:szCs w:val="24"/>
        </w:rPr>
        <w:t>o de acordo com suas atividades,</w:t>
      </w:r>
      <w:r w:rsidRPr="002B35DC">
        <w:rPr>
          <w:rFonts w:ascii="Times New Roman" w:hAnsi="Times New Roman" w:cs="Times New Roman"/>
          <w:sz w:val="24"/>
          <w:szCs w:val="24"/>
        </w:rPr>
        <w:t xml:space="preserve"> </w:t>
      </w:r>
      <w:r>
        <w:rPr>
          <w:rFonts w:ascii="Times New Roman" w:hAnsi="Times New Roman" w:cs="Times New Roman"/>
          <w:sz w:val="24"/>
          <w:szCs w:val="24"/>
        </w:rPr>
        <w:t>m</w:t>
      </w:r>
      <w:r w:rsidRPr="002B35DC">
        <w:rPr>
          <w:rFonts w:ascii="Times New Roman" w:hAnsi="Times New Roman" w:cs="Times New Roman"/>
          <w:sz w:val="24"/>
          <w:szCs w:val="24"/>
        </w:rPr>
        <w:t xml:space="preserve">as sim, era determinada pelos métodos de </w:t>
      </w:r>
      <w:r w:rsidRPr="002B35DC">
        <w:rPr>
          <w:rFonts w:ascii="Times New Roman" w:hAnsi="Times New Roman" w:cs="Times New Roman"/>
          <w:sz w:val="24"/>
          <w:szCs w:val="24"/>
        </w:rPr>
        <w:lastRenderedPageBreak/>
        <w:t>arquivamento, a saber: pela natureza dos documentos e pela estrutura da entidade, sendo eles básicos (alfabético, numérico, geográfico e por assunto) ou padronizados (automático, variadex, soundex, rôneo e mnemônico). Ao longo de sua obra, a autora explica cada um dos métodos, assim como suas vantagens e desvantagens. Cumpre destacar que os métodos de arquivamento propostos por Paes (1972), também são conhecidos, na Arquivologia, como métodos de ordenação (</w:t>
      </w:r>
      <w:r w:rsidR="00E204C9" w:rsidRPr="002B35DC">
        <w:rPr>
          <w:rFonts w:ascii="Times New Roman" w:hAnsi="Times New Roman" w:cs="Times New Roman"/>
          <w:sz w:val="24"/>
          <w:szCs w:val="24"/>
        </w:rPr>
        <w:t>Schmidt; Mattos</w:t>
      </w:r>
      <w:r w:rsidRPr="002B35DC">
        <w:rPr>
          <w:rFonts w:ascii="Times New Roman" w:hAnsi="Times New Roman" w:cs="Times New Roman"/>
          <w:sz w:val="24"/>
          <w:szCs w:val="24"/>
        </w:rPr>
        <w:t>, 2017).</w:t>
      </w:r>
    </w:p>
    <w:p w14:paraId="019DEEE2" w14:textId="4D943D34" w:rsidR="00B125DC" w:rsidRPr="002B35DC" w:rsidRDefault="00B125DC" w:rsidP="00B125DC">
      <w:pPr>
        <w:spacing w:after="0" w:line="360" w:lineRule="auto"/>
        <w:ind w:firstLine="720"/>
        <w:jc w:val="both"/>
        <w:rPr>
          <w:rFonts w:ascii="Times New Roman" w:hAnsi="Times New Roman" w:cs="Times New Roman"/>
          <w:sz w:val="24"/>
          <w:szCs w:val="24"/>
        </w:rPr>
      </w:pPr>
      <w:r w:rsidRPr="002B35DC">
        <w:rPr>
          <w:rFonts w:ascii="Times New Roman" w:hAnsi="Times New Roman" w:cs="Times New Roman"/>
          <w:sz w:val="24"/>
          <w:szCs w:val="24"/>
        </w:rPr>
        <w:t xml:space="preserve">Marilena considera que a classificação “consiste na determinação da entrada do documento e das referências cruzadas </w:t>
      </w:r>
      <w:r w:rsidR="00E204C9">
        <w:rPr>
          <w:rFonts w:ascii="Times New Roman" w:hAnsi="Times New Roman" w:cs="Times New Roman"/>
          <w:sz w:val="24"/>
          <w:szCs w:val="24"/>
        </w:rPr>
        <w:t>[</w:t>
      </w:r>
      <w:r w:rsidRPr="002B35DC">
        <w:rPr>
          <w:rFonts w:ascii="Times New Roman" w:hAnsi="Times New Roman" w:cs="Times New Roman"/>
          <w:sz w:val="24"/>
          <w:szCs w:val="24"/>
        </w:rPr>
        <w:t>...</w:t>
      </w:r>
      <w:r w:rsidR="00E204C9">
        <w:rPr>
          <w:rFonts w:ascii="Times New Roman" w:hAnsi="Times New Roman" w:cs="Times New Roman"/>
          <w:sz w:val="24"/>
          <w:szCs w:val="24"/>
        </w:rPr>
        <w:t>]</w:t>
      </w:r>
      <w:r w:rsidRPr="002B35DC">
        <w:rPr>
          <w:rFonts w:ascii="Times New Roman" w:hAnsi="Times New Roman" w:cs="Times New Roman"/>
          <w:sz w:val="24"/>
          <w:szCs w:val="24"/>
        </w:rPr>
        <w:t>. Depois do estudo do documento, passamos à fase da interpretação do documento, para uma correta classificação” (</w:t>
      </w:r>
      <w:r w:rsidR="00E204C9" w:rsidRPr="002B35DC">
        <w:rPr>
          <w:rFonts w:ascii="Times New Roman" w:hAnsi="Times New Roman" w:cs="Times New Roman"/>
          <w:sz w:val="24"/>
          <w:szCs w:val="24"/>
        </w:rPr>
        <w:t>Paes</w:t>
      </w:r>
      <w:r w:rsidRPr="002B35DC">
        <w:rPr>
          <w:rFonts w:ascii="Times New Roman" w:hAnsi="Times New Roman" w:cs="Times New Roman"/>
          <w:sz w:val="24"/>
          <w:szCs w:val="24"/>
        </w:rPr>
        <w:t xml:space="preserve">, 1972, p. 52). Segundo </w:t>
      </w:r>
      <w:r>
        <w:rPr>
          <w:rFonts w:ascii="Times New Roman" w:hAnsi="Times New Roman" w:cs="Times New Roman"/>
          <w:sz w:val="24"/>
          <w:szCs w:val="24"/>
        </w:rPr>
        <w:t>ela</w:t>
      </w:r>
      <w:r w:rsidRPr="002B35DC">
        <w:rPr>
          <w:rFonts w:ascii="Times New Roman" w:hAnsi="Times New Roman" w:cs="Times New Roman"/>
          <w:sz w:val="24"/>
          <w:szCs w:val="24"/>
        </w:rPr>
        <w:t>, seria necessário conhecer as atividades do órgão e estudar cada documento para a realização da classificação.</w:t>
      </w:r>
    </w:p>
    <w:p w14:paraId="22E1F958" w14:textId="77777777" w:rsidR="00B125DC" w:rsidRPr="002B35DC" w:rsidRDefault="00B125DC" w:rsidP="00B125DC">
      <w:pPr>
        <w:spacing w:after="0" w:line="360" w:lineRule="auto"/>
        <w:ind w:firstLine="720"/>
        <w:jc w:val="both"/>
        <w:rPr>
          <w:rFonts w:ascii="Times New Roman" w:hAnsi="Times New Roman" w:cs="Times New Roman"/>
          <w:sz w:val="24"/>
          <w:szCs w:val="24"/>
        </w:rPr>
      </w:pPr>
      <w:r w:rsidRPr="002B35DC">
        <w:rPr>
          <w:rFonts w:ascii="Times New Roman" w:hAnsi="Times New Roman" w:cs="Times New Roman"/>
          <w:sz w:val="24"/>
          <w:szCs w:val="24"/>
        </w:rPr>
        <w:t xml:space="preserve">Por último, a autora afirma que os documentos podem ser classificados segundo o gênero (textual, audiovisual, cartográfico e iconográfico), a espécie (por exemplo, ofício, relatório, despacho, carta) e a natureza do assunto (ostensivos ou sigilosos). Alguns anos depois, no Manual de arquivos da FGV de 1977, observamos que a classificação estava inserida como uma das fases pelas quais passavam os documentos dentro das operações de arquivamento. Neste Manual de 1977, a descrição da atividade de classificação é a mesma do Manual de Marilena de 1972, o que nos chama atenção devido à orientação de se interpretar o documento para se classificar corretamente. Todavia, notamos uma mudança em relação à 2ª edição de seu livro, publicada em 1991, qual seja, o posicionamento dos métodos de arquivamento e classificação dentro do conteúdo sobre arquivos correntes, o que demonstra também uma mudança de perspectiva em sua prática. </w:t>
      </w:r>
    </w:p>
    <w:p w14:paraId="52276303"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autora</w:t>
      </w:r>
      <w:r w:rsidRPr="00504B74">
        <w:rPr>
          <w:rFonts w:ascii="Times New Roman" w:hAnsi="Times New Roman" w:cs="Times New Roman"/>
          <w:sz w:val="24"/>
          <w:szCs w:val="24"/>
        </w:rPr>
        <w:t xml:space="preserve"> reforça que a diferença entre a classificação de arquivos de movimento e arquivos de custódia está presente em suas práticas de organização de documentos. Para </w:t>
      </w:r>
      <w:r>
        <w:rPr>
          <w:rFonts w:ascii="Times New Roman" w:hAnsi="Times New Roman" w:cs="Times New Roman"/>
          <w:sz w:val="24"/>
          <w:szCs w:val="24"/>
        </w:rPr>
        <w:t>ela</w:t>
      </w:r>
      <w:r w:rsidRPr="00504B74">
        <w:rPr>
          <w:rFonts w:ascii="Times New Roman" w:hAnsi="Times New Roman" w:cs="Times New Roman"/>
          <w:sz w:val="24"/>
          <w:szCs w:val="24"/>
        </w:rPr>
        <w:t xml:space="preserve">, não deve haver aplicação dos princípios de respeito aos fundos nos arquivos correntes, ou seja, nesse caso, utiliza-se somente os métodos de arquivamento, com o objetivo de arquivar e achar. A diferença da classificação para os arquivos de custódia – os documentos permanentes – encontra-se na defesa da autora quando se baseia nos princípios de respeito aos fundos e proveniência, considerando tais princípios como embasamento para a organização. </w:t>
      </w:r>
    </w:p>
    <w:p w14:paraId="4C0E385A" w14:textId="77777777" w:rsidR="00B125DC" w:rsidRDefault="00B125DC" w:rsidP="00B125DC">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04B74">
        <w:rPr>
          <w:rFonts w:ascii="Times New Roman" w:hAnsi="Times New Roman" w:cs="Times New Roman"/>
          <w:sz w:val="24"/>
          <w:szCs w:val="24"/>
        </w:rPr>
        <w:t>Outro caminho para a compreensão das necessidades a respeito de conhecimentos acerca dos arquivos correntes</w:t>
      </w:r>
      <w:r>
        <w:rPr>
          <w:rFonts w:ascii="Times New Roman" w:hAnsi="Times New Roman" w:cs="Times New Roman"/>
          <w:sz w:val="24"/>
          <w:szCs w:val="24"/>
        </w:rPr>
        <w:t>, além dos materiais publicados por Marilena Leite Paes,</w:t>
      </w:r>
      <w:r w:rsidRPr="00504B74">
        <w:rPr>
          <w:rFonts w:ascii="Times New Roman" w:hAnsi="Times New Roman" w:cs="Times New Roman"/>
          <w:sz w:val="24"/>
          <w:szCs w:val="24"/>
        </w:rPr>
        <w:t xml:space="preserve"> é a observação dos cursos disponíveis na área a partir dos anos 1960, tanto pelo INDOC (FGV) quanto pela AAB</w:t>
      </w:r>
      <w:r>
        <w:rPr>
          <w:rFonts w:ascii="Times New Roman" w:hAnsi="Times New Roman" w:cs="Times New Roman"/>
          <w:sz w:val="24"/>
          <w:szCs w:val="24"/>
        </w:rPr>
        <w:t>, o que veremos adiante.</w:t>
      </w:r>
    </w:p>
    <w:p w14:paraId="5894B726" w14:textId="77777777" w:rsidR="00B125DC" w:rsidRDefault="00B125DC" w:rsidP="00B125DC">
      <w:pPr>
        <w:tabs>
          <w:tab w:val="left" w:pos="709"/>
        </w:tabs>
        <w:spacing w:after="0" w:line="360" w:lineRule="auto"/>
        <w:jc w:val="both"/>
        <w:rPr>
          <w:rFonts w:ascii="Times New Roman" w:eastAsia="Times New Roman" w:hAnsi="Times New Roman" w:cs="Times New Roman"/>
          <w:sz w:val="24"/>
          <w:szCs w:val="24"/>
        </w:rPr>
      </w:pPr>
    </w:p>
    <w:p w14:paraId="5C432091"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4 </w:t>
      </w:r>
      <w:r>
        <w:rPr>
          <w:rFonts w:ascii="Times New Roman" w:eastAsia="Times New Roman" w:hAnsi="Times New Roman" w:cs="Times New Roman"/>
          <w:b/>
          <w:sz w:val="24"/>
          <w:szCs w:val="24"/>
        </w:rPr>
        <w:t>ANÁLISE E RESULTADOS</w:t>
      </w:r>
    </w:p>
    <w:p w14:paraId="16454CDF" w14:textId="77777777" w:rsidR="00B125DC" w:rsidRDefault="00B125DC" w:rsidP="00B125DC">
      <w:pPr>
        <w:spacing w:after="0" w:line="360" w:lineRule="auto"/>
        <w:jc w:val="both"/>
        <w:rPr>
          <w:rFonts w:ascii="Times New Roman" w:eastAsia="Times New Roman" w:hAnsi="Times New Roman" w:cs="Times New Roman"/>
          <w:sz w:val="24"/>
          <w:szCs w:val="24"/>
        </w:rPr>
      </w:pPr>
    </w:p>
    <w:p w14:paraId="7BA2B397" w14:textId="77777777" w:rsidR="00B125DC" w:rsidRPr="00504B74" w:rsidRDefault="00B125DC" w:rsidP="00B125D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Conhecendo</w:t>
      </w:r>
      <w:r w:rsidRPr="00504B74">
        <w:rPr>
          <w:rFonts w:ascii="Times New Roman" w:eastAsia="Times New Roman" w:hAnsi="Times New Roman" w:cs="Times New Roman"/>
          <w:sz w:val="24"/>
          <w:szCs w:val="24"/>
        </w:rPr>
        <w:t xml:space="preserve"> um pouco a tra</w:t>
      </w:r>
      <w:r>
        <w:rPr>
          <w:rFonts w:ascii="Times New Roman" w:eastAsia="Times New Roman" w:hAnsi="Times New Roman" w:cs="Times New Roman"/>
          <w:sz w:val="24"/>
          <w:szCs w:val="24"/>
        </w:rPr>
        <w:t>jetória de Marilena Leite Paes, foi possível compreender</w:t>
      </w:r>
      <w:r w:rsidRPr="00504B74">
        <w:rPr>
          <w:rFonts w:ascii="Times New Roman" w:eastAsia="Times New Roman" w:hAnsi="Times New Roman" w:cs="Times New Roman"/>
          <w:sz w:val="24"/>
          <w:szCs w:val="24"/>
        </w:rPr>
        <w:t xml:space="preserve"> os conceitos de arquivos correntes e classificação de documentos apropriados por ela</w:t>
      </w:r>
      <w:r>
        <w:rPr>
          <w:rFonts w:ascii="Times New Roman" w:eastAsia="Times New Roman" w:hAnsi="Times New Roman" w:cs="Times New Roman"/>
          <w:sz w:val="24"/>
          <w:szCs w:val="24"/>
        </w:rPr>
        <w:t>. Desta forma,</w:t>
      </w:r>
      <w:r w:rsidRPr="00504B74">
        <w:rPr>
          <w:rFonts w:ascii="Times New Roman" w:eastAsia="Times New Roman" w:hAnsi="Times New Roman" w:cs="Times New Roman"/>
          <w:sz w:val="24"/>
          <w:szCs w:val="24"/>
        </w:rPr>
        <w:t xml:space="preserve"> partimos para esta seção final do trabalho, visando destacar alguns pontos dos cursos propriamente ditos lecionados pela profissional.</w:t>
      </w:r>
    </w:p>
    <w:p w14:paraId="2BD0AAFB" w14:textId="77777777" w:rsidR="00B125DC" w:rsidRPr="00504B74" w:rsidRDefault="00B125DC" w:rsidP="00B125DC">
      <w:pPr>
        <w:spacing w:after="0" w:line="360" w:lineRule="auto"/>
        <w:ind w:firstLine="720"/>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No INDOC, Marilena ministrou aulas em três turmas do curso “O papel da arquivística na documentação”, de 1968 a 1971, com atividades práticas de Arquivologia. Também ministrou aulas entre 1974 e 1983, no curso de “Técnicas de Informação”</w:t>
      </w:r>
      <w:r w:rsidRPr="00D66F2E">
        <w:rPr>
          <w:rFonts w:ascii="Times New Roman" w:eastAsia="Times New Roman" w:hAnsi="Times New Roman" w:cs="Times New Roman"/>
          <w:sz w:val="24"/>
          <w:szCs w:val="24"/>
          <w:vertAlign w:val="superscript"/>
          <w:lang w:val="es-PY"/>
        </w:rPr>
        <w:footnoteReference w:id="6"/>
      </w:r>
      <w:r w:rsidRPr="00504B74">
        <w:rPr>
          <w:rFonts w:ascii="Times New Roman" w:eastAsia="Times New Roman" w:hAnsi="Times New Roman" w:cs="Times New Roman"/>
          <w:sz w:val="24"/>
          <w:szCs w:val="24"/>
        </w:rPr>
        <w:t>, com as seguintes unidades: I. Introdução à Ciência da Informação; II. Teoria e Prática de Arquivo; III. Teoria e Prática de Microfilmagem; e IV. Fundamentos de Sistemas de Computador.</w:t>
      </w:r>
    </w:p>
    <w:p w14:paraId="7F3C3439"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Os cursos oferecidos pelo referido Instituto eram divulgados pelo Jornal </w:t>
      </w:r>
      <w:r w:rsidRPr="00504B74">
        <w:rPr>
          <w:rFonts w:ascii="Times New Roman" w:hAnsi="Times New Roman" w:cs="Times New Roman"/>
          <w:b/>
          <w:bCs/>
          <w:sz w:val="24"/>
          <w:szCs w:val="24"/>
        </w:rPr>
        <w:t>O Globo</w:t>
      </w:r>
      <w:r w:rsidRPr="00504B74">
        <w:rPr>
          <w:rFonts w:ascii="Times New Roman" w:hAnsi="Times New Roman" w:cs="Times New Roman"/>
          <w:sz w:val="24"/>
          <w:szCs w:val="24"/>
        </w:rPr>
        <w:t>, o que nos remete a uma preocupação com a divulgação de oportunidades de aperfeiçoamento na área de arquivos, apesar de a profissão ainda não estar regulamentada pelo Ministério do Trabalho. O curso “Informação, Documentação, Comunicação” teve sua propaganda noticiada n’</w:t>
      </w:r>
      <w:r w:rsidRPr="00504B74">
        <w:rPr>
          <w:rFonts w:ascii="Times New Roman" w:hAnsi="Times New Roman" w:cs="Times New Roman"/>
          <w:b/>
          <w:bCs/>
          <w:sz w:val="24"/>
          <w:szCs w:val="24"/>
        </w:rPr>
        <w:t>O Globo</w:t>
      </w:r>
      <w:r w:rsidRPr="00504B74">
        <w:rPr>
          <w:rFonts w:ascii="Times New Roman" w:hAnsi="Times New Roman" w:cs="Times New Roman"/>
          <w:sz w:val="24"/>
          <w:szCs w:val="24"/>
        </w:rPr>
        <w:t xml:space="preserve"> de 22 de março de 1973 e nos chama atenção o destaque para o ciclo de 12 conferências sob responsabilidade de “profissionais de reconhecida competência nas matérias”. Entre tais profissionais estava Marilena Leite Paes.</w:t>
      </w:r>
    </w:p>
    <w:p w14:paraId="43AC7521" w14:textId="77777777" w:rsidR="00B125DC" w:rsidRPr="00504B74" w:rsidRDefault="00B125DC" w:rsidP="00B125DC">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Marilena foi a professora responsável pelo módulo de “Teoria e Prática de Arquivo”, cujo conteúdo era: órgãos de documentação; paralelos entre arquivos e bibliotecas; origem, conceito, finalidade, funções, classificação, nomenclatura e terminologia dos arquivos; tipos de arquivamento; </w:t>
      </w:r>
      <w:r w:rsidRPr="00504B74">
        <w:rPr>
          <w:rFonts w:ascii="Times New Roman" w:hAnsi="Times New Roman" w:cs="Times New Roman"/>
          <w:bCs/>
          <w:sz w:val="24"/>
          <w:szCs w:val="24"/>
        </w:rPr>
        <w:t>classificação de documentos</w:t>
      </w:r>
      <w:r w:rsidRPr="00504B74">
        <w:rPr>
          <w:rFonts w:ascii="Times New Roman" w:hAnsi="Times New Roman" w:cs="Times New Roman"/>
          <w:sz w:val="24"/>
          <w:szCs w:val="24"/>
        </w:rPr>
        <w:t xml:space="preserve">; organização de arquivos; </w:t>
      </w:r>
      <w:r w:rsidRPr="00504B74">
        <w:rPr>
          <w:rFonts w:ascii="Times New Roman" w:hAnsi="Times New Roman" w:cs="Times New Roman"/>
          <w:bCs/>
          <w:sz w:val="24"/>
          <w:szCs w:val="24"/>
        </w:rPr>
        <w:t>arquivos correntes</w:t>
      </w:r>
      <w:r w:rsidRPr="00504B74">
        <w:rPr>
          <w:rFonts w:ascii="Times New Roman" w:hAnsi="Times New Roman" w:cs="Times New Roman"/>
          <w:sz w:val="24"/>
          <w:szCs w:val="24"/>
        </w:rPr>
        <w:t xml:space="preserve">; métodos de arquivamento; operações de arquivamento; atividades de destruição e de arranjo; atividades de descrição, conservação e referência (PAES, 1978). Esta atuação de Marilena é destacada por Maria Leonilda Reis da Silva ao colocar que </w:t>
      </w:r>
    </w:p>
    <w:p w14:paraId="4A1647BB" w14:textId="77777777" w:rsidR="00B125DC" w:rsidRPr="00674250" w:rsidRDefault="00B125DC" w:rsidP="00674250">
      <w:pPr>
        <w:spacing w:after="0" w:line="240" w:lineRule="auto"/>
        <w:ind w:left="2268"/>
        <w:jc w:val="both"/>
        <w:rPr>
          <w:rFonts w:ascii="Times New Roman" w:hAnsi="Times New Roman" w:cs="Times New Roman"/>
          <w:sz w:val="20"/>
          <w:szCs w:val="20"/>
        </w:rPr>
      </w:pPr>
    </w:p>
    <w:p w14:paraId="53CABB7B" w14:textId="5651B304" w:rsidR="00B125DC" w:rsidRPr="00674250" w:rsidRDefault="00B125DC" w:rsidP="00674250">
      <w:pPr>
        <w:spacing w:after="0" w:line="240" w:lineRule="auto"/>
        <w:ind w:left="2268"/>
        <w:jc w:val="both"/>
        <w:rPr>
          <w:rFonts w:ascii="Times New Roman" w:hAnsi="Times New Roman" w:cs="Times New Roman"/>
          <w:sz w:val="20"/>
          <w:szCs w:val="20"/>
        </w:rPr>
      </w:pPr>
      <w:r w:rsidRPr="00674250">
        <w:rPr>
          <w:rFonts w:ascii="Times New Roman" w:hAnsi="Times New Roman" w:cs="Times New Roman"/>
          <w:sz w:val="20"/>
          <w:szCs w:val="20"/>
        </w:rPr>
        <w:t>Nas décadas de 1970 e 1980, o Arquivo Central da FGV era considerado um modelo, uma referência em relação aos procedimentos técnicos adotados. Como eram produzidas poucas publicações na área, Marilena era convidada, constantemente, para ministrar cursos sobre técnicas de arquivo e proferir palestras e participar de congressos [...] (S</w:t>
      </w:r>
      <w:r w:rsidR="00E204C9" w:rsidRPr="00674250">
        <w:rPr>
          <w:rFonts w:ascii="Times New Roman" w:hAnsi="Times New Roman" w:cs="Times New Roman"/>
          <w:sz w:val="20"/>
          <w:szCs w:val="20"/>
        </w:rPr>
        <w:t>ilva</w:t>
      </w:r>
      <w:r w:rsidRPr="00674250">
        <w:rPr>
          <w:rFonts w:ascii="Times New Roman" w:hAnsi="Times New Roman" w:cs="Times New Roman"/>
          <w:sz w:val="20"/>
          <w:szCs w:val="20"/>
        </w:rPr>
        <w:t>, 2010, p. 100)</w:t>
      </w:r>
      <w:r w:rsidR="00E204C9" w:rsidRPr="00674250">
        <w:rPr>
          <w:rFonts w:ascii="Times New Roman" w:hAnsi="Times New Roman" w:cs="Times New Roman"/>
          <w:sz w:val="20"/>
          <w:szCs w:val="20"/>
        </w:rPr>
        <w:t>.</w:t>
      </w:r>
    </w:p>
    <w:p w14:paraId="238742C4" w14:textId="77777777" w:rsidR="00B125DC" w:rsidRPr="00674250" w:rsidRDefault="00B125DC" w:rsidP="00674250">
      <w:pPr>
        <w:spacing w:after="0" w:line="240" w:lineRule="auto"/>
        <w:ind w:left="2268"/>
        <w:jc w:val="both"/>
        <w:rPr>
          <w:rFonts w:ascii="Times New Roman" w:hAnsi="Times New Roman" w:cs="Times New Roman"/>
          <w:szCs w:val="18"/>
        </w:rPr>
      </w:pPr>
    </w:p>
    <w:p w14:paraId="17190DF5" w14:textId="77777777" w:rsidR="00B125DC" w:rsidRPr="00674250" w:rsidRDefault="00B125DC" w:rsidP="00674250">
      <w:pPr>
        <w:autoSpaceDE w:val="0"/>
        <w:autoSpaceDN w:val="0"/>
        <w:adjustRightInd w:val="0"/>
        <w:spacing w:after="0" w:line="240" w:lineRule="auto"/>
        <w:ind w:left="2268"/>
        <w:rPr>
          <w:rFonts w:ascii="Arial" w:hAnsi="Arial" w:cs="Arial"/>
          <w:b/>
          <w:sz w:val="20"/>
          <w:szCs w:val="20"/>
        </w:rPr>
      </w:pPr>
    </w:p>
    <w:p w14:paraId="37391EAF" w14:textId="77777777" w:rsidR="00B125DC" w:rsidRPr="00504B74" w:rsidRDefault="00B125DC" w:rsidP="00B125DC">
      <w:pPr>
        <w:spacing w:after="0" w:line="360" w:lineRule="auto"/>
        <w:ind w:firstLine="720"/>
        <w:contextualSpacing/>
        <w:jc w:val="both"/>
        <w:rPr>
          <w:rFonts w:ascii="Times New Roman" w:hAnsi="Times New Roman" w:cs="Times New Roman"/>
          <w:sz w:val="24"/>
          <w:szCs w:val="24"/>
        </w:rPr>
      </w:pPr>
      <w:r w:rsidRPr="00504B74">
        <w:rPr>
          <w:rFonts w:ascii="Times New Roman" w:hAnsi="Times New Roman" w:cs="Times New Roman"/>
          <w:sz w:val="24"/>
          <w:szCs w:val="24"/>
        </w:rPr>
        <w:t xml:space="preserve">No 1º Congresso Brasileiro de Arquivologia, ocorrido em 1972, foi detalhado o projeto de currículo </w:t>
      </w:r>
      <w:r>
        <w:rPr>
          <w:rFonts w:ascii="Times New Roman" w:hAnsi="Times New Roman" w:cs="Times New Roman"/>
          <w:sz w:val="24"/>
          <w:szCs w:val="24"/>
        </w:rPr>
        <w:t xml:space="preserve">mínimo para os cursos de graduação </w:t>
      </w:r>
      <w:r w:rsidRPr="00504B74">
        <w:rPr>
          <w:rFonts w:ascii="Times New Roman" w:hAnsi="Times New Roman" w:cs="Times New Roman"/>
          <w:sz w:val="24"/>
          <w:szCs w:val="24"/>
        </w:rPr>
        <w:t xml:space="preserve">de arquivo por Astréa de Moraes e Castro, </w:t>
      </w:r>
      <w:r w:rsidRPr="00504B74">
        <w:rPr>
          <w:rFonts w:ascii="Times New Roman" w:hAnsi="Times New Roman" w:cs="Times New Roman"/>
          <w:sz w:val="24"/>
          <w:szCs w:val="24"/>
        </w:rPr>
        <w:lastRenderedPageBreak/>
        <w:t>elaborado em conjunto com outros professores como Lourdes Costa e Souza, Maria Luísa Dannemann e Marilena Leite Paes. Dentre as principais disciplinas, constam: Noções preliminares sobre Arquivística: origem, conceito, finalidade, funções, classificação, nomenclatura, pessoal; Arquivos correntes e de custódia; Organização; Colaboração entre arquivos correntes e arquivos de custódia. Chama-nos atenção, especificamente, as disciplinas de classificação e arquivos correntes presentes na proposta do currículo, o que corrobora não apenas com a importância como também a necessidade em saber lidar com esses arquivos.</w:t>
      </w:r>
    </w:p>
    <w:p w14:paraId="255AFFA2" w14:textId="77777777" w:rsidR="00B125DC" w:rsidRPr="00504B74" w:rsidRDefault="00B125DC" w:rsidP="00B125DC">
      <w:pPr>
        <w:spacing w:after="0" w:line="360" w:lineRule="auto"/>
        <w:ind w:firstLine="720"/>
        <w:contextualSpacing/>
        <w:jc w:val="both"/>
        <w:rPr>
          <w:rFonts w:ascii="Times New Roman" w:hAnsi="Times New Roman" w:cs="Times New Roman"/>
          <w:sz w:val="24"/>
          <w:szCs w:val="24"/>
        </w:rPr>
      </w:pPr>
      <w:r w:rsidRPr="00504B74">
        <w:rPr>
          <w:rFonts w:ascii="Times New Roman" w:hAnsi="Times New Roman" w:cs="Times New Roman"/>
          <w:sz w:val="24"/>
          <w:szCs w:val="24"/>
        </w:rPr>
        <w:t>Observar os cursos disponíveis na área a partir dos anos 1960, tanto</w:t>
      </w:r>
      <w:r>
        <w:rPr>
          <w:rFonts w:ascii="Times New Roman" w:hAnsi="Times New Roman" w:cs="Times New Roman"/>
          <w:sz w:val="24"/>
          <w:szCs w:val="24"/>
        </w:rPr>
        <w:t xml:space="preserve"> os ofertados</w:t>
      </w:r>
      <w:r w:rsidRPr="00504B74">
        <w:rPr>
          <w:rFonts w:ascii="Times New Roman" w:hAnsi="Times New Roman" w:cs="Times New Roman"/>
          <w:sz w:val="24"/>
          <w:szCs w:val="24"/>
        </w:rPr>
        <w:t xml:space="preserve"> pela FGV quanto pela AAB</w:t>
      </w:r>
      <w:r>
        <w:rPr>
          <w:rFonts w:ascii="Times New Roman" w:hAnsi="Times New Roman" w:cs="Times New Roman"/>
          <w:sz w:val="24"/>
          <w:szCs w:val="24"/>
        </w:rPr>
        <w:t>,</w:t>
      </w:r>
      <w:r w:rsidRPr="00504B74">
        <w:rPr>
          <w:rFonts w:ascii="Times New Roman" w:hAnsi="Times New Roman" w:cs="Times New Roman"/>
          <w:sz w:val="24"/>
          <w:szCs w:val="24"/>
        </w:rPr>
        <w:t xml:space="preserve"> é um caminho para compreendermos as necessidades a respeito de conhecimentos acerca dos arquivos correntes. A preocupação com a formação e atualização de pessoal na área de arquivos de empresas fez com que a ABB lançasse diversos cursos para suprir essa demanda. </w:t>
      </w:r>
    </w:p>
    <w:p w14:paraId="2F0DBE72" w14:textId="77777777" w:rsidR="00B125DC" w:rsidRPr="00504B74" w:rsidRDefault="00B125DC" w:rsidP="00B125DC">
      <w:pPr>
        <w:spacing w:after="0" w:line="360" w:lineRule="auto"/>
        <w:ind w:firstLine="720"/>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Como o foco deste trabalho é a temática em relação aos arquivos correntes e classificação, elaboramos o quadro a seguir para destacar alguns dos cursos oferecidos pela AAB e lecionados por Marilena, cujo material foi localizado no fundo da AAB no Arquivo Nacional.</w:t>
      </w:r>
    </w:p>
    <w:p w14:paraId="3D4FF807" w14:textId="77777777" w:rsidR="00B125DC" w:rsidRPr="00504B74" w:rsidRDefault="00B125DC" w:rsidP="00B125DC">
      <w:pPr>
        <w:spacing w:after="0" w:line="360" w:lineRule="auto"/>
        <w:jc w:val="both"/>
        <w:rPr>
          <w:rFonts w:ascii="Times New Roman" w:eastAsia="Times New Roman" w:hAnsi="Times New Roman" w:cs="Times New Roman"/>
          <w:b/>
          <w:bCs/>
          <w:sz w:val="24"/>
          <w:szCs w:val="24"/>
        </w:rPr>
      </w:pPr>
      <w:bookmarkStart w:id="4" w:name="_Hlk121852079"/>
    </w:p>
    <w:p w14:paraId="3FEAEB80" w14:textId="77777777" w:rsidR="00B125DC" w:rsidRPr="00504B74" w:rsidRDefault="00B125DC" w:rsidP="00B125DC">
      <w:pPr>
        <w:spacing w:after="0" w:line="360" w:lineRule="auto"/>
        <w:jc w:val="center"/>
        <w:rPr>
          <w:rFonts w:ascii="Times New Roman" w:eastAsia="Times New Roman" w:hAnsi="Times New Roman" w:cs="Times New Roman"/>
          <w:sz w:val="24"/>
          <w:szCs w:val="24"/>
        </w:rPr>
      </w:pPr>
      <w:bookmarkStart w:id="5" w:name="_Hlk146449513"/>
      <w:r w:rsidRPr="00504B74">
        <w:rPr>
          <w:rFonts w:ascii="Times New Roman" w:eastAsia="Times New Roman" w:hAnsi="Times New Roman" w:cs="Times New Roman"/>
          <w:b/>
          <w:bCs/>
          <w:sz w:val="24"/>
          <w:szCs w:val="24"/>
        </w:rPr>
        <w:t>Q</w:t>
      </w:r>
      <w:r>
        <w:rPr>
          <w:rFonts w:ascii="Times New Roman" w:eastAsia="Times New Roman" w:hAnsi="Times New Roman" w:cs="Times New Roman"/>
          <w:b/>
          <w:bCs/>
          <w:sz w:val="24"/>
          <w:szCs w:val="24"/>
        </w:rPr>
        <w:t>uadro</w:t>
      </w:r>
      <w:r w:rsidRPr="00504B74">
        <w:rPr>
          <w:rFonts w:ascii="Times New Roman" w:eastAsia="Times New Roman" w:hAnsi="Times New Roman" w:cs="Times New Roman"/>
          <w:b/>
          <w:bCs/>
          <w:sz w:val="24"/>
          <w:szCs w:val="24"/>
        </w:rPr>
        <w:t xml:space="preserve"> 1</w:t>
      </w:r>
      <w:r w:rsidRPr="00504B74">
        <w:rPr>
          <w:rFonts w:ascii="Times New Roman" w:eastAsia="Times New Roman" w:hAnsi="Times New Roman" w:cs="Times New Roman"/>
          <w:sz w:val="24"/>
          <w:szCs w:val="24"/>
        </w:rPr>
        <w:t xml:space="preserve">: </w:t>
      </w:r>
      <w:bookmarkStart w:id="6" w:name="_Hlk146449377"/>
      <w:r w:rsidRPr="00504B74">
        <w:rPr>
          <w:rFonts w:ascii="Times New Roman" w:eastAsia="Times New Roman" w:hAnsi="Times New Roman" w:cs="Times New Roman"/>
          <w:sz w:val="24"/>
          <w:szCs w:val="24"/>
        </w:rPr>
        <w:t>Cursos oferecidos pela AAB</w:t>
      </w:r>
      <w:bookmarkEnd w:id="6"/>
    </w:p>
    <w:tbl>
      <w:tblPr>
        <w:tblStyle w:val="Tabelacomgrade"/>
        <w:tblW w:w="0" w:type="auto"/>
        <w:tblLook w:val="04A0" w:firstRow="1" w:lastRow="0" w:firstColumn="1" w:lastColumn="0" w:noHBand="0" w:noVBand="1"/>
      </w:tblPr>
      <w:tblGrid>
        <w:gridCol w:w="3114"/>
        <w:gridCol w:w="2835"/>
        <w:gridCol w:w="1134"/>
        <w:gridCol w:w="1843"/>
      </w:tblGrid>
      <w:tr w:rsidR="00B125DC" w:rsidRPr="00504B74" w14:paraId="20AB914F" w14:textId="77777777" w:rsidTr="001615CA">
        <w:tc>
          <w:tcPr>
            <w:tcW w:w="3114" w:type="dxa"/>
          </w:tcPr>
          <w:bookmarkEnd w:id="4"/>
          <w:p w14:paraId="325967DD" w14:textId="77777777" w:rsidR="00B125DC" w:rsidRPr="00504B74" w:rsidRDefault="00B125DC" w:rsidP="001615CA">
            <w:pPr>
              <w:jc w:val="center"/>
              <w:rPr>
                <w:rFonts w:ascii="Times New Roman" w:hAnsi="Times New Roman"/>
                <w:b/>
                <w:bCs/>
                <w:kern w:val="2"/>
                <w:sz w:val="24"/>
                <w:szCs w:val="24"/>
                <w:lang w:val="es-PY"/>
                <w14:ligatures w14:val="standardContextual"/>
              </w:rPr>
            </w:pPr>
            <w:r w:rsidRPr="00504B74">
              <w:rPr>
                <w:rFonts w:ascii="Times New Roman" w:hAnsi="Times New Roman"/>
                <w:b/>
                <w:bCs/>
                <w:kern w:val="2"/>
                <w:sz w:val="24"/>
                <w:szCs w:val="24"/>
                <w:lang w:val="es-PY"/>
                <w14:ligatures w14:val="standardContextual"/>
              </w:rPr>
              <w:t>Curso</w:t>
            </w:r>
          </w:p>
        </w:tc>
        <w:tc>
          <w:tcPr>
            <w:tcW w:w="2835" w:type="dxa"/>
          </w:tcPr>
          <w:p w14:paraId="2AF26560" w14:textId="77777777" w:rsidR="00B125DC" w:rsidRPr="00504B74" w:rsidRDefault="00B125DC" w:rsidP="001615CA">
            <w:pPr>
              <w:jc w:val="center"/>
              <w:rPr>
                <w:rFonts w:ascii="Times New Roman" w:hAnsi="Times New Roman"/>
                <w:b/>
                <w:bCs/>
                <w:kern w:val="2"/>
                <w:sz w:val="24"/>
                <w:szCs w:val="24"/>
                <w:lang w:val="es-PY"/>
                <w14:ligatures w14:val="standardContextual"/>
              </w:rPr>
            </w:pPr>
            <w:r w:rsidRPr="00504B74">
              <w:rPr>
                <w:rFonts w:ascii="Times New Roman" w:hAnsi="Times New Roman"/>
                <w:b/>
                <w:bCs/>
                <w:kern w:val="2"/>
                <w:sz w:val="24"/>
                <w:szCs w:val="24"/>
                <w:lang w:val="es-PY"/>
                <w14:ligatures w14:val="standardContextual"/>
              </w:rPr>
              <w:t>Professor</w:t>
            </w:r>
          </w:p>
        </w:tc>
        <w:tc>
          <w:tcPr>
            <w:tcW w:w="1134" w:type="dxa"/>
          </w:tcPr>
          <w:p w14:paraId="3027D06B" w14:textId="77777777" w:rsidR="00B125DC" w:rsidRPr="00504B74" w:rsidRDefault="00B125DC" w:rsidP="001615CA">
            <w:pPr>
              <w:jc w:val="center"/>
              <w:rPr>
                <w:rFonts w:ascii="Times New Roman" w:hAnsi="Times New Roman"/>
                <w:b/>
                <w:bCs/>
                <w:kern w:val="2"/>
                <w:sz w:val="24"/>
                <w:szCs w:val="24"/>
                <w:lang w:val="es-PY"/>
                <w14:ligatures w14:val="standardContextual"/>
              </w:rPr>
            </w:pPr>
            <w:r w:rsidRPr="00504B74">
              <w:rPr>
                <w:rFonts w:ascii="Times New Roman" w:hAnsi="Times New Roman"/>
                <w:b/>
                <w:bCs/>
                <w:kern w:val="2"/>
                <w:sz w:val="24"/>
                <w:szCs w:val="24"/>
                <w:lang w:val="es-PY"/>
                <w14:ligatures w14:val="standardContextual"/>
              </w:rPr>
              <w:t>Data</w:t>
            </w:r>
          </w:p>
        </w:tc>
        <w:tc>
          <w:tcPr>
            <w:tcW w:w="1843" w:type="dxa"/>
          </w:tcPr>
          <w:p w14:paraId="027369B9" w14:textId="77777777" w:rsidR="00B125DC" w:rsidRPr="00504B74" w:rsidRDefault="00B125DC" w:rsidP="001615CA">
            <w:pPr>
              <w:jc w:val="center"/>
              <w:rPr>
                <w:rFonts w:ascii="Times New Roman" w:hAnsi="Times New Roman"/>
                <w:b/>
                <w:bCs/>
                <w:kern w:val="2"/>
                <w:sz w:val="24"/>
                <w:szCs w:val="24"/>
                <w:lang w:val="es-PY"/>
                <w14:ligatures w14:val="standardContextual"/>
              </w:rPr>
            </w:pPr>
            <w:r w:rsidRPr="00504B74">
              <w:rPr>
                <w:rFonts w:ascii="Times New Roman" w:hAnsi="Times New Roman"/>
                <w:b/>
                <w:bCs/>
                <w:kern w:val="2"/>
                <w:sz w:val="24"/>
                <w:szCs w:val="24"/>
                <w:lang w:val="es-PY"/>
                <w14:ligatures w14:val="standardContextual"/>
              </w:rPr>
              <w:t>Localização no fundo AAB</w:t>
            </w:r>
          </w:p>
        </w:tc>
      </w:tr>
      <w:tr w:rsidR="00B125DC" w:rsidRPr="00504B74" w14:paraId="75A4480B" w14:textId="77777777" w:rsidTr="001615CA">
        <w:tc>
          <w:tcPr>
            <w:tcW w:w="3114" w:type="dxa"/>
          </w:tcPr>
          <w:p w14:paraId="70F258E4" w14:textId="77777777" w:rsidR="00B125DC" w:rsidRPr="00504B74" w:rsidRDefault="00B125DC" w:rsidP="001615CA">
            <w:pPr>
              <w:rPr>
                <w:rFonts w:ascii="Times New Roman" w:hAnsi="Times New Roman"/>
                <w:kern w:val="2"/>
                <w:sz w:val="24"/>
                <w:szCs w:val="24"/>
                <w:lang w:val="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Organização de Arquivo de Empresas</w:t>
            </w:r>
          </w:p>
        </w:tc>
        <w:tc>
          <w:tcPr>
            <w:tcW w:w="2835" w:type="dxa"/>
          </w:tcPr>
          <w:p w14:paraId="1C4927D4"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p w14:paraId="3D89B360" w14:textId="77777777" w:rsidR="00B125DC" w:rsidRPr="00504B74" w:rsidRDefault="00B125DC" w:rsidP="001615CA">
            <w:pPr>
              <w:rPr>
                <w:rFonts w:ascii="Times New Roman" w:hAnsi="Times New Roman"/>
                <w:kern w:val="2"/>
                <w:sz w:val="24"/>
                <w:szCs w:val="24"/>
                <w:lang w:val="pt-BR"/>
                <w14:ligatures w14:val="standardContextual"/>
              </w:rPr>
            </w:pPr>
          </w:p>
        </w:tc>
        <w:tc>
          <w:tcPr>
            <w:tcW w:w="1134" w:type="dxa"/>
          </w:tcPr>
          <w:p w14:paraId="66B34F07"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1978</w:t>
            </w:r>
          </w:p>
        </w:tc>
        <w:tc>
          <w:tcPr>
            <w:tcW w:w="1843" w:type="dxa"/>
            <w:vAlign w:val="center"/>
          </w:tcPr>
          <w:p w14:paraId="07EBA1A1"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9</w:t>
            </w:r>
          </w:p>
        </w:tc>
      </w:tr>
      <w:tr w:rsidR="00B125DC" w:rsidRPr="00504B74" w14:paraId="3B82F923" w14:textId="77777777" w:rsidTr="001615CA">
        <w:tc>
          <w:tcPr>
            <w:tcW w:w="3114" w:type="dxa"/>
          </w:tcPr>
          <w:p w14:paraId="3A6CD4CB"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 xml:space="preserve">Aperfeiçoamento em Organização de Arquivos de Empresa </w:t>
            </w:r>
          </w:p>
          <w:p w14:paraId="7C2C40E4"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2835" w:type="dxa"/>
          </w:tcPr>
          <w:p w14:paraId="48C2602A"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tc>
        <w:tc>
          <w:tcPr>
            <w:tcW w:w="1134" w:type="dxa"/>
          </w:tcPr>
          <w:p w14:paraId="63F0167A"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1979</w:t>
            </w:r>
          </w:p>
        </w:tc>
        <w:tc>
          <w:tcPr>
            <w:tcW w:w="1843" w:type="dxa"/>
            <w:vAlign w:val="center"/>
          </w:tcPr>
          <w:p w14:paraId="0C9B43C1"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185BF82E" w14:textId="77777777" w:rsidTr="001615CA">
        <w:tc>
          <w:tcPr>
            <w:tcW w:w="3114" w:type="dxa"/>
          </w:tcPr>
          <w:p w14:paraId="2A9C8C22" w14:textId="77777777" w:rsidR="00B125DC" w:rsidRPr="00504B74" w:rsidRDefault="00B125DC" w:rsidP="001615CA">
            <w:pPr>
              <w:rPr>
                <w:rFonts w:ascii="Times New Roman" w:hAnsi="Times New Roman"/>
                <w:kern w:val="2"/>
                <w:sz w:val="24"/>
                <w:szCs w:val="24"/>
                <w:lang w:val="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O microfilme e o arquivo moderno</w:t>
            </w:r>
          </w:p>
        </w:tc>
        <w:tc>
          <w:tcPr>
            <w:tcW w:w="2835" w:type="dxa"/>
          </w:tcPr>
          <w:p w14:paraId="52B8B4B7"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p w14:paraId="12F9AB72" w14:textId="77777777" w:rsidR="00B125DC" w:rsidRPr="00504B74" w:rsidRDefault="00B125DC" w:rsidP="001615CA">
            <w:pPr>
              <w:rPr>
                <w:rFonts w:ascii="Times New Roman" w:hAnsi="Times New Roman"/>
                <w:kern w:val="2"/>
                <w:sz w:val="24"/>
                <w:szCs w:val="24"/>
                <w:lang w:val="pt-BR"/>
                <w14:ligatures w14:val="standardContextual"/>
              </w:rPr>
            </w:pPr>
          </w:p>
        </w:tc>
        <w:tc>
          <w:tcPr>
            <w:tcW w:w="1134" w:type="dxa"/>
          </w:tcPr>
          <w:p w14:paraId="0F32FB86"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26 a 30 de abril de 1982</w:t>
            </w:r>
          </w:p>
        </w:tc>
        <w:tc>
          <w:tcPr>
            <w:tcW w:w="1843" w:type="dxa"/>
          </w:tcPr>
          <w:p w14:paraId="31E8059E" w14:textId="77777777" w:rsidR="00B125DC" w:rsidRDefault="00B125DC" w:rsidP="001615CA">
            <w:pPr>
              <w:rPr>
                <w:rFonts w:ascii="Times New Roman" w:eastAsia="Times New Roman" w:hAnsi="Times New Roman"/>
                <w:color w:val="000000"/>
                <w:kern w:val="2"/>
                <w:sz w:val="24"/>
                <w:szCs w:val="24"/>
                <w:lang w:val="es-PY" w:eastAsia="pt-BR"/>
                <w14:ligatures w14:val="standardContextual"/>
              </w:rPr>
            </w:pPr>
          </w:p>
          <w:p w14:paraId="2D2C523F"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5</w:t>
            </w:r>
          </w:p>
        </w:tc>
      </w:tr>
      <w:tr w:rsidR="00B125DC" w:rsidRPr="00504B74" w14:paraId="37DB3B2A" w14:textId="77777777" w:rsidTr="001615CA">
        <w:tc>
          <w:tcPr>
            <w:tcW w:w="3114" w:type="dxa"/>
          </w:tcPr>
          <w:p w14:paraId="1B4CC685" w14:textId="77777777" w:rsidR="00B125DC"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Arquivos correntes e Protocolos</w:t>
            </w:r>
          </w:p>
          <w:p w14:paraId="6B688C91" w14:textId="77777777" w:rsidR="00B125DC" w:rsidRPr="00504B74" w:rsidRDefault="00B125DC" w:rsidP="001615CA">
            <w:pPr>
              <w:rPr>
                <w:rFonts w:ascii="Times New Roman" w:hAnsi="Times New Roman"/>
                <w:kern w:val="2"/>
                <w:sz w:val="24"/>
                <w:szCs w:val="24"/>
                <w:lang w:val="es-PY"/>
                <w14:ligatures w14:val="standardContextual"/>
              </w:rPr>
            </w:pPr>
          </w:p>
        </w:tc>
        <w:tc>
          <w:tcPr>
            <w:tcW w:w="2835" w:type="dxa"/>
            <w:vAlign w:val="center"/>
          </w:tcPr>
          <w:p w14:paraId="24E595FB" w14:textId="77777777" w:rsidR="00B125DC" w:rsidRPr="00504B74" w:rsidRDefault="00B125DC" w:rsidP="001615CA">
            <w:pPr>
              <w:rPr>
                <w:rFonts w:ascii="Times New Roman" w:hAnsi="Times New Roman"/>
                <w:kern w:val="2"/>
                <w:sz w:val="24"/>
                <w:szCs w:val="24"/>
                <w:lang w:val="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 xml:space="preserve">Prof.ª Lourdes Costa e Souza </w:t>
            </w:r>
          </w:p>
        </w:tc>
        <w:tc>
          <w:tcPr>
            <w:tcW w:w="1134" w:type="dxa"/>
          </w:tcPr>
          <w:p w14:paraId="16B7890A"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1982</w:t>
            </w:r>
          </w:p>
        </w:tc>
        <w:tc>
          <w:tcPr>
            <w:tcW w:w="1843" w:type="dxa"/>
          </w:tcPr>
          <w:p w14:paraId="1A1109B8"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 xml:space="preserve">Caixa 93 </w:t>
            </w:r>
          </w:p>
          <w:p w14:paraId="1AAE9D74"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Pasta 6</w:t>
            </w:r>
          </w:p>
        </w:tc>
      </w:tr>
      <w:tr w:rsidR="00B125DC" w:rsidRPr="00504B74" w14:paraId="311C793A" w14:textId="77777777" w:rsidTr="001615CA">
        <w:tc>
          <w:tcPr>
            <w:tcW w:w="3114" w:type="dxa"/>
          </w:tcPr>
          <w:p w14:paraId="707993CB"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Arquivos empresariais</w:t>
            </w:r>
          </w:p>
        </w:tc>
        <w:tc>
          <w:tcPr>
            <w:tcW w:w="2835" w:type="dxa"/>
            <w:vAlign w:val="center"/>
          </w:tcPr>
          <w:p w14:paraId="0327D546"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p w14:paraId="2A2DA217"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1134" w:type="dxa"/>
          </w:tcPr>
          <w:p w14:paraId="33B02706"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1982</w:t>
            </w:r>
          </w:p>
        </w:tc>
        <w:tc>
          <w:tcPr>
            <w:tcW w:w="1843" w:type="dxa"/>
          </w:tcPr>
          <w:p w14:paraId="07D5D36C"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75393909" w14:textId="77777777" w:rsidTr="001615CA">
        <w:tc>
          <w:tcPr>
            <w:tcW w:w="3114" w:type="dxa"/>
          </w:tcPr>
          <w:p w14:paraId="2C63793E"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lastRenderedPageBreak/>
              <w:t>O microfilme e o arquivo moderno</w:t>
            </w:r>
          </w:p>
        </w:tc>
        <w:tc>
          <w:tcPr>
            <w:tcW w:w="2835" w:type="dxa"/>
            <w:vAlign w:val="center"/>
          </w:tcPr>
          <w:p w14:paraId="7F2F0AD3"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p w14:paraId="4ABF2F8C"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1134" w:type="dxa"/>
          </w:tcPr>
          <w:p w14:paraId="238FE11B"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1982</w:t>
            </w:r>
          </w:p>
        </w:tc>
        <w:tc>
          <w:tcPr>
            <w:tcW w:w="1843" w:type="dxa"/>
          </w:tcPr>
          <w:p w14:paraId="61BB9B14"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11569CCC" w14:textId="77777777" w:rsidTr="001615CA">
        <w:tc>
          <w:tcPr>
            <w:tcW w:w="3114" w:type="dxa"/>
          </w:tcPr>
          <w:p w14:paraId="2F4E0841"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Organização e Administração de Arquivos</w:t>
            </w:r>
          </w:p>
        </w:tc>
        <w:tc>
          <w:tcPr>
            <w:tcW w:w="2835" w:type="dxa"/>
            <w:vAlign w:val="center"/>
          </w:tcPr>
          <w:p w14:paraId="5F9F745C"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p w14:paraId="033FE9F5"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1134" w:type="dxa"/>
          </w:tcPr>
          <w:p w14:paraId="45FF0B22"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1982</w:t>
            </w:r>
          </w:p>
        </w:tc>
        <w:tc>
          <w:tcPr>
            <w:tcW w:w="1843" w:type="dxa"/>
          </w:tcPr>
          <w:p w14:paraId="645AFADB"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041CA7EE" w14:textId="77777777" w:rsidTr="001615CA">
        <w:tc>
          <w:tcPr>
            <w:tcW w:w="3114" w:type="dxa"/>
          </w:tcPr>
          <w:p w14:paraId="42C9ED8A"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 xml:space="preserve">Arquivo Corrente: base da informação </w:t>
            </w:r>
          </w:p>
        </w:tc>
        <w:tc>
          <w:tcPr>
            <w:tcW w:w="2835" w:type="dxa"/>
            <w:vAlign w:val="center"/>
          </w:tcPr>
          <w:p w14:paraId="57AAA026"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Prof.ª: Marilena Leite Paes, entre outros professores</w:t>
            </w:r>
          </w:p>
          <w:p w14:paraId="47CEA38D"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1134" w:type="dxa"/>
          </w:tcPr>
          <w:p w14:paraId="5D653894"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1985</w:t>
            </w:r>
          </w:p>
        </w:tc>
        <w:tc>
          <w:tcPr>
            <w:tcW w:w="1843" w:type="dxa"/>
          </w:tcPr>
          <w:p w14:paraId="0F38763C"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2C0ED8E6" w14:textId="77777777" w:rsidTr="001615CA">
        <w:tc>
          <w:tcPr>
            <w:tcW w:w="3114" w:type="dxa"/>
          </w:tcPr>
          <w:p w14:paraId="5A62F78D" w14:textId="77777777" w:rsidR="00B125DC"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Arquivos Correntes</w:t>
            </w:r>
          </w:p>
          <w:p w14:paraId="21BFCEDD" w14:textId="77777777" w:rsidR="00B125DC" w:rsidRPr="00504B74" w:rsidRDefault="00B125DC" w:rsidP="001615CA">
            <w:pPr>
              <w:rPr>
                <w:rFonts w:ascii="Times New Roman" w:hAnsi="Times New Roman"/>
                <w:kern w:val="2"/>
                <w:sz w:val="24"/>
                <w:szCs w:val="24"/>
                <w:lang w:val="es-PY"/>
                <w14:ligatures w14:val="standardContextual"/>
              </w:rPr>
            </w:pPr>
          </w:p>
        </w:tc>
        <w:tc>
          <w:tcPr>
            <w:tcW w:w="2835" w:type="dxa"/>
          </w:tcPr>
          <w:p w14:paraId="566FCAAD"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Prof.ª: Marilena Leite Paes</w:t>
            </w:r>
          </w:p>
        </w:tc>
        <w:tc>
          <w:tcPr>
            <w:tcW w:w="1134" w:type="dxa"/>
          </w:tcPr>
          <w:p w14:paraId="19BF3940"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1986</w:t>
            </w:r>
          </w:p>
        </w:tc>
        <w:tc>
          <w:tcPr>
            <w:tcW w:w="1843" w:type="dxa"/>
          </w:tcPr>
          <w:p w14:paraId="5803FD07"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66FFFC2C" w14:textId="77777777" w:rsidTr="001615CA">
        <w:tc>
          <w:tcPr>
            <w:tcW w:w="3114" w:type="dxa"/>
          </w:tcPr>
          <w:p w14:paraId="50A3C3D9"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Elaboração de Códigos de Assuntos para Arquivo</w:t>
            </w:r>
          </w:p>
          <w:p w14:paraId="359D42EF" w14:textId="77777777" w:rsidR="00B125DC" w:rsidRPr="00504B74" w:rsidRDefault="00B125DC" w:rsidP="001615CA">
            <w:pPr>
              <w:rPr>
                <w:rFonts w:ascii="Times New Roman" w:hAnsi="Times New Roman"/>
                <w:kern w:val="2"/>
                <w:sz w:val="24"/>
                <w:szCs w:val="24"/>
                <w:lang w:val="pt-BR"/>
                <w14:ligatures w14:val="standardContextual"/>
              </w:rPr>
            </w:pPr>
          </w:p>
        </w:tc>
        <w:tc>
          <w:tcPr>
            <w:tcW w:w="2835" w:type="dxa"/>
          </w:tcPr>
          <w:p w14:paraId="6D1DA243"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Prof.ª: Marilena Leite Paes</w:t>
            </w:r>
          </w:p>
        </w:tc>
        <w:tc>
          <w:tcPr>
            <w:tcW w:w="1134" w:type="dxa"/>
          </w:tcPr>
          <w:p w14:paraId="24E6E392"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1986</w:t>
            </w:r>
          </w:p>
        </w:tc>
        <w:tc>
          <w:tcPr>
            <w:tcW w:w="1843" w:type="dxa"/>
          </w:tcPr>
          <w:p w14:paraId="48B51C00"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16D07652" w14:textId="77777777" w:rsidTr="001615CA">
        <w:tc>
          <w:tcPr>
            <w:tcW w:w="3114" w:type="dxa"/>
          </w:tcPr>
          <w:p w14:paraId="057A0B77"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A Classificação por Assuntos e a Avaliação de Documentos de Arquivo</w:t>
            </w:r>
          </w:p>
        </w:tc>
        <w:tc>
          <w:tcPr>
            <w:tcW w:w="2835" w:type="dxa"/>
          </w:tcPr>
          <w:p w14:paraId="361681CA"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Professoras: Helena Corrêa Machado (Arquivo da Cidade do RJ) e Marilena Leite Paes (FGV)</w:t>
            </w:r>
          </w:p>
          <w:p w14:paraId="187DE6A5"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1134" w:type="dxa"/>
          </w:tcPr>
          <w:p w14:paraId="31060DA0"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1989-1990</w:t>
            </w:r>
          </w:p>
        </w:tc>
        <w:tc>
          <w:tcPr>
            <w:tcW w:w="1843" w:type="dxa"/>
          </w:tcPr>
          <w:p w14:paraId="50458A1E"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1 Pasta 2</w:t>
            </w:r>
          </w:p>
        </w:tc>
      </w:tr>
      <w:tr w:rsidR="00B125DC" w:rsidRPr="00504B74" w14:paraId="4C514B97" w14:textId="77777777" w:rsidTr="001615CA">
        <w:tc>
          <w:tcPr>
            <w:tcW w:w="3114" w:type="dxa"/>
          </w:tcPr>
          <w:p w14:paraId="5657DDF6" w14:textId="77777777" w:rsidR="00B125DC" w:rsidRDefault="00B125DC" w:rsidP="001615CA">
            <w:pPr>
              <w:rPr>
                <w:rFonts w:ascii="Times New Roman" w:eastAsia="Times New Roman" w:hAnsi="Times New Roman"/>
                <w:color w:val="000000"/>
                <w:kern w:val="2"/>
                <w:sz w:val="24"/>
                <w:szCs w:val="24"/>
                <w:lang w:val="pt-BR" w:eastAsia="pt-BR"/>
                <w14:ligatures w14:val="standardContextual"/>
              </w:rPr>
            </w:pPr>
            <w:r w:rsidRPr="00504B74">
              <w:rPr>
                <w:rFonts w:ascii="Times New Roman" w:eastAsia="Times New Roman" w:hAnsi="Times New Roman"/>
                <w:color w:val="000000"/>
                <w:kern w:val="2"/>
                <w:sz w:val="24"/>
                <w:szCs w:val="24"/>
                <w:lang w:val="pt-BR" w:eastAsia="pt-BR"/>
                <w14:ligatures w14:val="standardContextual"/>
              </w:rPr>
              <w:t>Arquivos correntes: sua importância para a constituição dos acervos arquivísticos permanentes</w:t>
            </w:r>
          </w:p>
          <w:p w14:paraId="03EB0CB9" w14:textId="77777777" w:rsidR="00B125DC" w:rsidRPr="00504B74" w:rsidRDefault="00B125DC" w:rsidP="001615CA">
            <w:pPr>
              <w:rPr>
                <w:rFonts w:ascii="Times New Roman" w:eastAsia="Times New Roman" w:hAnsi="Times New Roman"/>
                <w:color w:val="000000"/>
                <w:kern w:val="2"/>
                <w:sz w:val="24"/>
                <w:szCs w:val="24"/>
                <w:lang w:val="pt-BR" w:eastAsia="pt-BR"/>
                <w14:ligatures w14:val="standardContextual"/>
              </w:rPr>
            </w:pPr>
          </w:p>
        </w:tc>
        <w:tc>
          <w:tcPr>
            <w:tcW w:w="2835" w:type="dxa"/>
          </w:tcPr>
          <w:p w14:paraId="6B53CD53"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Prof.ª Marilena Leite Paes</w:t>
            </w:r>
          </w:p>
        </w:tc>
        <w:tc>
          <w:tcPr>
            <w:tcW w:w="1134" w:type="dxa"/>
          </w:tcPr>
          <w:p w14:paraId="08F8EB3B" w14:textId="77777777" w:rsidR="00B125DC" w:rsidRPr="00504B74" w:rsidRDefault="00B125DC" w:rsidP="001615CA">
            <w:pPr>
              <w:rPr>
                <w:rFonts w:ascii="Times New Roman" w:hAnsi="Times New Roman"/>
                <w:kern w:val="2"/>
                <w:sz w:val="24"/>
                <w:szCs w:val="24"/>
                <w:lang w:val="es-PY"/>
                <w14:ligatures w14:val="standardContextual"/>
              </w:rPr>
            </w:pPr>
            <w:r w:rsidRPr="00504B74">
              <w:rPr>
                <w:rFonts w:ascii="Times New Roman" w:hAnsi="Times New Roman"/>
                <w:kern w:val="2"/>
                <w:sz w:val="24"/>
                <w:szCs w:val="24"/>
                <w:lang w:val="es-PY"/>
                <w14:ligatures w14:val="standardContextual"/>
              </w:rPr>
              <w:t>2004</w:t>
            </w:r>
          </w:p>
        </w:tc>
        <w:tc>
          <w:tcPr>
            <w:tcW w:w="1843" w:type="dxa"/>
          </w:tcPr>
          <w:p w14:paraId="5064F67F" w14:textId="77777777" w:rsidR="00B125DC" w:rsidRPr="00504B74" w:rsidRDefault="00B125DC" w:rsidP="001615CA">
            <w:pPr>
              <w:rPr>
                <w:rFonts w:ascii="Times New Roman" w:eastAsia="Times New Roman" w:hAnsi="Times New Roman"/>
                <w:color w:val="000000"/>
                <w:kern w:val="2"/>
                <w:sz w:val="24"/>
                <w:szCs w:val="24"/>
                <w:lang w:val="es-PY" w:eastAsia="pt-BR"/>
                <w14:ligatures w14:val="standardContextual"/>
              </w:rPr>
            </w:pPr>
            <w:r w:rsidRPr="00504B74">
              <w:rPr>
                <w:rFonts w:ascii="Times New Roman" w:eastAsia="Times New Roman" w:hAnsi="Times New Roman"/>
                <w:color w:val="000000"/>
                <w:kern w:val="2"/>
                <w:sz w:val="24"/>
                <w:szCs w:val="24"/>
                <w:lang w:val="es-PY" w:eastAsia="pt-BR"/>
                <w14:ligatures w14:val="standardContextual"/>
              </w:rPr>
              <w:t>Caixa 6 Pasta 2</w:t>
            </w:r>
          </w:p>
        </w:tc>
      </w:tr>
    </w:tbl>
    <w:p w14:paraId="65CDB772" w14:textId="77777777" w:rsidR="00B125DC" w:rsidRPr="00897793" w:rsidRDefault="00B125DC" w:rsidP="00B125DC">
      <w:pPr>
        <w:spacing w:after="0" w:line="240" w:lineRule="auto"/>
        <w:jc w:val="both"/>
        <w:rPr>
          <w:rFonts w:ascii="Times New Roman" w:eastAsia="Times New Roman" w:hAnsi="Times New Roman" w:cs="Times New Roman"/>
          <w:sz w:val="20"/>
          <w:szCs w:val="20"/>
        </w:rPr>
      </w:pPr>
      <w:r w:rsidRPr="00897793">
        <w:rPr>
          <w:rFonts w:ascii="Times New Roman" w:eastAsia="Times New Roman" w:hAnsi="Times New Roman" w:cs="Times New Roman"/>
          <w:b/>
          <w:sz w:val="20"/>
          <w:szCs w:val="20"/>
        </w:rPr>
        <w:t>Fonte</w:t>
      </w:r>
      <w:r w:rsidRPr="00897793">
        <w:rPr>
          <w:rFonts w:ascii="Times New Roman" w:eastAsia="Times New Roman" w:hAnsi="Times New Roman" w:cs="Times New Roman"/>
          <w:sz w:val="20"/>
          <w:szCs w:val="20"/>
        </w:rPr>
        <w:t>: Elaboração própria, com base na coleta de dados do fundo AAB no Arquivo Nacional.</w:t>
      </w:r>
    </w:p>
    <w:bookmarkEnd w:id="5"/>
    <w:p w14:paraId="20037738" w14:textId="77777777" w:rsidR="00B125DC" w:rsidRPr="00504B74" w:rsidRDefault="00B125DC" w:rsidP="00674250">
      <w:pPr>
        <w:spacing w:after="0" w:line="360" w:lineRule="auto"/>
        <w:ind w:firstLine="567"/>
        <w:contextualSpacing/>
        <w:jc w:val="both"/>
        <w:rPr>
          <w:rFonts w:ascii="Times New Roman" w:hAnsi="Times New Roman" w:cs="Times New Roman"/>
          <w:sz w:val="24"/>
          <w:szCs w:val="24"/>
        </w:rPr>
      </w:pPr>
    </w:p>
    <w:p w14:paraId="40015AE9" w14:textId="77777777" w:rsidR="00B125DC" w:rsidRPr="00504B74" w:rsidRDefault="00B125DC" w:rsidP="00674250">
      <w:pPr>
        <w:spacing w:after="0" w:line="360" w:lineRule="auto"/>
        <w:ind w:firstLine="720"/>
        <w:contextualSpacing/>
        <w:jc w:val="both"/>
        <w:rPr>
          <w:rFonts w:ascii="Times New Roman" w:hAnsi="Times New Roman" w:cs="Times New Roman"/>
          <w:sz w:val="24"/>
          <w:szCs w:val="24"/>
        </w:rPr>
      </w:pPr>
      <w:r w:rsidRPr="00504B74">
        <w:rPr>
          <w:rFonts w:ascii="Times New Roman" w:hAnsi="Times New Roman" w:cs="Times New Roman"/>
          <w:sz w:val="24"/>
          <w:szCs w:val="24"/>
        </w:rPr>
        <w:t xml:space="preserve">O Curso de “Organização de Arquivos de Empresas”, oferecido em 1978, tinha como disciplinas: arquivo como instrumento de informação; métodos de arquivamento; a documentação da empresa; análise da documentação do arquivo; movimentação de documentos; recuperação da informação; arranjo dos arquivos de custódia; descrição e referência dos arquivos de custódia; arquivo e computador: instalação, pessoal e equipamentos; avaliação, seleção e destinação de documentos; arquivos e as técnicas modernas. </w:t>
      </w:r>
    </w:p>
    <w:p w14:paraId="0F0985FF" w14:textId="77777777" w:rsidR="00B125DC" w:rsidRPr="00504B74" w:rsidRDefault="00B125DC" w:rsidP="00674250">
      <w:pPr>
        <w:spacing w:after="0" w:line="360" w:lineRule="auto"/>
        <w:ind w:firstLine="720"/>
        <w:contextualSpacing/>
        <w:jc w:val="both"/>
        <w:rPr>
          <w:rFonts w:ascii="Times New Roman" w:hAnsi="Times New Roman" w:cs="Times New Roman"/>
          <w:sz w:val="24"/>
          <w:szCs w:val="24"/>
        </w:rPr>
      </w:pPr>
      <w:r w:rsidRPr="00504B74">
        <w:rPr>
          <w:rFonts w:ascii="Times New Roman" w:hAnsi="Times New Roman" w:cs="Times New Roman"/>
          <w:sz w:val="24"/>
          <w:szCs w:val="24"/>
        </w:rPr>
        <w:t xml:space="preserve">O curso “Organização e Administração de Arquivos” tinha como objetivo principal a orientação de pessoal para organizar, administrar e manter sistemas de arquivos em instituições públicas e privadas. A divulgação de um desses cursos em Belém, no Pará, foi feita </w:t>
      </w:r>
      <w:r w:rsidRPr="00504B74">
        <w:rPr>
          <w:rFonts w:ascii="Times New Roman" w:hAnsi="Times New Roman" w:cs="Times New Roman"/>
          <w:bCs/>
          <w:sz w:val="24"/>
          <w:szCs w:val="24"/>
        </w:rPr>
        <w:t>pela</w:t>
      </w:r>
      <w:r w:rsidRPr="00504B74">
        <w:rPr>
          <w:rFonts w:ascii="Times New Roman" w:hAnsi="Times New Roman" w:cs="Times New Roman"/>
          <w:b/>
          <w:bCs/>
          <w:sz w:val="24"/>
          <w:szCs w:val="24"/>
        </w:rPr>
        <w:t xml:space="preserve"> Revista Arquivo &amp; Administração,</w:t>
      </w:r>
      <w:r w:rsidRPr="00504B74">
        <w:rPr>
          <w:rFonts w:ascii="Times New Roman" w:hAnsi="Times New Roman" w:cs="Times New Roman"/>
          <w:sz w:val="24"/>
          <w:szCs w:val="24"/>
        </w:rPr>
        <w:t xml:space="preserve"> de 1978. Outros cursos ocorreram, a exemplo do já tradicional Curso de “Aperfeiçoamento em Organização de Arquivos de Empresas”, com os seguintes conteúdos abordados no programa: terminologia, princípios, conceituação e classificação de arquivos; fundamentos de organização e métodos (O&amp;M); administração de documentos; </w:t>
      </w:r>
      <w:r w:rsidRPr="00504B74">
        <w:rPr>
          <w:rFonts w:ascii="Times New Roman" w:hAnsi="Times New Roman" w:cs="Times New Roman"/>
          <w:sz w:val="24"/>
          <w:szCs w:val="24"/>
        </w:rPr>
        <w:lastRenderedPageBreak/>
        <w:t>organização de arquivos, abrangendo desde o levantamento da documentação e análise das estruturas organizacionais, até a elaboração de projetos, códigos de assunto e manuais de arquivo; recursos humanos, financeiros e equipamentos; implantação de arquivos correntes, protocolos, arquivos intermediários e permanentes; valor jurídico dos documentos e aplicação da microfilmagem aos arquivos. É nesse sentido que percebemos o quanto Marilena estava inserida tanto no mundo das práticas quanto da teoria dos arquivos, e o quanto ela buscava de conhecimentos na área.</w:t>
      </w:r>
    </w:p>
    <w:p w14:paraId="7B6649F2" w14:textId="77777777" w:rsidR="00B125DC" w:rsidRPr="00504B74" w:rsidRDefault="00B125DC" w:rsidP="00674250">
      <w:pPr>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Marilena lecionou em diversos cursos como estes apresentados, que tinham a duração de 40 horas. Em um momento em que as empresas tinham necessidade de suprir seus quadros com conhecimento adequado para resolver o problema da grande quantidade de documentos correntes, os cursos oferecidos pela AAB passam a servir como referência. </w:t>
      </w:r>
    </w:p>
    <w:p w14:paraId="1E2FBF9A" w14:textId="77777777" w:rsidR="00B125DC" w:rsidRPr="00504B74" w:rsidRDefault="00B125DC" w:rsidP="00674250">
      <w:pPr>
        <w:spacing w:after="0" w:line="360" w:lineRule="auto"/>
        <w:ind w:firstLine="720"/>
        <w:contextualSpacing/>
        <w:jc w:val="both"/>
        <w:rPr>
          <w:rFonts w:ascii="Times New Roman" w:hAnsi="Times New Roman" w:cs="Times New Roman"/>
          <w:bCs/>
          <w:sz w:val="24"/>
          <w:szCs w:val="24"/>
        </w:rPr>
      </w:pPr>
      <w:r w:rsidRPr="00504B74">
        <w:rPr>
          <w:rFonts w:ascii="Times New Roman" w:hAnsi="Times New Roman" w:cs="Times New Roman"/>
          <w:sz w:val="24"/>
          <w:szCs w:val="24"/>
        </w:rPr>
        <w:t xml:space="preserve">Em diversos momentos desse contexto, anos 1970 e 1980, vimos que o assunto que preocupava a área dos arquivos era sua organização: como utilizar racionalmente os documentos, como organizá-los de forma mais adequada? Reflexos dessas questões foram, além dos cursos sobre a temática promovidos pela AAB, os trabalhos publicados nos periódicos, como a </w:t>
      </w:r>
      <w:r w:rsidRPr="00504B74">
        <w:rPr>
          <w:rFonts w:ascii="Times New Roman" w:hAnsi="Times New Roman" w:cs="Times New Roman"/>
          <w:b/>
          <w:bCs/>
          <w:sz w:val="24"/>
          <w:szCs w:val="24"/>
        </w:rPr>
        <w:t xml:space="preserve">Revista Arquivo e Administração </w:t>
      </w:r>
      <w:r w:rsidRPr="00504B74">
        <w:rPr>
          <w:rFonts w:ascii="Times New Roman" w:hAnsi="Times New Roman" w:cs="Times New Roman"/>
          <w:bCs/>
          <w:sz w:val="24"/>
          <w:szCs w:val="24"/>
        </w:rPr>
        <w:t>e a</w:t>
      </w:r>
      <w:r w:rsidRPr="00504B74">
        <w:rPr>
          <w:rFonts w:ascii="Times New Roman" w:hAnsi="Times New Roman" w:cs="Times New Roman"/>
          <w:b/>
          <w:bCs/>
          <w:sz w:val="24"/>
          <w:szCs w:val="24"/>
        </w:rPr>
        <w:t xml:space="preserve"> Revista do Serviço Público</w:t>
      </w:r>
      <w:r w:rsidRPr="00504B74">
        <w:rPr>
          <w:rFonts w:ascii="Times New Roman" w:hAnsi="Times New Roman" w:cs="Times New Roman"/>
          <w:bCs/>
          <w:sz w:val="24"/>
          <w:szCs w:val="24"/>
        </w:rPr>
        <w:t xml:space="preserve">. </w:t>
      </w:r>
    </w:p>
    <w:p w14:paraId="28D645FF" w14:textId="77777777" w:rsidR="00B125DC" w:rsidRPr="00504B74" w:rsidRDefault="00B125DC" w:rsidP="00674250">
      <w:pPr>
        <w:spacing w:after="0" w:line="360" w:lineRule="auto"/>
        <w:ind w:firstLine="720"/>
        <w:contextualSpacing/>
        <w:jc w:val="both"/>
        <w:rPr>
          <w:rFonts w:ascii="Times New Roman" w:hAnsi="Times New Roman" w:cs="Times New Roman"/>
          <w:sz w:val="24"/>
          <w:szCs w:val="24"/>
        </w:rPr>
      </w:pPr>
      <w:r w:rsidRPr="00504B74">
        <w:rPr>
          <w:rFonts w:ascii="Times New Roman" w:hAnsi="Times New Roman" w:cs="Times New Roman"/>
          <w:sz w:val="24"/>
          <w:szCs w:val="24"/>
        </w:rPr>
        <w:t xml:space="preserve">Como resultados deste trabalho, entendemos que Marilena Leite Paes foi responsável pela disseminação de informações através dos cursos de aperfeiçoamento profissional a respeito da organização de arquivos correntes, gestão de documentos e classificação em arquivos, algo que ainda não era </w:t>
      </w:r>
      <w:r>
        <w:rPr>
          <w:rFonts w:ascii="Times New Roman" w:hAnsi="Times New Roman" w:cs="Times New Roman"/>
          <w:sz w:val="24"/>
          <w:szCs w:val="24"/>
        </w:rPr>
        <w:t xml:space="preserve">tão </w:t>
      </w:r>
      <w:r w:rsidRPr="00504B74">
        <w:rPr>
          <w:rFonts w:ascii="Times New Roman" w:hAnsi="Times New Roman" w:cs="Times New Roman"/>
          <w:sz w:val="24"/>
          <w:szCs w:val="24"/>
        </w:rPr>
        <w:t xml:space="preserve">difundido na área. </w:t>
      </w:r>
    </w:p>
    <w:p w14:paraId="3837BA54" w14:textId="77777777" w:rsidR="00B125DC" w:rsidRDefault="00B125DC" w:rsidP="00B125DC">
      <w:pPr>
        <w:spacing w:after="0" w:line="360" w:lineRule="auto"/>
        <w:jc w:val="both"/>
        <w:rPr>
          <w:rFonts w:ascii="Times New Roman" w:eastAsia="Times New Roman" w:hAnsi="Times New Roman" w:cs="Times New Roman"/>
          <w:sz w:val="24"/>
          <w:szCs w:val="24"/>
        </w:rPr>
      </w:pPr>
    </w:p>
    <w:p w14:paraId="4CF3FCA9"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CONSIDERAÇÕES FINAIS</w:t>
      </w:r>
    </w:p>
    <w:p w14:paraId="4730B88F" w14:textId="77777777" w:rsidR="00B125DC" w:rsidRDefault="00B125DC" w:rsidP="00B125DC">
      <w:pPr>
        <w:spacing w:after="0" w:line="360" w:lineRule="auto"/>
        <w:jc w:val="both"/>
        <w:rPr>
          <w:rFonts w:ascii="Times New Roman" w:eastAsia="Times New Roman" w:hAnsi="Times New Roman" w:cs="Times New Roman"/>
          <w:b/>
          <w:sz w:val="24"/>
          <w:szCs w:val="24"/>
        </w:rPr>
      </w:pPr>
    </w:p>
    <w:p w14:paraId="332525A2" w14:textId="77777777" w:rsidR="00B125DC" w:rsidRPr="00504B74" w:rsidRDefault="00B125DC" w:rsidP="00B125DC">
      <w:pPr>
        <w:autoSpaceDE w:val="0"/>
        <w:autoSpaceDN w:val="0"/>
        <w:adjustRightInd w:val="0"/>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 xml:space="preserve">A preocupação com a formação e atualização de pessoal na área de arquivos de empresas privadas e instituições públicas fez com que o INDOC e a ABB lançassem diversos cursos para suprir a necessidade do mercado. Nesse sentido, identificamos o quanto a problemática com os arquivos correntes estava presente na área. Se num primeiro momento, anos 1970 e início dos anos 1980, ao observar os títulos dos cursos, a preocupação se apresenta nos termos “arquivos de empresas”, “arquivo modernos” e “arquivos empresariais”, considerando a carência de orientações nas empresas privadas, a partir daí notamos a mudança de perspectiva com a aparição de “administração de arquivos”, “arquivo corrente” e “códigos de assunto”, denotando, portanto, uma consolidação maior dos conhecimentos arquivísticos na época e sua disseminação para instituições públicas também. </w:t>
      </w:r>
    </w:p>
    <w:p w14:paraId="33218FF8" w14:textId="77777777" w:rsidR="00B125DC" w:rsidRPr="00504B74" w:rsidRDefault="00B125DC" w:rsidP="00B125DC">
      <w:pPr>
        <w:autoSpaceDE w:val="0"/>
        <w:autoSpaceDN w:val="0"/>
        <w:adjustRightInd w:val="0"/>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lastRenderedPageBreak/>
        <w:t xml:space="preserve">Marilena destacou-se como defensora da metodologia baseada em Dewey para classificar arquivos correntes, o que já estava dada no próprio título de um de seus cursos: “Elaboração de Códigos de Assuntos para Arquivo”. Outro ponto a ser observado também é a presença de Marilena como professora por quase três décadas, o que mostra sua efetiva participação na difusão de conhecimentos na Arquivologia, permitindo que sua metodologia se mantivesse consolidada até hoje. </w:t>
      </w:r>
    </w:p>
    <w:p w14:paraId="299CE7F3" w14:textId="77777777" w:rsidR="00B125DC" w:rsidRPr="00504B74" w:rsidRDefault="00B125DC" w:rsidP="00B125DC">
      <w:pPr>
        <w:autoSpaceDE w:val="0"/>
        <w:autoSpaceDN w:val="0"/>
        <w:adjustRightInd w:val="0"/>
        <w:spacing w:after="0" w:line="360" w:lineRule="auto"/>
        <w:ind w:firstLine="720"/>
        <w:jc w:val="both"/>
        <w:rPr>
          <w:rFonts w:ascii="Times New Roman" w:hAnsi="Times New Roman" w:cs="Times New Roman"/>
          <w:sz w:val="24"/>
          <w:szCs w:val="24"/>
        </w:rPr>
      </w:pPr>
      <w:r w:rsidRPr="00504B74">
        <w:rPr>
          <w:rFonts w:ascii="Times New Roman" w:hAnsi="Times New Roman" w:cs="Times New Roman"/>
          <w:sz w:val="24"/>
          <w:szCs w:val="24"/>
        </w:rPr>
        <w:t>Dessa forma, entende-se que Marilena Leite Paes foi umas das protagonistas na implementação dos procedimentos de gestão dos arquivos correntes, colaborando para a disseminação de conhecimentos na área através dos cursos de formação lecionados por ela.</w:t>
      </w:r>
    </w:p>
    <w:p w14:paraId="037B1A5E" w14:textId="77777777" w:rsidR="00B125DC" w:rsidRDefault="00B125DC" w:rsidP="00B125DC">
      <w:pPr>
        <w:spacing w:after="0" w:line="360" w:lineRule="auto"/>
        <w:jc w:val="both"/>
        <w:rPr>
          <w:rFonts w:ascii="Times New Roman" w:eastAsia="Times New Roman" w:hAnsi="Times New Roman" w:cs="Times New Roman"/>
          <w:b/>
          <w:sz w:val="24"/>
          <w:szCs w:val="24"/>
        </w:rPr>
      </w:pPr>
    </w:p>
    <w:p w14:paraId="24AF2765" w14:textId="77777777" w:rsidR="00B125DC" w:rsidRDefault="00B125DC" w:rsidP="00B125DC">
      <w:pPr>
        <w:spacing w:after="0" w:line="360" w:lineRule="auto"/>
        <w:jc w:val="both"/>
        <w:rPr>
          <w:rFonts w:ascii="Times New Roman" w:eastAsia="Times New Roman" w:hAnsi="Times New Roman" w:cs="Times New Roman"/>
          <w:b/>
          <w:sz w:val="24"/>
          <w:szCs w:val="24"/>
        </w:rPr>
      </w:pPr>
    </w:p>
    <w:p w14:paraId="6E871DB6"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508BCF05" w14:textId="77777777" w:rsidR="00B125DC" w:rsidRDefault="00B125DC" w:rsidP="00B125DC">
      <w:pPr>
        <w:spacing w:after="0" w:line="360" w:lineRule="auto"/>
        <w:jc w:val="both"/>
        <w:rPr>
          <w:rFonts w:ascii="Times New Roman" w:eastAsia="Times New Roman" w:hAnsi="Times New Roman" w:cs="Times New Roman"/>
          <w:b/>
          <w:sz w:val="24"/>
          <w:szCs w:val="24"/>
        </w:rPr>
      </w:pPr>
    </w:p>
    <w:p w14:paraId="1E91CF0E"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t xml:space="preserve">ARQUIVO NACIONAL. Mensário do Arquivo Nacional. Brasília: Arquivo Nacional, 1970-1982. </w:t>
      </w:r>
    </w:p>
    <w:p w14:paraId="5AC11690"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3C8B8148" w14:textId="1F876C58" w:rsidR="00B125DC" w:rsidRPr="00504B74" w:rsidRDefault="00B125DC" w:rsidP="00B125DC">
      <w:pPr>
        <w:spacing w:after="0" w:line="240" w:lineRule="auto"/>
        <w:ind w:right="-1"/>
        <w:jc w:val="both"/>
        <w:rPr>
          <w:rFonts w:ascii="Times New Roman" w:hAnsi="Times New Roman" w:cs="Times New Roman"/>
          <w:sz w:val="24"/>
          <w:szCs w:val="24"/>
          <w:lang w:val="es-PY"/>
        </w:rPr>
      </w:pPr>
      <w:r w:rsidRPr="00504B74">
        <w:rPr>
          <w:rFonts w:ascii="Times New Roman" w:hAnsi="Times New Roman" w:cs="Times New Roman"/>
          <w:sz w:val="24"/>
          <w:szCs w:val="24"/>
        </w:rPr>
        <w:t xml:space="preserve">BALDINI, Italo. </w:t>
      </w:r>
      <w:r w:rsidRPr="00504B74">
        <w:rPr>
          <w:rFonts w:ascii="Times New Roman" w:hAnsi="Times New Roman" w:cs="Times New Roman"/>
          <w:sz w:val="24"/>
          <w:szCs w:val="24"/>
          <w:lang w:val="es-PY"/>
        </w:rPr>
        <w:t>El archivo en la empresa moderna. Barcelona</w:t>
      </w:r>
      <w:r w:rsidR="00E204C9">
        <w:rPr>
          <w:rFonts w:ascii="Times New Roman" w:hAnsi="Times New Roman" w:cs="Times New Roman"/>
          <w:sz w:val="24"/>
          <w:szCs w:val="24"/>
          <w:lang w:val="es-PY"/>
        </w:rPr>
        <w:t>:</w:t>
      </w:r>
      <w:r w:rsidRPr="00504B74">
        <w:rPr>
          <w:rFonts w:ascii="Times New Roman" w:hAnsi="Times New Roman" w:cs="Times New Roman"/>
          <w:sz w:val="24"/>
          <w:szCs w:val="24"/>
          <w:lang w:val="es-PY"/>
        </w:rPr>
        <w:t xml:space="preserve"> Editorial </w:t>
      </w:r>
      <w:r w:rsidR="00E204C9" w:rsidRPr="00504B74">
        <w:rPr>
          <w:rFonts w:ascii="Times New Roman" w:hAnsi="Times New Roman" w:cs="Times New Roman"/>
          <w:sz w:val="24"/>
          <w:szCs w:val="24"/>
          <w:lang w:val="es-PY"/>
        </w:rPr>
        <w:t>Hispano-Europea</w:t>
      </w:r>
      <w:r w:rsidRPr="00504B74">
        <w:rPr>
          <w:rFonts w:ascii="Times New Roman" w:hAnsi="Times New Roman" w:cs="Times New Roman"/>
          <w:sz w:val="24"/>
          <w:szCs w:val="24"/>
          <w:lang w:val="es-PY"/>
        </w:rPr>
        <w:t>, 1964.</w:t>
      </w:r>
    </w:p>
    <w:p w14:paraId="4EEB815F" w14:textId="77777777" w:rsidR="00B125DC" w:rsidRPr="00504B74" w:rsidRDefault="00B125DC" w:rsidP="00E204C9">
      <w:pPr>
        <w:spacing w:after="0" w:line="360" w:lineRule="auto"/>
        <w:ind w:right="-1"/>
        <w:jc w:val="both"/>
        <w:rPr>
          <w:rFonts w:ascii="Times New Roman" w:hAnsi="Times New Roman" w:cs="Times New Roman"/>
          <w:sz w:val="24"/>
          <w:szCs w:val="24"/>
          <w:lang w:val="es-PY"/>
        </w:rPr>
      </w:pPr>
    </w:p>
    <w:p w14:paraId="3BCEE7AA" w14:textId="77777777" w:rsidR="00B125DC" w:rsidRPr="00504B74" w:rsidRDefault="00B125DC" w:rsidP="00B125DC">
      <w:pPr>
        <w:spacing w:after="0" w:line="240" w:lineRule="auto"/>
        <w:jc w:val="both"/>
        <w:textAlignment w:val="baseline"/>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lang w:val="es-PY"/>
        </w:rPr>
        <w:t xml:space="preserve">BELLOTTO, Heloísa Liberalli. </w:t>
      </w:r>
      <w:r w:rsidRPr="00504B74">
        <w:rPr>
          <w:rFonts w:ascii="Times New Roman" w:eastAsia="Times New Roman" w:hAnsi="Times New Roman" w:cs="Times New Roman"/>
          <w:b/>
          <w:sz w:val="24"/>
          <w:szCs w:val="24"/>
        </w:rPr>
        <w:t>Arquivos</w:t>
      </w:r>
      <w:r w:rsidRPr="00504B74">
        <w:rPr>
          <w:rFonts w:ascii="Times New Roman" w:eastAsia="Times New Roman" w:hAnsi="Times New Roman" w:cs="Times New Roman"/>
          <w:sz w:val="24"/>
          <w:szCs w:val="24"/>
        </w:rPr>
        <w:t>: estudos e reflexões. Belo Horizonte: Editora UFMG, 2014.</w:t>
      </w:r>
    </w:p>
    <w:p w14:paraId="0B9A298C"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34388998" w14:textId="3CB2AE42"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t xml:space="preserve">BOUTH, Fernanda; MOREIRA DOS SANTOS SCHMIDT, Clarissa. </w:t>
      </w:r>
      <w:r w:rsidRPr="00504B74">
        <w:rPr>
          <w:rFonts w:ascii="Times New Roman" w:hAnsi="Times New Roman" w:cs="Times New Roman"/>
          <w:sz w:val="24"/>
          <w:szCs w:val="24"/>
          <w:lang w:val="es-PY"/>
        </w:rPr>
        <w:t>Clasificación archivística: la perspectiva de la metodología funcional vinculada al tipo documental. </w:t>
      </w:r>
      <w:r w:rsidRPr="00504B74">
        <w:rPr>
          <w:rFonts w:ascii="Times New Roman" w:hAnsi="Times New Roman" w:cs="Times New Roman"/>
          <w:b/>
          <w:bCs/>
          <w:sz w:val="24"/>
          <w:szCs w:val="24"/>
          <w:lang w:val="es-PY"/>
        </w:rPr>
        <w:t xml:space="preserve">Scire: </w:t>
      </w:r>
      <w:r w:rsidRPr="00504B74">
        <w:rPr>
          <w:rFonts w:ascii="Times New Roman" w:hAnsi="Times New Roman" w:cs="Times New Roman"/>
          <w:sz w:val="24"/>
          <w:szCs w:val="24"/>
          <w:lang w:val="es-PY"/>
        </w:rPr>
        <w:t>representación y organización del conocimiento, </w:t>
      </w:r>
      <w:r w:rsidRPr="00504B74">
        <w:rPr>
          <w:rFonts w:ascii="Times New Roman" w:hAnsi="Times New Roman" w:cs="Times New Roman"/>
          <w:i/>
          <w:iCs/>
          <w:sz w:val="24"/>
          <w:szCs w:val="24"/>
          <w:lang w:val="es-PY"/>
        </w:rPr>
        <w:t>[S. l.]</w:t>
      </w:r>
      <w:r w:rsidRPr="00504B74">
        <w:rPr>
          <w:rFonts w:ascii="Times New Roman" w:hAnsi="Times New Roman" w:cs="Times New Roman"/>
          <w:sz w:val="24"/>
          <w:szCs w:val="24"/>
          <w:lang w:val="es-PY"/>
        </w:rPr>
        <w:t xml:space="preserve">, v. 28, n. 2, p. 45–53, 2022. </w:t>
      </w:r>
      <w:r w:rsidRPr="00504B74">
        <w:rPr>
          <w:rFonts w:ascii="Times New Roman" w:hAnsi="Times New Roman" w:cs="Times New Roman"/>
          <w:sz w:val="24"/>
          <w:szCs w:val="24"/>
        </w:rPr>
        <w:t xml:space="preserve">Disponível em: </w:t>
      </w:r>
      <w:r w:rsidRPr="00E204C9">
        <w:rPr>
          <w:rFonts w:ascii="Times New Roman" w:hAnsi="Times New Roman" w:cs="Times New Roman"/>
          <w:sz w:val="24"/>
          <w:szCs w:val="24"/>
        </w:rPr>
        <w:t>https://ojs.ibersid.eu/index.php/scire/article/view/4802.</w:t>
      </w:r>
      <w:r w:rsidRPr="00504B74">
        <w:rPr>
          <w:rFonts w:ascii="Times New Roman" w:hAnsi="Times New Roman" w:cs="Times New Roman"/>
          <w:sz w:val="24"/>
          <w:szCs w:val="24"/>
        </w:rPr>
        <w:t xml:space="preserve"> Acesso em: 19 nov. 2022.</w:t>
      </w:r>
    </w:p>
    <w:p w14:paraId="78036CB9"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366EF39D"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t>BRASIL. Conselho Nacional de Arquivos. Classificação, temporalidade e destinação de documentos de arquivo relativos às atividades-meio da administração pública. Rio de Janeiro, 2001.</w:t>
      </w:r>
    </w:p>
    <w:p w14:paraId="598491FE"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4DE1B3CF"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t xml:space="preserve">CAMPOS, Ana Maria V. C.; OLIVEIRA, Eliana Braga de; RESENDE, Maria Esperança de; DUBOC, Selma Braga; CAUVILLE, Verone Gonçalves. Metodologia para diagnóstico de arquivos correntes em organismos da administração pública federal. </w:t>
      </w:r>
      <w:r w:rsidRPr="00504B74">
        <w:rPr>
          <w:rFonts w:ascii="Times New Roman" w:hAnsi="Times New Roman" w:cs="Times New Roman"/>
          <w:b/>
          <w:bCs/>
          <w:sz w:val="24"/>
          <w:szCs w:val="24"/>
        </w:rPr>
        <w:t>Arquivo &amp; Administração</w:t>
      </w:r>
      <w:r w:rsidRPr="00504B74">
        <w:rPr>
          <w:rFonts w:ascii="Times New Roman" w:hAnsi="Times New Roman" w:cs="Times New Roman"/>
          <w:sz w:val="24"/>
          <w:szCs w:val="24"/>
        </w:rPr>
        <w:t>, Rio de Janeiro, v. 10-14, n. 2, p. 14-23, jul./dez., 1986.</w:t>
      </w:r>
    </w:p>
    <w:p w14:paraId="66BBF3AC"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538007C4"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t xml:space="preserve">CANADÁ. Arquivo Público. Departamento de Administração de Arquivos Correntes. </w:t>
      </w:r>
      <w:r w:rsidRPr="00504B74">
        <w:rPr>
          <w:rFonts w:ascii="Times New Roman" w:hAnsi="Times New Roman" w:cs="Times New Roman"/>
          <w:b/>
          <w:sz w:val="24"/>
          <w:szCs w:val="24"/>
        </w:rPr>
        <w:t>Arquivos correntes</w:t>
      </w:r>
      <w:r w:rsidRPr="00504B74">
        <w:rPr>
          <w:rFonts w:ascii="Times New Roman" w:hAnsi="Times New Roman" w:cs="Times New Roman"/>
          <w:sz w:val="24"/>
          <w:szCs w:val="24"/>
        </w:rPr>
        <w:t xml:space="preserve">: organização e funcionamento. Tradução de Nilza Teixeira Soares. Rio de Janeiro, Arquivo Nacional, 1975. </w:t>
      </w:r>
    </w:p>
    <w:p w14:paraId="71B6D4D3" w14:textId="77777777" w:rsidR="00B125DC" w:rsidRDefault="00B125DC" w:rsidP="00E204C9">
      <w:pPr>
        <w:spacing w:after="0" w:line="360" w:lineRule="auto"/>
        <w:ind w:right="-1"/>
        <w:jc w:val="both"/>
        <w:rPr>
          <w:rFonts w:ascii="Times New Roman" w:hAnsi="Times New Roman" w:cs="Times New Roman"/>
          <w:sz w:val="24"/>
          <w:szCs w:val="24"/>
        </w:rPr>
      </w:pPr>
    </w:p>
    <w:p w14:paraId="0E0F8EB4"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lastRenderedPageBreak/>
        <w:t xml:space="preserve">CARVALHO, Ernani Macedo de. </w:t>
      </w:r>
      <w:r w:rsidRPr="00504B74">
        <w:rPr>
          <w:rFonts w:ascii="Times New Roman" w:hAnsi="Times New Roman" w:cs="Times New Roman"/>
          <w:b/>
          <w:sz w:val="24"/>
          <w:szCs w:val="24"/>
        </w:rPr>
        <w:t>Manual de Classificação e Archivamento de papéis e documentos commerciaes e civis</w:t>
      </w:r>
      <w:r w:rsidRPr="00504B74">
        <w:rPr>
          <w:rFonts w:ascii="Times New Roman" w:hAnsi="Times New Roman" w:cs="Times New Roman"/>
          <w:sz w:val="24"/>
          <w:szCs w:val="24"/>
        </w:rPr>
        <w:t>. São Paulo: São Paulo Ed., 1931.</w:t>
      </w:r>
    </w:p>
    <w:p w14:paraId="05E2402C" w14:textId="77777777" w:rsidR="00B125DC" w:rsidRPr="00504B74" w:rsidRDefault="00B125DC" w:rsidP="00E204C9">
      <w:pPr>
        <w:spacing w:after="0" w:line="360" w:lineRule="auto"/>
        <w:jc w:val="both"/>
        <w:rPr>
          <w:rFonts w:ascii="Times New Roman" w:hAnsi="Times New Roman" w:cs="Times New Roman"/>
          <w:sz w:val="24"/>
          <w:szCs w:val="24"/>
        </w:rPr>
      </w:pPr>
    </w:p>
    <w:p w14:paraId="53C494FA"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CASTRO, Astréa de Moraes e; CASTRO, Andresa de Moraes e; GASPARIAN, Danuza M. e Castro. </w:t>
      </w:r>
      <w:r w:rsidRPr="00504B74">
        <w:rPr>
          <w:rFonts w:ascii="Times New Roman" w:hAnsi="Times New Roman" w:cs="Times New Roman"/>
          <w:b/>
          <w:sz w:val="24"/>
          <w:szCs w:val="24"/>
        </w:rPr>
        <w:t>Arquivística, arquivologia</w:t>
      </w:r>
      <w:r w:rsidRPr="00504B74">
        <w:rPr>
          <w:rFonts w:ascii="Times New Roman" w:hAnsi="Times New Roman" w:cs="Times New Roman"/>
          <w:sz w:val="24"/>
          <w:szCs w:val="24"/>
        </w:rPr>
        <w:t>. Rio de Janeiro: Ao Livro Técnico, 1988.</w:t>
      </w:r>
    </w:p>
    <w:p w14:paraId="37940F1E"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4614B2A3"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 xml:space="preserve">CONGRESSO BRASILEIRO DE ARQUIVOLOGIA, 1. </w:t>
      </w:r>
      <w:r w:rsidRPr="00504B74">
        <w:rPr>
          <w:rFonts w:ascii="Times New Roman" w:eastAsia="Times New Roman" w:hAnsi="Times New Roman" w:cs="Times New Roman"/>
          <w:b/>
          <w:bCs/>
          <w:sz w:val="24"/>
          <w:szCs w:val="24"/>
        </w:rPr>
        <w:t>Anais</w:t>
      </w:r>
      <w:r w:rsidRPr="00504B74">
        <w:rPr>
          <w:rFonts w:ascii="Times New Roman" w:eastAsia="Times New Roman" w:hAnsi="Times New Roman" w:cs="Times New Roman"/>
          <w:bCs/>
          <w:sz w:val="24"/>
          <w:szCs w:val="24"/>
        </w:rPr>
        <w:t xml:space="preserve"> […]. Rio de Janeiro: Associação dos Arquivistas Brasileiros, 1972.</w:t>
      </w:r>
    </w:p>
    <w:p w14:paraId="1B717BE6"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bCs/>
          <w:sz w:val="24"/>
          <w:szCs w:val="24"/>
        </w:rPr>
        <w:t xml:space="preserve">CONTINOLO, Giuseppe. </w:t>
      </w:r>
      <w:r w:rsidRPr="00504B74">
        <w:rPr>
          <w:rFonts w:ascii="Times New Roman" w:hAnsi="Times New Roman" w:cs="Times New Roman"/>
          <w:b/>
          <w:sz w:val="24"/>
          <w:szCs w:val="24"/>
        </w:rPr>
        <w:t>Como organizar o arquivo</w:t>
      </w:r>
      <w:r w:rsidRPr="00504B74">
        <w:rPr>
          <w:rFonts w:ascii="Times New Roman" w:hAnsi="Times New Roman" w:cs="Times New Roman"/>
          <w:bCs/>
          <w:sz w:val="24"/>
          <w:szCs w:val="24"/>
        </w:rPr>
        <w:t>. Lisboa: Editorial Pórtico, s.d. 291</w:t>
      </w:r>
    </w:p>
    <w:p w14:paraId="6BAAEA5D"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159 p.</w:t>
      </w:r>
    </w:p>
    <w:p w14:paraId="16EDDA63" w14:textId="77777777" w:rsidR="00B125DC" w:rsidRPr="00504B74" w:rsidRDefault="00B125DC" w:rsidP="00E204C9">
      <w:pPr>
        <w:spacing w:after="0" w:line="360" w:lineRule="auto"/>
        <w:jc w:val="both"/>
        <w:rPr>
          <w:rFonts w:ascii="Times New Roman" w:eastAsia="Times New Roman" w:hAnsi="Times New Roman" w:cs="Times New Roman"/>
          <w:sz w:val="24"/>
          <w:szCs w:val="24"/>
        </w:rPr>
      </w:pPr>
    </w:p>
    <w:p w14:paraId="3DDFD152"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COSTA E SOUZA, Maria de Lourdes; DANNEMANN, Maria Luísa Stallard. Sistema Nacional de Arquivos. </w:t>
      </w:r>
      <w:r w:rsidRPr="00504B74">
        <w:rPr>
          <w:rFonts w:ascii="Times New Roman" w:eastAsia="Times New Roman" w:hAnsi="Times New Roman" w:cs="Times New Roman"/>
          <w:i/>
          <w:sz w:val="24"/>
          <w:szCs w:val="24"/>
        </w:rPr>
        <w:t>In</w:t>
      </w:r>
      <w:r w:rsidRPr="00504B74">
        <w:rPr>
          <w:rFonts w:ascii="Times New Roman" w:eastAsia="Times New Roman" w:hAnsi="Times New Roman" w:cs="Times New Roman"/>
          <w:sz w:val="24"/>
          <w:szCs w:val="24"/>
        </w:rPr>
        <w:t xml:space="preserve">: </w:t>
      </w:r>
      <w:r w:rsidRPr="00504B74">
        <w:rPr>
          <w:rFonts w:ascii="Times New Roman" w:eastAsia="Times New Roman" w:hAnsi="Times New Roman" w:cs="Times New Roman"/>
          <w:bCs/>
          <w:sz w:val="24"/>
          <w:szCs w:val="24"/>
        </w:rPr>
        <w:t>Congresso Brasileiro de Arquivologia, 1.</w:t>
      </w:r>
      <w:r w:rsidRPr="00504B74">
        <w:rPr>
          <w:rFonts w:ascii="Times New Roman" w:eastAsia="Times New Roman" w:hAnsi="Times New Roman" w:cs="Times New Roman"/>
          <w:b/>
          <w:bCs/>
          <w:sz w:val="24"/>
          <w:szCs w:val="24"/>
        </w:rPr>
        <w:t xml:space="preserve"> Anais</w:t>
      </w:r>
      <w:r>
        <w:rPr>
          <w:rFonts w:ascii="Times New Roman" w:eastAsia="Times New Roman" w:hAnsi="Times New Roman" w:cs="Times New Roman"/>
          <w:b/>
          <w:bCs/>
          <w:sz w:val="24"/>
          <w:szCs w:val="24"/>
        </w:rPr>
        <w:t xml:space="preserve"> </w:t>
      </w:r>
      <w:r w:rsidRPr="00504B74">
        <w:rPr>
          <w:rFonts w:ascii="Times New Roman" w:eastAsia="Times New Roman" w:hAnsi="Times New Roman" w:cs="Times New Roman"/>
          <w:b/>
          <w:bCs/>
          <w:sz w:val="24"/>
          <w:szCs w:val="24"/>
        </w:rPr>
        <w:t>[…]</w:t>
      </w:r>
      <w:r w:rsidRPr="00504B74">
        <w:rPr>
          <w:rFonts w:ascii="Times New Roman" w:eastAsia="Times New Roman" w:hAnsi="Times New Roman" w:cs="Times New Roman"/>
          <w:sz w:val="24"/>
          <w:szCs w:val="24"/>
        </w:rPr>
        <w:t>. Brasília: Associação dos Arquivistas Brasileiros, 1972.</w:t>
      </w:r>
    </w:p>
    <w:p w14:paraId="4E6E09F5" w14:textId="77777777" w:rsidR="00B125DC" w:rsidRPr="00504B74" w:rsidRDefault="00B125DC" w:rsidP="00E204C9">
      <w:pPr>
        <w:spacing w:after="0" w:line="360" w:lineRule="auto"/>
        <w:jc w:val="both"/>
        <w:rPr>
          <w:rFonts w:ascii="Times New Roman" w:eastAsia="Times New Roman" w:hAnsi="Times New Roman" w:cs="Times New Roman"/>
          <w:sz w:val="24"/>
          <w:szCs w:val="24"/>
        </w:rPr>
      </w:pPr>
    </w:p>
    <w:p w14:paraId="6E80EDAB"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DANNEMANN, Maria Luísa. S. </w:t>
      </w:r>
      <w:r w:rsidRPr="00504B74">
        <w:rPr>
          <w:rFonts w:ascii="Times New Roman" w:eastAsia="Times New Roman" w:hAnsi="Times New Roman" w:cs="Times New Roman"/>
          <w:b/>
          <w:sz w:val="24"/>
          <w:szCs w:val="24"/>
        </w:rPr>
        <w:t>Técnica de arquivo</w:t>
      </w:r>
      <w:r w:rsidRPr="00504B74">
        <w:rPr>
          <w:rFonts w:ascii="Times New Roman" w:eastAsia="Times New Roman" w:hAnsi="Times New Roman" w:cs="Times New Roman"/>
          <w:sz w:val="24"/>
          <w:szCs w:val="24"/>
        </w:rPr>
        <w:t>. Rio de Janeiro: Arquivo Nacional, 1968.</w:t>
      </w:r>
    </w:p>
    <w:p w14:paraId="632AA803" w14:textId="77777777" w:rsidR="00B125DC" w:rsidRPr="00504B74" w:rsidRDefault="00B125DC" w:rsidP="00E204C9">
      <w:pPr>
        <w:spacing w:after="0" w:line="360" w:lineRule="auto"/>
        <w:jc w:val="both"/>
        <w:rPr>
          <w:rFonts w:ascii="Times New Roman" w:eastAsia="Times New Roman" w:hAnsi="Times New Roman" w:cs="Times New Roman"/>
          <w:sz w:val="24"/>
          <w:szCs w:val="24"/>
        </w:rPr>
      </w:pPr>
    </w:p>
    <w:p w14:paraId="767C74B2"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D’ARAUJO, Ignez B. C. A seleção do arquivista. </w:t>
      </w:r>
      <w:r w:rsidRPr="00504B74">
        <w:rPr>
          <w:rFonts w:ascii="Times New Roman" w:eastAsia="Times New Roman" w:hAnsi="Times New Roman" w:cs="Times New Roman"/>
          <w:b/>
          <w:bCs/>
          <w:sz w:val="24"/>
          <w:szCs w:val="24"/>
        </w:rPr>
        <w:t>Revista do Serviço Público</w:t>
      </w:r>
      <w:r w:rsidRPr="00504B74">
        <w:rPr>
          <w:rFonts w:ascii="Times New Roman" w:eastAsia="Times New Roman" w:hAnsi="Times New Roman" w:cs="Times New Roman"/>
          <w:sz w:val="24"/>
          <w:szCs w:val="24"/>
        </w:rPr>
        <w:t xml:space="preserve">, Rio de Janeiro, v. III, n. 2, ago. 1938. </w:t>
      </w:r>
    </w:p>
    <w:p w14:paraId="1F95C94D" w14:textId="77777777" w:rsidR="00B125DC" w:rsidRDefault="00B125DC" w:rsidP="00E204C9">
      <w:pPr>
        <w:spacing w:after="0" w:line="360" w:lineRule="auto"/>
        <w:jc w:val="both"/>
        <w:rPr>
          <w:rFonts w:ascii="Times New Roman" w:hAnsi="Times New Roman" w:cs="Times New Roman"/>
          <w:sz w:val="24"/>
          <w:szCs w:val="24"/>
        </w:rPr>
      </w:pPr>
    </w:p>
    <w:p w14:paraId="50585388"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DE BRANCHE, Henri Boullier. </w:t>
      </w:r>
      <w:r w:rsidRPr="00504B74">
        <w:rPr>
          <w:rFonts w:ascii="Times New Roman" w:hAnsi="Times New Roman" w:cs="Times New Roman"/>
          <w:b/>
          <w:bCs/>
          <w:sz w:val="24"/>
          <w:szCs w:val="24"/>
        </w:rPr>
        <w:t>Princípios e Técnica de Arquivo</w:t>
      </w:r>
      <w:r w:rsidRPr="00504B74">
        <w:rPr>
          <w:rFonts w:ascii="Times New Roman" w:hAnsi="Times New Roman" w:cs="Times New Roman"/>
          <w:sz w:val="24"/>
          <w:szCs w:val="24"/>
        </w:rPr>
        <w:t xml:space="preserve">. (Datilografado) Rio de Janeiro: Arquivo Nacional, 1959. </w:t>
      </w:r>
    </w:p>
    <w:p w14:paraId="678969F6" w14:textId="77777777" w:rsidR="00B125DC" w:rsidRPr="00504B74" w:rsidRDefault="00B125DC" w:rsidP="00E204C9">
      <w:pPr>
        <w:spacing w:after="0" w:line="360" w:lineRule="auto"/>
        <w:jc w:val="both"/>
        <w:rPr>
          <w:rFonts w:ascii="Times New Roman" w:hAnsi="Times New Roman" w:cs="Times New Roman"/>
          <w:sz w:val="24"/>
          <w:szCs w:val="24"/>
        </w:rPr>
      </w:pPr>
    </w:p>
    <w:p w14:paraId="1DB2EF3E"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ESPOSEL, José Pedro Pinto. </w:t>
      </w:r>
      <w:r w:rsidRPr="00504B74">
        <w:rPr>
          <w:rFonts w:ascii="Times New Roman" w:hAnsi="Times New Roman" w:cs="Times New Roman"/>
          <w:b/>
          <w:bCs/>
          <w:sz w:val="24"/>
          <w:szCs w:val="24"/>
        </w:rPr>
        <w:t>Noções prévias para elaboração de um manual de arquivo</w:t>
      </w:r>
      <w:r w:rsidRPr="00504B74">
        <w:rPr>
          <w:rFonts w:ascii="Times New Roman" w:hAnsi="Times New Roman" w:cs="Times New Roman"/>
          <w:sz w:val="24"/>
          <w:szCs w:val="24"/>
        </w:rPr>
        <w:t xml:space="preserve"> (Livre docência). Niterói: São José, 1975. 72 p.</w:t>
      </w:r>
    </w:p>
    <w:p w14:paraId="7490CE13" w14:textId="77777777" w:rsidR="00B125DC" w:rsidRPr="00504B74" w:rsidRDefault="00B125DC" w:rsidP="00E204C9">
      <w:pPr>
        <w:spacing w:after="0" w:line="360" w:lineRule="auto"/>
        <w:jc w:val="both"/>
        <w:rPr>
          <w:rFonts w:ascii="Times New Roman" w:hAnsi="Times New Roman" w:cs="Times New Roman"/>
          <w:sz w:val="24"/>
          <w:szCs w:val="24"/>
        </w:rPr>
      </w:pPr>
    </w:p>
    <w:p w14:paraId="723EA3B6"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FONSECA, Vitor Manoel Marques da; BEZERRA, Darlene Alves. Arquivos e administração pública: a temática arquivística na Revista do Serviço Público, 1938-1945. In: </w:t>
      </w:r>
      <w:r w:rsidRPr="00504B74">
        <w:rPr>
          <w:rFonts w:ascii="Times New Roman" w:hAnsi="Times New Roman" w:cs="Times New Roman"/>
          <w:b/>
          <w:bCs/>
          <w:sz w:val="24"/>
          <w:szCs w:val="24"/>
        </w:rPr>
        <w:t>Reunião Brasileira de Ensino e Pesquisa Em Arquivologia</w:t>
      </w:r>
      <w:r w:rsidRPr="00504B74">
        <w:rPr>
          <w:rFonts w:ascii="Times New Roman" w:hAnsi="Times New Roman" w:cs="Times New Roman"/>
          <w:sz w:val="24"/>
          <w:szCs w:val="24"/>
        </w:rPr>
        <w:t xml:space="preserve"> (REPARQ), 5, Belo Horizonte, nov. 2017.</w:t>
      </w:r>
    </w:p>
    <w:p w14:paraId="681B8436" w14:textId="77777777" w:rsidR="00B125DC" w:rsidRPr="00504B74" w:rsidRDefault="00B125DC" w:rsidP="00E204C9">
      <w:pPr>
        <w:spacing w:after="0" w:line="360" w:lineRule="auto"/>
        <w:jc w:val="both"/>
        <w:rPr>
          <w:rFonts w:ascii="Times New Roman" w:hAnsi="Times New Roman" w:cs="Times New Roman"/>
          <w:sz w:val="24"/>
          <w:szCs w:val="24"/>
        </w:rPr>
      </w:pPr>
    </w:p>
    <w:p w14:paraId="02ABF8A4"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FUNDAÇÃO GETÚLIO VARGAS. </w:t>
      </w:r>
      <w:r w:rsidRPr="00504B74">
        <w:rPr>
          <w:rFonts w:ascii="Times New Roman" w:hAnsi="Times New Roman" w:cs="Times New Roman"/>
          <w:b/>
          <w:sz w:val="24"/>
          <w:szCs w:val="24"/>
        </w:rPr>
        <w:t>Manual de Arquivo da FGV</w:t>
      </w:r>
      <w:r w:rsidRPr="00504B74">
        <w:rPr>
          <w:rFonts w:ascii="Times New Roman" w:hAnsi="Times New Roman" w:cs="Times New Roman"/>
          <w:sz w:val="24"/>
          <w:szCs w:val="24"/>
        </w:rPr>
        <w:t>. Rio de Janeiro: Instituto de Documentação, Arquivo Central, 1977.</w:t>
      </w:r>
    </w:p>
    <w:p w14:paraId="1A6E6A12" w14:textId="77777777" w:rsidR="00B125DC" w:rsidRPr="00504B74" w:rsidRDefault="00B125DC" w:rsidP="00E204C9">
      <w:pPr>
        <w:spacing w:after="0" w:line="360" w:lineRule="auto"/>
        <w:jc w:val="both"/>
        <w:rPr>
          <w:rFonts w:ascii="Times New Roman" w:hAnsi="Times New Roman" w:cs="Times New Roman"/>
          <w:sz w:val="24"/>
          <w:szCs w:val="24"/>
        </w:rPr>
      </w:pPr>
    </w:p>
    <w:p w14:paraId="18E7FAC0" w14:textId="77777777" w:rsidR="00B125DC" w:rsidRPr="00504B74" w:rsidRDefault="00B125DC" w:rsidP="00B125DC">
      <w:pPr>
        <w:spacing w:after="0" w:line="240" w:lineRule="auto"/>
        <w:ind w:right="-1"/>
        <w:jc w:val="both"/>
        <w:rPr>
          <w:rFonts w:ascii="Times New Roman" w:hAnsi="Times New Roman" w:cs="Times New Roman"/>
          <w:sz w:val="24"/>
          <w:szCs w:val="24"/>
        </w:rPr>
      </w:pPr>
      <w:r w:rsidRPr="00504B74">
        <w:rPr>
          <w:rFonts w:ascii="Times New Roman" w:hAnsi="Times New Roman" w:cs="Times New Roman"/>
          <w:sz w:val="24"/>
          <w:szCs w:val="24"/>
        </w:rPr>
        <w:t xml:space="preserve">GOMES, Yuri Queiroz. </w:t>
      </w:r>
      <w:r w:rsidRPr="00504B74">
        <w:rPr>
          <w:rFonts w:ascii="Times New Roman" w:hAnsi="Times New Roman" w:cs="Times New Roman"/>
          <w:b/>
          <w:bCs/>
          <w:sz w:val="24"/>
          <w:szCs w:val="24"/>
        </w:rPr>
        <w:t>Processos de institucionalização do campo arquivístico no Brasil (1971-1978):</w:t>
      </w:r>
      <w:r w:rsidRPr="00504B74">
        <w:rPr>
          <w:rFonts w:ascii="Times New Roman" w:hAnsi="Times New Roman" w:cs="Times New Roman"/>
          <w:sz w:val="24"/>
          <w:szCs w:val="24"/>
        </w:rPr>
        <w:t xml:space="preserve"> entre a memória e a história. 2011. 157 f. Dissertação (Mestrado em Memória Social) – Universidade Federal do Estado do Rio de Janeiro, Rio de Janeiro, 2011.</w:t>
      </w:r>
    </w:p>
    <w:p w14:paraId="168B69CD" w14:textId="77777777" w:rsidR="00B125DC" w:rsidRPr="00504B74" w:rsidRDefault="00B125DC" w:rsidP="00E204C9">
      <w:pPr>
        <w:spacing w:after="0" w:line="360" w:lineRule="auto"/>
        <w:ind w:right="-1"/>
        <w:jc w:val="both"/>
        <w:rPr>
          <w:rFonts w:ascii="Times New Roman" w:hAnsi="Times New Roman" w:cs="Times New Roman"/>
          <w:sz w:val="24"/>
          <w:szCs w:val="24"/>
        </w:rPr>
      </w:pPr>
    </w:p>
    <w:p w14:paraId="7D668CF9" w14:textId="77777777" w:rsidR="00B125DC" w:rsidRPr="00D66F2E" w:rsidRDefault="00B125DC" w:rsidP="00B125DC">
      <w:pPr>
        <w:spacing w:after="0" w:line="240" w:lineRule="auto"/>
        <w:ind w:firstLine="1"/>
        <w:jc w:val="both"/>
        <w:rPr>
          <w:rFonts w:ascii="Times New Roman" w:hAnsi="Times New Roman" w:cs="Times New Roman"/>
          <w:sz w:val="24"/>
          <w:szCs w:val="24"/>
          <w:lang w:val="es-PY"/>
        </w:rPr>
      </w:pPr>
      <w:r w:rsidRPr="00D66F2E">
        <w:rPr>
          <w:rFonts w:ascii="Times New Roman" w:hAnsi="Times New Roman" w:cs="Times New Roman"/>
          <w:sz w:val="24"/>
          <w:szCs w:val="24"/>
        </w:rPr>
        <w:t xml:space="preserve">GORBEA, Josefina Q. de; GARCÍA-DIAZ, Eva S. de; VELA, Olga M. de. </w:t>
      </w:r>
      <w:r w:rsidRPr="00D66F2E">
        <w:rPr>
          <w:rFonts w:ascii="Times New Roman" w:hAnsi="Times New Roman" w:cs="Times New Roman"/>
          <w:b/>
          <w:bCs/>
          <w:sz w:val="24"/>
          <w:szCs w:val="24"/>
        </w:rPr>
        <w:t>Sistemas de arquivos e controle de documentos</w:t>
      </w:r>
      <w:r w:rsidRPr="00D66F2E">
        <w:rPr>
          <w:rFonts w:ascii="Times New Roman" w:hAnsi="Times New Roman" w:cs="Times New Roman"/>
          <w:sz w:val="24"/>
          <w:szCs w:val="24"/>
        </w:rPr>
        <w:t xml:space="preserve">. </w:t>
      </w:r>
      <w:r w:rsidRPr="00D66F2E">
        <w:rPr>
          <w:rFonts w:ascii="Times New Roman" w:hAnsi="Times New Roman" w:cs="Times New Roman"/>
          <w:sz w:val="24"/>
          <w:szCs w:val="24"/>
          <w:lang w:val="es-PY"/>
        </w:rPr>
        <w:t>São Paulo: Atlas, 1970.</w:t>
      </w:r>
    </w:p>
    <w:p w14:paraId="623B32CD" w14:textId="77777777" w:rsidR="00B125DC" w:rsidRPr="00504B74" w:rsidRDefault="00B125DC" w:rsidP="00E204C9">
      <w:pPr>
        <w:spacing w:after="0" w:line="360" w:lineRule="auto"/>
        <w:ind w:firstLine="1"/>
        <w:jc w:val="both"/>
        <w:rPr>
          <w:rFonts w:ascii="Times New Roman" w:hAnsi="Times New Roman" w:cs="Times New Roman"/>
          <w:bCs/>
          <w:sz w:val="24"/>
          <w:szCs w:val="24"/>
          <w:lang w:val="es-PY"/>
        </w:rPr>
      </w:pPr>
    </w:p>
    <w:p w14:paraId="1418D68A" w14:textId="77777777" w:rsidR="00B125DC" w:rsidRPr="00504B74" w:rsidRDefault="00B125DC" w:rsidP="00B125DC">
      <w:pPr>
        <w:widowControl w:val="0"/>
        <w:suppressAutoHyphens/>
        <w:spacing w:after="0" w:line="240" w:lineRule="auto"/>
        <w:jc w:val="both"/>
        <w:rPr>
          <w:rFonts w:ascii="Times New Roman" w:eastAsia="Times New Roman" w:hAnsi="Times New Roman" w:cs="Times New Roman"/>
          <w:sz w:val="24"/>
          <w:szCs w:val="24"/>
          <w:lang w:val="es-PY" w:eastAsia="ar-SA"/>
        </w:rPr>
      </w:pPr>
      <w:r w:rsidRPr="00504B74">
        <w:rPr>
          <w:rFonts w:ascii="Times New Roman" w:eastAsia="Times New Roman" w:hAnsi="Times New Roman" w:cs="Times New Roman"/>
          <w:sz w:val="24"/>
          <w:szCs w:val="24"/>
          <w:lang w:val="es-PY" w:eastAsia="ar-SA"/>
        </w:rPr>
        <w:t xml:space="preserve">HEREDIA HERRERA, Antonia. </w:t>
      </w:r>
      <w:r w:rsidRPr="00504B74">
        <w:rPr>
          <w:rFonts w:ascii="Times New Roman" w:eastAsia="Times New Roman" w:hAnsi="Times New Roman" w:cs="Times New Roman"/>
          <w:b/>
          <w:sz w:val="24"/>
          <w:szCs w:val="24"/>
          <w:lang w:val="es-ES_tradnl" w:eastAsia="ar-SA"/>
        </w:rPr>
        <w:t>Manual de archivística básica: gestión y sistemas</w:t>
      </w:r>
      <w:r w:rsidRPr="00504B74">
        <w:rPr>
          <w:rFonts w:ascii="Times New Roman" w:eastAsia="Times New Roman" w:hAnsi="Times New Roman" w:cs="Times New Roman"/>
          <w:sz w:val="24"/>
          <w:szCs w:val="24"/>
          <w:lang w:val="es-ES_tradnl" w:eastAsia="ar-SA"/>
        </w:rPr>
        <w:t xml:space="preserve">. </w:t>
      </w:r>
      <w:r w:rsidRPr="00504B74">
        <w:rPr>
          <w:rFonts w:ascii="Times New Roman" w:eastAsia="Times New Roman" w:hAnsi="Times New Roman" w:cs="Times New Roman"/>
          <w:sz w:val="24"/>
          <w:szCs w:val="24"/>
          <w:lang w:val="es-PY" w:eastAsia="ar-SA"/>
        </w:rPr>
        <w:t>México: Benemérita Universidad Autónoma de Puebla, 2013.</w:t>
      </w:r>
    </w:p>
    <w:p w14:paraId="17EB2D79" w14:textId="77777777" w:rsidR="00B125DC" w:rsidRDefault="00B125DC" w:rsidP="00E204C9">
      <w:pPr>
        <w:widowControl w:val="0"/>
        <w:suppressAutoHyphens/>
        <w:spacing w:after="0" w:line="360" w:lineRule="auto"/>
        <w:jc w:val="both"/>
        <w:rPr>
          <w:rFonts w:ascii="Times New Roman" w:eastAsia="Times New Roman" w:hAnsi="Times New Roman" w:cs="Times New Roman"/>
          <w:sz w:val="24"/>
          <w:szCs w:val="24"/>
          <w:lang w:val="es-PY" w:eastAsia="ar-SA"/>
        </w:rPr>
      </w:pPr>
    </w:p>
    <w:p w14:paraId="343C3D6B" w14:textId="1516F64C" w:rsidR="00B125DC" w:rsidRPr="00504B74" w:rsidRDefault="00B125DC" w:rsidP="00B125DC">
      <w:pPr>
        <w:widowControl w:val="0"/>
        <w:suppressAutoHyphens/>
        <w:spacing w:after="0" w:line="240" w:lineRule="auto"/>
        <w:jc w:val="both"/>
        <w:rPr>
          <w:rFonts w:ascii="Times New Roman" w:eastAsia="Times New Roman" w:hAnsi="Times New Roman" w:cs="Times New Roman"/>
          <w:sz w:val="24"/>
          <w:szCs w:val="24"/>
          <w:lang w:val="de-DE" w:eastAsia="ar-SA"/>
        </w:rPr>
      </w:pPr>
      <w:r w:rsidRPr="00504B74">
        <w:rPr>
          <w:rFonts w:ascii="Times New Roman" w:eastAsia="Times New Roman" w:hAnsi="Times New Roman" w:cs="Times New Roman"/>
          <w:sz w:val="24"/>
          <w:szCs w:val="24"/>
          <w:lang w:val="es-PY" w:eastAsia="ar-SA"/>
        </w:rPr>
        <w:t xml:space="preserve">HEREDIA HERRERA, Antonia. En torno al tipo documental. </w:t>
      </w:r>
      <w:r w:rsidRPr="00504B74">
        <w:rPr>
          <w:rFonts w:ascii="Times New Roman" w:eastAsia="Times New Roman" w:hAnsi="Times New Roman" w:cs="Times New Roman"/>
          <w:b/>
          <w:bCs/>
          <w:sz w:val="24"/>
          <w:szCs w:val="24"/>
          <w:lang w:eastAsia="ar-SA"/>
        </w:rPr>
        <w:t>Arquivo &amp; Administração</w:t>
      </w:r>
      <w:r w:rsidRPr="00504B74">
        <w:rPr>
          <w:rFonts w:ascii="Times New Roman" w:eastAsia="Times New Roman" w:hAnsi="Times New Roman" w:cs="Times New Roman"/>
          <w:sz w:val="24"/>
          <w:szCs w:val="24"/>
          <w:lang w:eastAsia="ar-SA"/>
        </w:rPr>
        <w:t xml:space="preserve">, v. </w:t>
      </w:r>
      <w:r w:rsidRPr="00504B74">
        <w:rPr>
          <w:rFonts w:ascii="Times New Roman" w:eastAsia="Times New Roman" w:hAnsi="Times New Roman" w:cs="Times New Roman"/>
          <w:sz w:val="24"/>
          <w:szCs w:val="24"/>
          <w:lang w:eastAsia="ar-SA"/>
        </w:rPr>
        <w:lastRenderedPageBreak/>
        <w:t xml:space="preserve">6, n. 2, 2007. Disponível em: </w:t>
      </w:r>
      <w:r w:rsidRPr="00E204C9">
        <w:rPr>
          <w:rFonts w:ascii="Times New Roman" w:eastAsia="Times New Roman" w:hAnsi="Times New Roman" w:cs="Times New Roman"/>
          <w:sz w:val="24"/>
          <w:szCs w:val="24"/>
          <w:lang w:eastAsia="ar-SA"/>
        </w:rPr>
        <w:t>http://hdl.handle.net/20.500.11959/brapci/51509.</w:t>
      </w:r>
      <w:r w:rsidRPr="00504B74">
        <w:rPr>
          <w:rFonts w:ascii="Times New Roman" w:eastAsia="Times New Roman" w:hAnsi="Times New Roman" w:cs="Times New Roman"/>
          <w:sz w:val="24"/>
          <w:szCs w:val="24"/>
          <w:lang w:eastAsia="ar-SA"/>
        </w:rPr>
        <w:t xml:space="preserve"> </w:t>
      </w:r>
      <w:r w:rsidRPr="00504B74">
        <w:rPr>
          <w:rFonts w:ascii="Times New Roman" w:eastAsia="Times New Roman" w:hAnsi="Times New Roman" w:cs="Times New Roman"/>
          <w:sz w:val="24"/>
          <w:szCs w:val="24"/>
          <w:lang w:val="de-DE" w:eastAsia="ar-SA"/>
        </w:rPr>
        <w:t>Acesso em: 31 jan. 2022.</w:t>
      </w:r>
    </w:p>
    <w:p w14:paraId="060D1022" w14:textId="77777777" w:rsidR="00B125DC" w:rsidRPr="00504B74" w:rsidRDefault="00B125DC" w:rsidP="00E204C9">
      <w:pPr>
        <w:spacing w:after="0" w:line="360" w:lineRule="auto"/>
        <w:ind w:right="-1"/>
        <w:jc w:val="both"/>
        <w:textAlignment w:val="baseline"/>
        <w:rPr>
          <w:rFonts w:ascii="Times New Roman" w:eastAsia="Times New Roman" w:hAnsi="Times New Roman" w:cs="Times New Roman"/>
          <w:sz w:val="24"/>
          <w:szCs w:val="24"/>
          <w:lang w:val="de-DE"/>
        </w:rPr>
      </w:pPr>
    </w:p>
    <w:p w14:paraId="3E30AF29"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JAMESON, Samuel Haig. </w:t>
      </w:r>
      <w:r w:rsidRPr="00504B74">
        <w:rPr>
          <w:rFonts w:ascii="Times New Roman" w:hAnsi="Times New Roman" w:cs="Times New Roman"/>
          <w:b/>
          <w:bCs/>
          <w:sz w:val="24"/>
          <w:szCs w:val="24"/>
        </w:rPr>
        <w:t>Administração de arquivos e documentação</w:t>
      </w:r>
      <w:r w:rsidRPr="00504B74">
        <w:rPr>
          <w:rFonts w:ascii="Times New Roman" w:hAnsi="Times New Roman" w:cs="Times New Roman"/>
          <w:sz w:val="24"/>
          <w:szCs w:val="24"/>
        </w:rPr>
        <w:t>. Antologia coligida por Samuel Haig Jameson. Rio de Janeiro: Fundação Getúlio Vargas, 1964.</w:t>
      </w:r>
    </w:p>
    <w:p w14:paraId="141050F5" w14:textId="77777777" w:rsidR="00E204C9" w:rsidRDefault="00E204C9" w:rsidP="00E204C9">
      <w:pPr>
        <w:spacing w:after="0" w:line="360" w:lineRule="auto"/>
        <w:jc w:val="both"/>
        <w:rPr>
          <w:rFonts w:ascii="Times New Roman" w:eastAsia="Times New Roman" w:hAnsi="Times New Roman" w:cs="Times New Roman"/>
          <w:sz w:val="24"/>
          <w:szCs w:val="24"/>
        </w:rPr>
      </w:pPr>
    </w:p>
    <w:p w14:paraId="6CBC8452" w14:textId="2CF37D0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JARDIM, José Maria. Caminhos e perspectivas da gestão de documentos em cenários de transformações. </w:t>
      </w:r>
      <w:r w:rsidRPr="00504B74">
        <w:rPr>
          <w:rFonts w:ascii="Times New Roman" w:eastAsia="Times New Roman" w:hAnsi="Times New Roman" w:cs="Times New Roman"/>
          <w:b/>
          <w:bCs/>
          <w:sz w:val="24"/>
          <w:szCs w:val="24"/>
        </w:rPr>
        <w:t>Revista Acervo</w:t>
      </w:r>
      <w:r w:rsidRPr="00504B74">
        <w:rPr>
          <w:rFonts w:ascii="Times New Roman" w:eastAsia="Times New Roman" w:hAnsi="Times New Roman" w:cs="Times New Roman"/>
          <w:sz w:val="24"/>
          <w:szCs w:val="24"/>
        </w:rPr>
        <w:t>, Rio de Janeiro, v. 28, n. 2, p.19-50, 2015.</w:t>
      </w:r>
    </w:p>
    <w:p w14:paraId="172D221F" w14:textId="77777777" w:rsidR="00B125DC" w:rsidRPr="00504B74" w:rsidRDefault="00B125DC" w:rsidP="00E204C9">
      <w:pPr>
        <w:spacing w:after="0" w:line="360" w:lineRule="auto"/>
        <w:jc w:val="both"/>
        <w:rPr>
          <w:rFonts w:ascii="Times New Roman" w:hAnsi="Times New Roman" w:cs="Times New Roman"/>
          <w:sz w:val="24"/>
          <w:szCs w:val="24"/>
        </w:rPr>
      </w:pPr>
    </w:p>
    <w:p w14:paraId="3982BB21"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JARDIM, José Maria. O cenário arquivístico brasileiro nos anos 1980. </w:t>
      </w:r>
      <w:r w:rsidRPr="00504B74">
        <w:rPr>
          <w:rFonts w:ascii="Times New Roman" w:hAnsi="Times New Roman" w:cs="Times New Roman"/>
          <w:i/>
          <w:iCs/>
          <w:sz w:val="24"/>
          <w:szCs w:val="24"/>
        </w:rPr>
        <w:t>In:</w:t>
      </w:r>
      <w:r w:rsidRPr="00504B74">
        <w:rPr>
          <w:rFonts w:ascii="Times New Roman" w:hAnsi="Times New Roman" w:cs="Times New Roman"/>
          <w:sz w:val="24"/>
          <w:szCs w:val="24"/>
        </w:rPr>
        <w:t xml:space="preserve"> MARQUES, Angelica Alves da Cunha; RODRIGUES, Georgete Medleg; SANTOS, Paulo Roberto Elian dos. </w:t>
      </w:r>
      <w:r w:rsidRPr="00504B74">
        <w:rPr>
          <w:rFonts w:ascii="Times New Roman" w:hAnsi="Times New Roman" w:cs="Times New Roman"/>
          <w:b/>
          <w:bCs/>
          <w:sz w:val="24"/>
          <w:szCs w:val="24"/>
        </w:rPr>
        <w:t>História da Arquivologia no Brasil</w:t>
      </w:r>
      <w:r w:rsidRPr="00504B74">
        <w:rPr>
          <w:rFonts w:ascii="Times New Roman" w:hAnsi="Times New Roman" w:cs="Times New Roman"/>
          <w:sz w:val="24"/>
          <w:szCs w:val="24"/>
        </w:rPr>
        <w:t>: instituições, associativismo e produção científica. Rio de Janeiro: Associação dos Arquivistas Brasileiros/Faperj, 2014.</w:t>
      </w:r>
    </w:p>
    <w:p w14:paraId="6751BFD8" w14:textId="77777777" w:rsidR="00B125DC" w:rsidRPr="00504B74" w:rsidRDefault="00B125DC" w:rsidP="00E204C9">
      <w:pPr>
        <w:spacing w:after="0" w:line="360" w:lineRule="auto"/>
        <w:jc w:val="both"/>
        <w:rPr>
          <w:rFonts w:ascii="Times New Roman" w:hAnsi="Times New Roman" w:cs="Times New Roman"/>
          <w:sz w:val="24"/>
          <w:szCs w:val="24"/>
        </w:rPr>
      </w:pPr>
    </w:p>
    <w:p w14:paraId="4639C006"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JARDIM, José Maria. O conceito e a prática da gestão de documentos. </w:t>
      </w:r>
      <w:r w:rsidRPr="00504B74">
        <w:rPr>
          <w:rFonts w:ascii="Times New Roman" w:eastAsia="Times New Roman" w:hAnsi="Times New Roman" w:cs="Times New Roman"/>
          <w:b/>
          <w:bCs/>
          <w:sz w:val="24"/>
          <w:szCs w:val="24"/>
        </w:rPr>
        <w:t>Revista Acervo</w:t>
      </w:r>
      <w:r w:rsidRPr="00504B74">
        <w:rPr>
          <w:rFonts w:ascii="Times New Roman" w:eastAsia="Times New Roman" w:hAnsi="Times New Roman" w:cs="Times New Roman"/>
          <w:sz w:val="24"/>
          <w:szCs w:val="24"/>
        </w:rPr>
        <w:t>, Rio de Janeiro, v. 2, n. 2, p. 35-42, 1987.</w:t>
      </w:r>
    </w:p>
    <w:p w14:paraId="30887801" w14:textId="77777777" w:rsidR="00B125DC" w:rsidRPr="00504B74" w:rsidRDefault="00B125DC" w:rsidP="00E204C9">
      <w:pPr>
        <w:spacing w:after="0" w:line="360" w:lineRule="auto"/>
        <w:jc w:val="both"/>
        <w:rPr>
          <w:rFonts w:ascii="Times New Roman" w:eastAsia="Times New Roman" w:hAnsi="Times New Roman" w:cs="Times New Roman"/>
          <w:sz w:val="24"/>
          <w:szCs w:val="24"/>
        </w:rPr>
      </w:pPr>
    </w:p>
    <w:p w14:paraId="7E707F53"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LAGES, Augusta R. S.; RONCO, Emília. </w:t>
      </w:r>
      <w:r w:rsidRPr="00504B74">
        <w:rPr>
          <w:rFonts w:ascii="Times New Roman" w:hAnsi="Times New Roman" w:cs="Times New Roman"/>
          <w:b/>
          <w:bCs/>
          <w:sz w:val="24"/>
          <w:szCs w:val="24"/>
        </w:rPr>
        <w:t>Técnicas de secretariado</w:t>
      </w:r>
      <w:r w:rsidRPr="00504B74">
        <w:rPr>
          <w:rFonts w:ascii="Times New Roman" w:hAnsi="Times New Roman" w:cs="Times New Roman"/>
          <w:sz w:val="24"/>
          <w:szCs w:val="24"/>
        </w:rPr>
        <w:t>: Biblioteconomia, Arquivística, Documentação. São Paulo: Atlas, 1978.</w:t>
      </w:r>
    </w:p>
    <w:p w14:paraId="3CD17F80" w14:textId="77777777" w:rsidR="00B125DC" w:rsidRPr="00504B74" w:rsidRDefault="00B125DC" w:rsidP="00E204C9">
      <w:pPr>
        <w:spacing w:after="0" w:line="360" w:lineRule="auto"/>
        <w:jc w:val="both"/>
        <w:rPr>
          <w:rFonts w:ascii="Times New Roman" w:hAnsi="Times New Roman" w:cs="Times New Roman"/>
          <w:sz w:val="24"/>
          <w:szCs w:val="24"/>
        </w:rPr>
      </w:pPr>
    </w:p>
    <w:p w14:paraId="4C151E27"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rPr>
        <w:t xml:space="preserve">MARILENA LEITE PAES: construtora da Arquivologia. </w:t>
      </w:r>
      <w:r w:rsidRPr="00504B74">
        <w:rPr>
          <w:rFonts w:ascii="Times New Roman" w:eastAsia="Times New Roman" w:hAnsi="Times New Roman" w:cs="Times New Roman"/>
          <w:b/>
          <w:sz w:val="24"/>
          <w:szCs w:val="24"/>
          <w:lang w:eastAsia="es-ES"/>
        </w:rPr>
        <w:t>Revista do Arquivo</w:t>
      </w:r>
      <w:r w:rsidRPr="00504B74">
        <w:rPr>
          <w:rFonts w:ascii="Times New Roman" w:eastAsia="Times New Roman" w:hAnsi="Times New Roman" w:cs="Times New Roman"/>
          <w:sz w:val="24"/>
          <w:szCs w:val="24"/>
          <w:lang w:eastAsia="es-ES"/>
        </w:rPr>
        <w:t xml:space="preserve">, SP, a. V, n. 10, p. 149-162, jun. 2020. </w:t>
      </w:r>
    </w:p>
    <w:p w14:paraId="61329109" w14:textId="77777777" w:rsidR="00B125DC" w:rsidRDefault="00B125DC" w:rsidP="00E204C9">
      <w:pPr>
        <w:spacing w:after="0" w:line="360" w:lineRule="auto"/>
        <w:ind w:right="-1"/>
        <w:jc w:val="both"/>
        <w:rPr>
          <w:rFonts w:ascii="Times New Roman" w:eastAsia="Times New Roman" w:hAnsi="Times New Roman" w:cs="Times New Roman"/>
          <w:sz w:val="24"/>
          <w:szCs w:val="24"/>
        </w:rPr>
      </w:pPr>
    </w:p>
    <w:p w14:paraId="6BF3026C"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MARQUES, Angelica Alves da Cunha; RODRIGUES, Georgete Medleg; SANTOS, Paulo Roberto Elian dos. </w:t>
      </w:r>
      <w:r w:rsidRPr="00504B74">
        <w:rPr>
          <w:rFonts w:ascii="Times New Roman" w:eastAsia="Times New Roman" w:hAnsi="Times New Roman" w:cs="Times New Roman"/>
          <w:b/>
          <w:sz w:val="24"/>
          <w:szCs w:val="24"/>
        </w:rPr>
        <w:t>História da Arquivologia no Brasil</w:t>
      </w:r>
      <w:r w:rsidRPr="00504B74">
        <w:rPr>
          <w:rFonts w:ascii="Times New Roman" w:eastAsia="Times New Roman" w:hAnsi="Times New Roman" w:cs="Times New Roman"/>
          <w:sz w:val="24"/>
          <w:szCs w:val="24"/>
        </w:rPr>
        <w:t>: instituições, associativismo e produção científica. Rio de Janeiro: Associação dos Arquivistas Brasileiros/Faperj, 2014.</w:t>
      </w:r>
    </w:p>
    <w:p w14:paraId="64B0E89C" w14:textId="77777777" w:rsidR="00B125DC" w:rsidRDefault="00B125DC" w:rsidP="00E204C9">
      <w:pPr>
        <w:spacing w:after="0" w:line="360" w:lineRule="auto"/>
        <w:jc w:val="both"/>
        <w:rPr>
          <w:rFonts w:ascii="Times New Roman" w:eastAsia="Times New Roman" w:hAnsi="Times New Roman" w:cs="Times New Roman"/>
          <w:sz w:val="24"/>
          <w:szCs w:val="24"/>
        </w:rPr>
      </w:pPr>
    </w:p>
    <w:p w14:paraId="71D8A0C7" w14:textId="77777777" w:rsidR="00B125DC" w:rsidRPr="00D66F2E" w:rsidRDefault="00B125DC" w:rsidP="00B125DC">
      <w:pPr>
        <w:spacing w:after="0" w:line="240" w:lineRule="auto"/>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rPr>
        <w:t>MARQUES, Angelica Alves da Cunha</w:t>
      </w:r>
      <w:r w:rsidRPr="00D66F2E">
        <w:rPr>
          <w:rFonts w:ascii="Times New Roman" w:eastAsia="Times New Roman" w:hAnsi="Times New Roman" w:cs="Times New Roman"/>
          <w:sz w:val="24"/>
          <w:szCs w:val="24"/>
          <w:lang w:eastAsia="es-ES"/>
        </w:rPr>
        <w:t xml:space="preserve">. </w:t>
      </w:r>
      <w:r w:rsidRPr="00D66F2E">
        <w:rPr>
          <w:rFonts w:ascii="Times New Roman" w:eastAsia="Times New Roman" w:hAnsi="Times New Roman" w:cs="Times New Roman"/>
          <w:b/>
          <w:bCs/>
          <w:sz w:val="24"/>
          <w:szCs w:val="24"/>
          <w:lang w:eastAsia="es-ES"/>
        </w:rPr>
        <w:t>A Arquivologia Brasileira</w:t>
      </w:r>
      <w:r w:rsidRPr="00D66F2E">
        <w:rPr>
          <w:rFonts w:ascii="Times New Roman" w:eastAsia="Times New Roman" w:hAnsi="Times New Roman" w:cs="Times New Roman"/>
          <w:sz w:val="24"/>
          <w:szCs w:val="24"/>
          <w:lang w:eastAsia="es-ES"/>
        </w:rPr>
        <w:t>: busca por autonomia científica no campo da informação e interlocuções internacionais. 2. ed. amp. Rio de Janeiro: Arquivo Nacional, 2019.</w:t>
      </w:r>
    </w:p>
    <w:p w14:paraId="1E9CF904" w14:textId="77777777" w:rsidR="00B125DC" w:rsidRPr="00504B74" w:rsidRDefault="00B125DC" w:rsidP="00E204C9">
      <w:pPr>
        <w:spacing w:after="0" w:line="360" w:lineRule="auto"/>
        <w:jc w:val="both"/>
        <w:rPr>
          <w:rFonts w:ascii="Times New Roman" w:hAnsi="Times New Roman" w:cs="Times New Roman"/>
          <w:sz w:val="24"/>
          <w:szCs w:val="24"/>
        </w:rPr>
      </w:pPr>
    </w:p>
    <w:p w14:paraId="0709D8B6"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PAES, Marilena Leite. </w:t>
      </w:r>
      <w:r w:rsidRPr="00504B74">
        <w:rPr>
          <w:rFonts w:ascii="Times New Roman" w:eastAsia="Times New Roman" w:hAnsi="Times New Roman" w:cs="Times New Roman"/>
          <w:b/>
          <w:bCs/>
          <w:sz w:val="24"/>
          <w:szCs w:val="24"/>
        </w:rPr>
        <w:t>Gestão de documentos de arquivo</w:t>
      </w:r>
      <w:r w:rsidRPr="00504B74">
        <w:rPr>
          <w:rFonts w:ascii="Times New Roman" w:eastAsia="Times New Roman" w:hAnsi="Times New Roman" w:cs="Times New Roman"/>
          <w:sz w:val="24"/>
          <w:szCs w:val="24"/>
        </w:rPr>
        <w:t>. ARQ-SP: São Paulo, 2005.</w:t>
      </w:r>
    </w:p>
    <w:p w14:paraId="1FCB71D2"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rPr>
      </w:pPr>
    </w:p>
    <w:p w14:paraId="5ADA4580"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PAES, Marilena Leite. </w:t>
      </w:r>
      <w:r w:rsidRPr="00504B74">
        <w:rPr>
          <w:rFonts w:ascii="Times New Roman" w:eastAsia="Times New Roman" w:hAnsi="Times New Roman" w:cs="Times New Roman"/>
          <w:sz w:val="24"/>
          <w:szCs w:val="24"/>
          <w:lang w:eastAsia="es-ES"/>
        </w:rPr>
        <w:t xml:space="preserve">A Importância da gestão de documentos para os serviços públicos federais. </w:t>
      </w:r>
      <w:r w:rsidRPr="00504B74">
        <w:rPr>
          <w:rFonts w:ascii="Times New Roman" w:eastAsia="Times New Roman" w:hAnsi="Times New Roman" w:cs="Times New Roman"/>
          <w:b/>
          <w:bCs/>
          <w:sz w:val="24"/>
          <w:szCs w:val="24"/>
          <w:lang w:eastAsia="es-ES"/>
        </w:rPr>
        <w:t>Arquivo &amp; Administração</w:t>
      </w:r>
      <w:r w:rsidRPr="00504B74">
        <w:rPr>
          <w:rFonts w:ascii="Times New Roman" w:eastAsia="Times New Roman" w:hAnsi="Times New Roman" w:cs="Times New Roman"/>
          <w:sz w:val="24"/>
          <w:szCs w:val="24"/>
          <w:lang w:eastAsia="es-ES"/>
        </w:rPr>
        <w:t>, Rio de Janeiro, jan-jun, v.1, n. 1, 1998.</w:t>
      </w:r>
    </w:p>
    <w:p w14:paraId="02A932E5"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rPr>
      </w:pPr>
    </w:p>
    <w:p w14:paraId="3012242E"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PAES, Marilena Leite. Os arquivos e os desafios de um mundo em mudanças. </w:t>
      </w:r>
      <w:r w:rsidRPr="00504B74">
        <w:rPr>
          <w:rFonts w:ascii="Times New Roman" w:eastAsia="Times New Roman" w:hAnsi="Times New Roman" w:cs="Times New Roman"/>
          <w:b/>
          <w:bCs/>
          <w:sz w:val="24"/>
          <w:szCs w:val="24"/>
        </w:rPr>
        <w:t>Acervo</w:t>
      </w:r>
      <w:r w:rsidRPr="00504B74">
        <w:rPr>
          <w:rFonts w:ascii="Times New Roman" w:eastAsia="Times New Roman" w:hAnsi="Times New Roman" w:cs="Times New Roman"/>
          <w:sz w:val="24"/>
          <w:szCs w:val="24"/>
        </w:rPr>
        <w:t>, Rio de Janeiro, n. 1-2, p. 65-74, jan./dez. 1994.</w:t>
      </w:r>
    </w:p>
    <w:p w14:paraId="4302B9E7"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rPr>
      </w:pPr>
    </w:p>
    <w:p w14:paraId="5AA29E72"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PAES, Marilena Leite. </w:t>
      </w:r>
      <w:r w:rsidRPr="00504B74">
        <w:rPr>
          <w:rFonts w:ascii="Times New Roman" w:eastAsia="Times New Roman" w:hAnsi="Times New Roman" w:cs="Times New Roman"/>
          <w:b/>
          <w:sz w:val="24"/>
          <w:szCs w:val="24"/>
        </w:rPr>
        <w:t>Arquivo</w:t>
      </w:r>
      <w:r w:rsidRPr="00504B74">
        <w:rPr>
          <w:rFonts w:ascii="Times New Roman" w:eastAsia="Times New Roman" w:hAnsi="Times New Roman" w:cs="Times New Roman"/>
          <w:sz w:val="24"/>
          <w:szCs w:val="24"/>
        </w:rPr>
        <w:t>: teoria e prática. 2. ed. Rio de Janeiro: Editora da Fundação Getúlio Vargas, 1991.</w:t>
      </w:r>
    </w:p>
    <w:p w14:paraId="2BA558DA"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rPr>
      </w:pPr>
    </w:p>
    <w:p w14:paraId="014E6A15"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rPr>
        <w:t xml:space="preserve">PAES, Marilena Leite. Arquivos correntes, o calcanhar de Aquiles da Arquivologia. </w:t>
      </w:r>
      <w:r w:rsidRPr="00504B74">
        <w:rPr>
          <w:rFonts w:ascii="Times New Roman" w:eastAsia="Times New Roman" w:hAnsi="Times New Roman" w:cs="Times New Roman"/>
          <w:b/>
          <w:sz w:val="24"/>
          <w:szCs w:val="24"/>
          <w:lang w:eastAsia="es-ES"/>
        </w:rPr>
        <w:t>Acervo</w:t>
      </w:r>
      <w:r w:rsidRPr="00504B74">
        <w:rPr>
          <w:rFonts w:ascii="Times New Roman" w:eastAsia="Times New Roman" w:hAnsi="Times New Roman" w:cs="Times New Roman"/>
          <w:sz w:val="24"/>
          <w:szCs w:val="24"/>
          <w:lang w:eastAsia="es-ES"/>
        </w:rPr>
        <w:t>, Rio de Janeiro, v. 2, n. 1, jan./jun. 1987.</w:t>
      </w:r>
    </w:p>
    <w:p w14:paraId="384854A9"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lang w:eastAsia="es-ES"/>
        </w:rPr>
      </w:pPr>
    </w:p>
    <w:p w14:paraId="49E4B79A"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PAES, Marilena Leite. Terceirização nos Arquivos? </w:t>
      </w:r>
      <w:r w:rsidRPr="00504B74">
        <w:rPr>
          <w:rFonts w:ascii="Times New Roman" w:eastAsia="Times New Roman" w:hAnsi="Times New Roman" w:cs="Times New Roman"/>
          <w:b/>
          <w:bCs/>
          <w:sz w:val="24"/>
          <w:szCs w:val="24"/>
        </w:rPr>
        <w:t>Arquivo &amp; História</w:t>
      </w:r>
      <w:r w:rsidRPr="00504B74">
        <w:rPr>
          <w:rFonts w:ascii="Times New Roman" w:eastAsia="Times New Roman" w:hAnsi="Times New Roman" w:cs="Times New Roman"/>
          <w:sz w:val="24"/>
          <w:szCs w:val="24"/>
        </w:rPr>
        <w:t>. Rio de Janeiro, n. 2, p. 57-62, out. 1986.</w:t>
      </w:r>
    </w:p>
    <w:p w14:paraId="66647CF0"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rPr>
      </w:pPr>
    </w:p>
    <w:p w14:paraId="3819F5E7" w14:textId="77777777" w:rsidR="00B125DC" w:rsidRPr="00504B74" w:rsidRDefault="00B125DC" w:rsidP="00B125DC">
      <w:pPr>
        <w:spacing w:after="0" w:line="240" w:lineRule="auto"/>
        <w:ind w:right="-1"/>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PAES, Marilena Leite. A formação dos profissionais de arquivo. </w:t>
      </w:r>
      <w:r w:rsidRPr="00504B74">
        <w:rPr>
          <w:rFonts w:ascii="Times New Roman" w:eastAsia="Times New Roman" w:hAnsi="Times New Roman" w:cs="Times New Roman"/>
          <w:b/>
          <w:sz w:val="24"/>
          <w:szCs w:val="24"/>
        </w:rPr>
        <w:t>Boletim Histórico e Informativo do Arquivo do Estado de São Paulo</w:t>
      </w:r>
      <w:r w:rsidRPr="00504B74">
        <w:rPr>
          <w:rFonts w:ascii="Times New Roman" w:eastAsia="Times New Roman" w:hAnsi="Times New Roman" w:cs="Times New Roman"/>
          <w:sz w:val="24"/>
          <w:szCs w:val="24"/>
        </w:rPr>
        <w:t>, São Paulo, 1981.</w:t>
      </w:r>
    </w:p>
    <w:p w14:paraId="56FB7C47" w14:textId="77777777" w:rsidR="00B125DC" w:rsidRDefault="00B125DC" w:rsidP="00E204C9">
      <w:pPr>
        <w:spacing w:after="0" w:line="360" w:lineRule="auto"/>
        <w:jc w:val="both"/>
        <w:rPr>
          <w:rFonts w:ascii="Times New Roman" w:eastAsia="Times New Roman" w:hAnsi="Times New Roman" w:cs="Times New Roman"/>
          <w:sz w:val="24"/>
          <w:szCs w:val="24"/>
          <w:lang w:eastAsia="es-ES"/>
        </w:rPr>
      </w:pPr>
    </w:p>
    <w:p w14:paraId="08DB9613" w14:textId="77777777" w:rsidR="00B125DC" w:rsidRPr="00504B74" w:rsidRDefault="00B125DC" w:rsidP="00B125DC">
      <w:pPr>
        <w:spacing w:after="0" w:line="240" w:lineRule="auto"/>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lang w:eastAsia="es-ES"/>
        </w:rPr>
        <w:t xml:space="preserve">PAES, Marilena Leite. A formação dos profissionais de arquivo. </w:t>
      </w:r>
      <w:r w:rsidRPr="00504B74">
        <w:rPr>
          <w:rFonts w:ascii="Times New Roman" w:eastAsia="Times New Roman" w:hAnsi="Times New Roman" w:cs="Times New Roman"/>
          <w:b/>
          <w:bCs/>
          <w:sz w:val="24"/>
          <w:szCs w:val="24"/>
          <w:lang w:eastAsia="es-ES"/>
        </w:rPr>
        <w:t>Arquivo &amp; Administração</w:t>
      </w:r>
      <w:r w:rsidRPr="00504B74">
        <w:rPr>
          <w:rFonts w:ascii="Times New Roman" w:eastAsia="Times New Roman" w:hAnsi="Times New Roman" w:cs="Times New Roman"/>
          <w:sz w:val="24"/>
          <w:szCs w:val="24"/>
          <w:lang w:eastAsia="es-ES"/>
        </w:rPr>
        <w:t xml:space="preserve">, v. 9, n. 1, 1981. Disponível em: </w:t>
      </w:r>
      <w:hyperlink r:id="rId11" w:history="1">
        <w:r w:rsidRPr="00504B74">
          <w:rPr>
            <w:rFonts w:ascii="Times New Roman" w:eastAsia="Times New Roman" w:hAnsi="Times New Roman" w:cs="Times New Roman"/>
            <w:sz w:val="24"/>
            <w:szCs w:val="24"/>
            <w:lang w:eastAsia="es-ES"/>
          </w:rPr>
          <w:t>http://hdl.handle.net/20.500.11959/brapci/31808</w:t>
        </w:r>
      </w:hyperlink>
      <w:r w:rsidRPr="00504B74">
        <w:rPr>
          <w:rFonts w:ascii="Times New Roman" w:eastAsia="Times New Roman" w:hAnsi="Times New Roman" w:cs="Times New Roman"/>
          <w:sz w:val="24"/>
          <w:szCs w:val="24"/>
          <w:lang w:eastAsia="es-ES"/>
        </w:rPr>
        <w:t>. Acesso em: 03 abr. 2022.</w:t>
      </w:r>
    </w:p>
    <w:p w14:paraId="6B19080E" w14:textId="77777777" w:rsidR="00B125DC" w:rsidRPr="00504B74" w:rsidRDefault="00B125DC" w:rsidP="00E204C9">
      <w:pPr>
        <w:spacing w:after="0" w:line="360" w:lineRule="auto"/>
        <w:jc w:val="both"/>
        <w:rPr>
          <w:rFonts w:ascii="Times New Roman" w:eastAsia="Times New Roman" w:hAnsi="Times New Roman" w:cs="Times New Roman"/>
          <w:sz w:val="24"/>
          <w:szCs w:val="24"/>
          <w:lang w:eastAsia="es-ES"/>
        </w:rPr>
      </w:pPr>
    </w:p>
    <w:p w14:paraId="3A56E0EB" w14:textId="77777777" w:rsidR="00B125DC" w:rsidRPr="00504B74" w:rsidRDefault="00B125DC" w:rsidP="00B125DC">
      <w:pPr>
        <w:spacing w:after="0" w:line="240" w:lineRule="auto"/>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lang w:eastAsia="es-ES"/>
        </w:rPr>
        <w:t xml:space="preserve">PAES, Marilena Leite. </w:t>
      </w:r>
      <w:r w:rsidRPr="00504B74">
        <w:rPr>
          <w:rFonts w:ascii="Times New Roman" w:eastAsia="Times New Roman" w:hAnsi="Times New Roman" w:cs="Times New Roman"/>
          <w:b/>
          <w:bCs/>
          <w:sz w:val="24"/>
          <w:szCs w:val="24"/>
          <w:lang w:eastAsia="es-ES"/>
        </w:rPr>
        <w:t>Teoria e Prática de Arquivo</w:t>
      </w:r>
      <w:r w:rsidRPr="00504B74">
        <w:rPr>
          <w:rFonts w:ascii="Times New Roman" w:eastAsia="Times New Roman" w:hAnsi="Times New Roman" w:cs="Times New Roman"/>
          <w:sz w:val="24"/>
          <w:szCs w:val="24"/>
          <w:lang w:eastAsia="es-ES"/>
        </w:rPr>
        <w:t>. Rio de Janeiro: INDOC FGV, 1978.</w:t>
      </w:r>
    </w:p>
    <w:p w14:paraId="31FF7D80" w14:textId="77777777" w:rsidR="00B125DC" w:rsidRDefault="00B125DC" w:rsidP="00E204C9">
      <w:pPr>
        <w:spacing w:after="0" w:line="360" w:lineRule="auto"/>
        <w:jc w:val="both"/>
        <w:rPr>
          <w:rFonts w:ascii="Times New Roman" w:eastAsia="Times New Roman" w:hAnsi="Times New Roman" w:cs="Times New Roman"/>
          <w:sz w:val="24"/>
          <w:szCs w:val="24"/>
          <w:lang w:eastAsia="es-ES"/>
        </w:rPr>
      </w:pPr>
    </w:p>
    <w:p w14:paraId="317E6115" w14:textId="77777777" w:rsidR="00B125DC" w:rsidRPr="00504B74" w:rsidRDefault="00B125DC" w:rsidP="00B125DC">
      <w:pPr>
        <w:spacing w:after="0" w:line="240" w:lineRule="auto"/>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lang w:eastAsia="es-ES"/>
        </w:rPr>
        <w:t xml:space="preserve">PAES, Marilena Leite. Centralização, descentralização, coordenação. </w:t>
      </w:r>
      <w:r w:rsidRPr="00504B74">
        <w:rPr>
          <w:rFonts w:ascii="Times New Roman" w:eastAsia="Times New Roman" w:hAnsi="Times New Roman" w:cs="Times New Roman"/>
          <w:i/>
          <w:iCs/>
          <w:sz w:val="24"/>
          <w:szCs w:val="24"/>
          <w:lang w:eastAsia="es-ES"/>
        </w:rPr>
        <w:t>In:</w:t>
      </w:r>
      <w:r w:rsidRPr="00504B74">
        <w:rPr>
          <w:rFonts w:ascii="Times New Roman" w:eastAsia="Times New Roman" w:hAnsi="Times New Roman" w:cs="Times New Roman"/>
          <w:sz w:val="24"/>
          <w:szCs w:val="24"/>
          <w:lang w:eastAsia="es-ES"/>
        </w:rPr>
        <w:t xml:space="preserve"> Congresso Brasileiro de Arquivologia, 3. </w:t>
      </w:r>
      <w:r w:rsidRPr="00504B74">
        <w:rPr>
          <w:rFonts w:ascii="Times New Roman" w:eastAsia="Times New Roman" w:hAnsi="Times New Roman" w:cs="Times New Roman"/>
          <w:b/>
          <w:bCs/>
          <w:sz w:val="24"/>
          <w:szCs w:val="24"/>
          <w:lang w:eastAsia="es-ES"/>
        </w:rPr>
        <w:t>Anais</w:t>
      </w:r>
      <w:r>
        <w:rPr>
          <w:rFonts w:ascii="Times New Roman" w:eastAsia="Times New Roman" w:hAnsi="Times New Roman" w:cs="Times New Roman"/>
          <w:b/>
          <w:bCs/>
          <w:sz w:val="24"/>
          <w:szCs w:val="24"/>
          <w:lang w:eastAsia="es-ES"/>
        </w:rPr>
        <w:t xml:space="preserve"> </w:t>
      </w:r>
      <w:r w:rsidRPr="00504B74">
        <w:rPr>
          <w:rFonts w:ascii="Times New Roman" w:eastAsia="Times New Roman" w:hAnsi="Times New Roman" w:cs="Times New Roman"/>
          <w:sz w:val="24"/>
          <w:szCs w:val="24"/>
          <w:lang w:eastAsia="es-ES"/>
        </w:rPr>
        <w:t>[…]. Brasília: Associação dos Arquivistas Brasileiros, 1976.</w:t>
      </w:r>
    </w:p>
    <w:p w14:paraId="585F2457" w14:textId="77777777" w:rsidR="00B125DC" w:rsidRDefault="00B125DC" w:rsidP="00E204C9">
      <w:pPr>
        <w:spacing w:after="0" w:line="360" w:lineRule="auto"/>
        <w:jc w:val="both"/>
        <w:rPr>
          <w:rFonts w:ascii="Times New Roman" w:eastAsia="Times New Roman" w:hAnsi="Times New Roman" w:cs="Times New Roman"/>
          <w:sz w:val="24"/>
          <w:szCs w:val="24"/>
          <w:lang w:eastAsia="es-ES"/>
        </w:rPr>
      </w:pPr>
    </w:p>
    <w:p w14:paraId="550202E8" w14:textId="77777777" w:rsidR="00B125DC" w:rsidRPr="00504B74" w:rsidRDefault="00B125DC" w:rsidP="00B125DC">
      <w:pPr>
        <w:spacing w:after="0" w:line="240" w:lineRule="auto"/>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lang w:eastAsia="es-ES"/>
        </w:rPr>
        <w:t xml:space="preserve">PAES, Marilena Leite. </w:t>
      </w:r>
      <w:r w:rsidRPr="00504B74">
        <w:rPr>
          <w:rFonts w:ascii="Times New Roman" w:eastAsia="Times New Roman" w:hAnsi="Times New Roman" w:cs="Times New Roman"/>
          <w:b/>
          <w:bCs/>
          <w:sz w:val="24"/>
          <w:szCs w:val="24"/>
          <w:lang w:eastAsia="es-ES"/>
        </w:rPr>
        <w:t>Teoria e Prática de Arquivo</w:t>
      </w:r>
      <w:r w:rsidRPr="00504B74">
        <w:rPr>
          <w:rFonts w:ascii="Times New Roman" w:eastAsia="Times New Roman" w:hAnsi="Times New Roman" w:cs="Times New Roman"/>
          <w:sz w:val="24"/>
          <w:szCs w:val="24"/>
          <w:lang w:eastAsia="es-ES"/>
        </w:rPr>
        <w:t>. Rio de Janeiro: FGV, 1972.</w:t>
      </w:r>
    </w:p>
    <w:p w14:paraId="49366E4C" w14:textId="77777777" w:rsidR="00B125DC" w:rsidRPr="00504B74" w:rsidRDefault="00B125DC" w:rsidP="00E204C9">
      <w:pPr>
        <w:spacing w:after="0" w:line="360" w:lineRule="auto"/>
        <w:jc w:val="both"/>
        <w:rPr>
          <w:rFonts w:ascii="Times New Roman" w:eastAsia="Times New Roman" w:hAnsi="Times New Roman" w:cs="Times New Roman"/>
          <w:sz w:val="24"/>
          <w:szCs w:val="24"/>
          <w:lang w:eastAsia="es-ES"/>
        </w:rPr>
      </w:pPr>
    </w:p>
    <w:p w14:paraId="483248A7" w14:textId="77777777" w:rsidR="00B125DC" w:rsidRPr="00504B74" w:rsidRDefault="00B125DC" w:rsidP="00B125DC">
      <w:pPr>
        <w:spacing w:after="0" w:line="240" w:lineRule="auto"/>
        <w:jc w:val="both"/>
        <w:rPr>
          <w:rFonts w:ascii="Times New Roman" w:eastAsia="Times New Roman" w:hAnsi="Times New Roman" w:cs="Times New Roman"/>
          <w:sz w:val="24"/>
          <w:szCs w:val="24"/>
          <w:lang w:eastAsia="es-ES"/>
        </w:rPr>
      </w:pPr>
      <w:r w:rsidRPr="00504B74">
        <w:rPr>
          <w:rFonts w:ascii="Times New Roman" w:eastAsia="Times New Roman" w:hAnsi="Times New Roman" w:cs="Times New Roman"/>
          <w:sz w:val="24"/>
          <w:szCs w:val="24"/>
          <w:lang w:eastAsia="es-ES"/>
        </w:rPr>
        <w:t xml:space="preserve">PINTO, Fernanda Bouth. </w:t>
      </w:r>
      <w:r w:rsidRPr="00504B74">
        <w:rPr>
          <w:rFonts w:ascii="Times New Roman" w:eastAsia="Times New Roman" w:hAnsi="Times New Roman" w:cs="Times New Roman"/>
          <w:b/>
          <w:sz w:val="24"/>
          <w:szCs w:val="24"/>
          <w:lang w:eastAsia="es-ES"/>
        </w:rPr>
        <w:t>Plano de classificação por assunto ou funcional</w:t>
      </w:r>
      <w:r w:rsidRPr="00504B74">
        <w:rPr>
          <w:rFonts w:ascii="Times New Roman" w:eastAsia="Times New Roman" w:hAnsi="Times New Roman" w:cs="Times New Roman"/>
          <w:sz w:val="24"/>
          <w:szCs w:val="24"/>
          <w:lang w:eastAsia="es-ES"/>
        </w:rPr>
        <w:t>: análise de metodologias e equivalências para classificação de documentos de arquivo no Instituto Nacional de Infectologia Evandro Chagas. 2017. 183 f. Dissertação (Mestrado em Gestão de Documentos e Arquivos) – Programa de Pós-Graduação em Gestão de Documentos e Arquivos, Universidade Federal do Estado do Rio de Janeiro, Rio de Janeiro, 2017.</w:t>
      </w:r>
    </w:p>
    <w:p w14:paraId="4C1A0FD9" w14:textId="77777777" w:rsidR="00B125DC" w:rsidRPr="00504B74" w:rsidRDefault="00B125DC" w:rsidP="00E204C9">
      <w:pPr>
        <w:spacing w:after="0" w:line="360" w:lineRule="auto"/>
        <w:jc w:val="both"/>
        <w:rPr>
          <w:rFonts w:ascii="Times New Roman" w:eastAsia="Times New Roman" w:hAnsi="Times New Roman" w:cs="Times New Roman"/>
          <w:sz w:val="24"/>
          <w:szCs w:val="24"/>
          <w:lang w:eastAsia="es-ES"/>
        </w:rPr>
      </w:pPr>
    </w:p>
    <w:p w14:paraId="1EDEE83A"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PRADO, Heloísa de Almeida. </w:t>
      </w:r>
      <w:r w:rsidRPr="00504B74">
        <w:rPr>
          <w:rFonts w:ascii="Times New Roman" w:hAnsi="Times New Roman" w:cs="Times New Roman"/>
          <w:b/>
          <w:bCs/>
          <w:sz w:val="24"/>
          <w:szCs w:val="24"/>
        </w:rPr>
        <w:t>A técnica de arquivar</w:t>
      </w:r>
      <w:r w:rsidRPr="00504B74">
        <w:rPr>
          <w:rFonts w:ascii="Times New Roman" w:hAnsi="Times New Roman" w:cs="Times New Roman"/>
          <w:sz w:val="24"/>
          <w:szCs w:val="24"/>
        </w:rPr>
        <w:t xml:space="preserve">. São Paulo: Editora Polígono, 1970. </w:t>
      </w:r>
    </w:p>
    <w:p w14:paraId="687FBE3A" w14:textId="77777777" w:rsidR="00B125DC" w:rsidRDefault="00B125DC" w:rsidP="00E204C9">
      <w:pPr>
        <w:spacing w:after="0" w:line="360" w:lineRule="auto"/>
        <w:jc w:val="both"/>
        <w:rPr>
          <w:rFonts w:ascii="Times New Roman" w:hAnsi="Times New Roman" w:cs="Times New Roman"/>
          <w:sz w:val="24"/>
          <w:szCs w:val="24"/>
        </w:rPr>
      </w:pPr>
    </w:p>
    <w:p w14:paraId="07B1AA04"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PRADO, Heloísa de Almeida. </w:t>
      </w:r>
      <w:r w:rsidRPr="00504B74">
        <w:rPr>
          <w:rFonts w:ascii="Times New Roman" w:hAnsi="Times New Roman" w:cs="Times New Roman"/>
          <w:b/>
          <w:bCs/>
          <w:sz w:val="24"/>
          <w:szCs w:val="24"/>
        </w:rPr>
        <w:t xml:space="preserve">Manual do </w:t>
      </w:r>
      <w:r w:rsidRPr="00504B74">
        <w:rPr>
          <w:rFonts w:ascii="Times New Roman" w:hAnsi="Times New Roman" w:cs="Times New Roman"/>
          <w:sz w:val="24"/>
          <w:szCs w:val="24"/>
        </w:rPr>
        <w:t>A</w:t>
      </w:r>
      <w:r w:rsidRPr="00504B74">
        <w:rPr>
          <w:rFonts w:ascii="Times New Roman" w:hAnsi="Times New Roman" w:cs="Times New Roman"/>
          <w:b/>
          <w:bCs/>
          <w:sz w:val="24"/>
          <w:szCs w:val="24"/>
        </w:rPr>
        <w:t>rquivista</w:t>
      </w:r>
      <w:r w:rsidRPr="00504B74">
        <w:rPr>
          <w:rFonts w:ascii="Times New Roman" w:hAnsi="Times New Roman" w:cs="Times New Roman"/>
          <w:sz w:val="24"/>
          <w:szCs w:val="24"/>
        </w:rPr>
        <w:t xml:space="preserve">. São Paulo: Editora LEP, 1965. </w:t>
      </w:r>
    </w:p>
    <w:p w14:paraId="45D400FE" w14:textId="77777777" w:rsidR="00B125DC" w:rsidRPr="00504B74" w:rsidRDefault="00B125DC" w:rsidP="00E204C9">
      <w:pPr>
        <w:spacing w:after="0" w:line="360" w:lineRule="auto"/>
        <w:jc w:val="both"/>
        <w:rPr>
          <w:rFonts w:ascii="Times New Roman" w:hAnsi="Times New Roman" w:cs="Times New Roman"/>
          <w:sz w:val="24"/>
          <w:szCs w:val="24"/>
        </w:rPr>
      </w:pPr>
    </w:p>
    <w:p w14:paraId="7136EA2F"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PRADO, Heloísa de Almeida. </w:t>
      </w:r>
      <w:r w:rsidRPr="00504B74">
        <w:rPr>
          <w:rFonts w:ascii="Times New Roman" w:hAnsi="Times New Roman" w:cs="Times New Roman"/>
          <w:b/>
          <w:bCs/>
          <w:sz w:val="24"/>
          <w:szCs w:val="24"/>
        </w:rPr>
        <w:t>Como se organiza uma biblioteca</w:t>
      </w:r>
      <w:r w:rsidRPr="00504B74">
        <w:rPr>
          <w:rFonts w:ascii="Times New Roman" w:hAnsi="Times New Roman" w:cs="Times New Roman"/>
          <w:sz w:val="24"/>
          <w:szCs w:val="24"/>
        </w:rPr>
        <w:t xml:space="preserve">. São Paulo: Editora LEP, 1951. </w:t>
      </w:r>
    </w:p>
    <w:p w14:paraId="62C30C13" w14:textId="77777777" w:rsidR="00B125DC" w:rsidRPr="00504B74" w:rsidRDefault="00B125DC" w:rsidP="00E204C9">
      <w:pPr>
        <w:spacing w:after="0" w:line="360" w:lineRule="auto"/>
        <w:jc w:val="both"/>
        <w:rPr>
          <w:rFonts w:ascii="Times New Roman" w:hAnsi="Times New Roman" w:cs="Times New Roman"/>
          <w:sz w:val="24"/>
          <w:szCs w:val="24"/>
        </w:rPr>
      </w:pPr>
    </w:p>
    <w:p w14:paraId="6FB3309B"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RABELO, Fernanda L. De experts a “bodes expiatórios”: a elite técnica do DASP e a reforma no funcionalismo público federal no estado novo (1938-1945). </w:t>
      </w:r>
      <w:r w:rsidRPr="00504B74">
        <w:rPr>
          <w:rFonts w:ascii="Times New Roman" w:hAnsi="Times New Roman" w:cs="Times New Roman"/>
          <w:b/>
          <w:sz w:val="24"/>
          <w:szCs w:val="24"/>
        </w:rPr>
        <w:t>Acervo</w:t>
      </w:r>
      <w:r w:rsidRPr="00504B74">
        <w:rPr>
          <w:rFonts w:ascii="Times New Roman" w:hAnsi="Times New Roman" w:cs="Times New Roman"/>
          <w:sz w:val="24"/>
          <w:szCs w:val="24"/>
        </w:rPr>
        <w:t>, v. 25, n. 2, p. 78-91, jul./dez. 2012. Disponível em: </w:t>
      </w:r>
      <w:hyperlink r:id="rId12" w:tgtFrame="_">
        <w:r w:rsidRPr="00504B74">
          <w:rPr>
            <w:rFonts w:ascii="Times New Roman" w:hAnsi="Times New Roman" w:cs="Times New Roman"/>
            <w:sz w:val="24"/>
            <w:szCs w:val="24"/>
          </w:rPr>
          <w:t>http://hdl.handle.net/20.500.11959/brapci/44668</w:t>
        </w:r>
      </w:hyperlink>
      <w:r w:rsidRPr="00504B74">
        <w:rPr>
          <w:rFonts w:ascii="Times New Roman" w:hAnsi="Times New Roman" w:cs="Times New Roman"/>
          <w:sz w:val="24"/>
          <w:szCs w:val="24"/>
        </w:rPr>
        <w:t>. Acesso em: 10 set. 2021.</w:t>
      </w:r>
    </w:p>
    <w:p w14:paraId="485CA63D" w14:textId="77777777" w:rsidR="00B125DC" w:rsidRPr="00504B74" w:rsidRDefault="00B125DC" w:rsidP="00E204C9">
      <w:pPr>
        <w:spacing w:after="0" w:line="360" w:lineRule="auto"/>
        <w:jc w:val="both"/>
        <w:rPr>
          <w:rFonts w:ascii="Times New Roman" w:hAnsi="Times New Roman" w:cs="Times New Roman"/>
          <w:sz w:val="24"/>
          <w:szCs w:val="24"/>
        </w:rPr>
      </w:pPr>
    </w:p>
    <w:p w14:paraId="25625CC9"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1, n. 1, out. 1973.</w:t>
      </w:r>
    </w:p>
    <w:p w14:paraId="498E50B4" w14:textId="77777777" w:rsidR="00B125DC" w:rsidRPr="00504B74" w:rsidRDefault="00B125DC" w:rsidP="00E204C9">
      <w:pPr>
        <w:spacing w:after="0" w:line="360" w:lineRule="auto"/>
        <w:jc w:val="both"/>
        <w:textAlignment w:val="baseline"/>
        <w:rPr>
          <w:rFonts w:ascii="Times New Roman" w:eastAsia="Times New Roman" w:hAnsi="Times New Roman" w:cs="Times New Roman"/>
          <w:bCs/>
          <w:sz w:val="24"/>
          <w:szCs w:val="24"/>
        </w:rPr>
      </w:pPr>
    </w:p>
    <w:p w14:paraId="73BAE061"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ano 1, n. 2, 1973.</w:t>
      </w:r>
    </w:p>
    <w:p w14:paraId="633EE505" w14:textId="77777777" w:rsidR="00B125DC" w:rsidRPr="00504B74" w:rsidRDefault="00B125DC" w:rsidP="00E204C9">
      <w:pPr>
        <w:spacing w:after="0" w:line="360" w:lineRule="auto"/>
        <w:jc w:val="both"/>
        <w:textAlignment w:val="baseline"/>
        <w:rPr>
          <w:rFonts w:ascii="Times New Roman" w:eastAsia="Times New Roman" w:hAnsi="Times New Roman" w:cs="Times New Roman"/>
          <w:bCs/>
          <w:sz w:val="24"/>
          <w:szCs w:val="24"/>
        </w:rPr>
      </w:pPr>
    </w:p>
    <w:p w14:paraId="7EE4CD59"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2, n.1, abr. 1974.</w:t>
      </w:r>
    </w:p>
    <w:p w14:paraId="2AA6DC0D" w14:textId="77777777" w:rsidR="00B125DC" w:rsidRPr="00504B74" w:rsidRDefault="00B125DC" w:rsidP="00E204C9">
      <w:pPr>
        <w:spacing w:after="0" w:line="360" w:lineRule="auto"/>
        <w:jc w:val="both"/>
        <w:textAlignment w:val="baseline"/>
        <w:rPr>
          <w:rFonts w:ascii="Times New Roman" w:eastAsia="Times New Roman" w:hAnsi="Times New Roman" w:cs="Times New Roman"/>
          <w:bCs/>
          <w:sz w:val="24"/>
          <w:szCs w:val="24"/>
        </w:rPr>
      </w:pPr>
    </w:p>
    <w:p w14:paraId="5E5496FE"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3, n. 2, ago. 1975.</w:t>
      </w:r>
    </w:p>
    <w:p w14:paraId="6E3177EB" w14:textId="77777777" w:rsidR="00B125DC" w:rsidRPr="00504B74" w:rsidRDefault="00B125DC" w:rsidP="00E204C9">
      <w:pPr>
        <w:spacing w:after="0" w:line="360" w:lineRule="auto"/>
        <w:jc w:val="both"/>
        <w:textAlignment w:val="baseline"/>
        <w:rPr>
          <w:rFonts w:ascii="Times New Roman" w:eastAsia="Times New Roman" w:hAnsi="Times New Roman" w:cs="Times New Roman"/>
          <w:bCs/>
          <w:sz w:val="24"/>
          <w:szCs w:val="24"/>
        </w:rPr>
      </w:pPr>
    </w:p>
    <w:p w14:paraId="7AD276EA"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3, n. 3, dez. 1975.</w:t>
      </w:r>
    </w:p>
    <w:p w14:paraId="0C232304" w14:textId="77777777" w:rsidR="00E204C9" w:rsidRDefault="00E204C9" w:rsidP="00E204C9">
      <w:pPr>
        <w:spacing w:after="0" w:line="360" w:lineRule="auto"/>
        <w:jc w:val="both"/>
        <w:textAlignment w:val="baseline"/>
        <w:rPr>
          <w:rFonts w:ascii="Times New Roman" w:eastAsia="Times New Roman" w:hAnsi="Times New Roman" w:cs="Times New Roman"/>
          <w:bCs/>
          <w:sz w:val="24"/>
          <w:szCs w:val="24"/>
        </w:rPr>
      </w:pPr>
    </w:p>
    <w:p w14:paraId="7728FBA5" w14:textId="2E3D98FE"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7, n. 3, dez. 1979.</w:t>
      </w:r>
    </w:p>
    <w:p w14:paraId="7A4AE6E5" w14:textId="77777777" w:rsidR="00B125DC" w:rsidRPr="00504B74" w:rsidRDefault="00B125DC" w:rsidP="00E204C9">
      <w:pPr>
        <w:spacing w:after="0" w:line="360" w:lineRule="auto"/>
        <w:jc w:val="both"/>
        <w:textAlignment w:val="baseline"/>
        <w:rPr>
          <w:rFonts w:ascii="Times New Roman" w:eastAsia="Times New Roman" w:hAnsi="Times New Roman" w:cs="Times New Roman"/>
          <w:bCs/>
          <w:sz w:val="24"/>
          <w:szCs w:val="24"/>
        </w:rPr>
      </w:pPr>
    </w:p>
    <w:p w14:paraId="2688C612"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9, n. 3, dez. 1981.</w:t>
      </w:r>
    </w:p>
    <w:p w14:paraId="68236326" w14:textId="77777777" w:rsidR="00B125DC" w:rsidRPr="00504B74" w:rsidRDefault="00B125DC" w:rsidP="00E204C9">
      <w:pPr>
        <w:spacing w:after="0" w:line="360" w:lineRule="auto"/>
        <w:jc w:val="both"/>
        <w:textAlignment w:val="baseline"/>
        <w:rPr>
          <w:rFonts w:ascii="Times New Roman" w:eastAsia="Times New Roman" w:hAnsi="Times New Roman" w:cs="Times New Roman"/>
          <w:bCs/>
          <w:sz w:val="24"/>
          <w:szCs w:val="24"/>
        </w:rPr>
      </w:pPr>
    </w:p>
    <w:p w14:paraId="309F9501" w14:textId="77777777" w:rsidR="00B125DC" w:rsidRPr="00504B74" w:rsidRDefault="00B125DC" w:rsidP="00B125DC">
      <w:pPr>
        <w:spacing w:after="0" w:line="240" w:lineRule="auto"/>
        <w:jc w:val="both"/>
        <w:textAlignment w:val="baseline"/>
        <w:rPr>
          <w:rFonts w:ascii="Times New Roman" w:eastAsia="Times New Roman" w:hAnsi="Times New Roman" w:cs="Times New Roman"/>
          <w:bCs/>
          <w:sz w:val="24"/>
          <w:szCs w:val="24"/>
        </w:rPr>
      </w:pPr>
      <w:r w:rsidRPr="00504B74">
        <w:rPr>
          <w:rFonts w:ascii="Times New Roman" w:eastAsia="Times New Roman" w:hAnsi="Times New Roman" w:cs="Times New Roman"/>
          <w:bCs/>
          <w:sz w:val="24"/>
          <w:szCs w:val="24"/>
        </w:rPr>
        <w:t>REVISTA ARQUIVO &amp; ADMINISTRAÇÃO. Rio de Janeiro: AAB, v. 1, n. 1, jan./jun. 1998.</w:t>
      </w:r>
    </w:p>
    <w:p w14:paraId="752405ED" w14:textId="77777777" w:rsidR="00B125DC" w:rsidRPr="00504B74" w:rsidRDefault="00B125DC" w:rsidP="00E204C9">
      <w:pPr>
        <w:spacing w:after="0" w:line="360" w:lineRule="auto"/>
        <w:ind w:right="-1"/>
        <w:jc w:val="both"/>
        <w:rPr>
          <w:rFonts w:ascii="Times New Roman" w:eastAsia="Times New Roman" w:hAnsi="Times New Roman" w:cs="Times New Roman"/>
          <w:sz w:val="24"/>
          <w:szCs w:val="24"/>
        </w:rPr>
      </w:pPr>
    </w:p>
    <w:p w14:paraId="020448A4"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SANTOS, Paulo Roberto Elian dos. Um ensaio historiográfico sobre a história dos arquivos e da arquivologia no Brasil: balanço e perspectivas. </w:t>
      </w:r>
      <w:r w:rsidRPr="00504B74">
        <w:rPr>
          <w:rFonts w:ascii="Times New Roman" w:eastAsia="Times New Roman" w:hAnsi="Times New Roman" w:cs="Times New Roman"/>
          <w:b/>
          <w:sz w:val="24"/>
          <w:szCs w:val="24"/>
        </w:rPr>
        <w:t>Acervo</w:t>
      </w:r>
      <w:r w:rsidRPr="00504B74">
        <w:rPr>
          <w:rFonts w:ascii="Times New Roman" w:eastAsia="Times New Roman" w:hAnsi="Times New Roman" w:cs="Times New Roman"/>
          <w:sz w:val="24"/>
          <w:szCs w:val="24"/>
        </w:rPr>
        <w:t>, Rio de Janeiro, v. 35, n. 3, p. 1-34, set./dez. 2022.</w:t>
      </w:r>
    </w:p>
    <w:p w14:paraId="796372A6" w14:textId="77777777" w:rsidR="00B125DC" w:rsidRPr="00504B74" w:rsidRDefault="00B125DC" w:rsidP="00E204C9">
      <w:pPr>
        <w:spacing w:after="0" w:line="360" w:lineRule="auto"/>
        <w:jc w:val="both"/>
        <w:rPr>
          <w:rFonts w:ascii="Times New Roman" w:eastAsia="Times New Roman" w:hAnsi="Times New Roman" w:cs="Times New Roman"/>
          <w:sz w:val="24"/>
          <w:szCs w:val="24"/>
        </w:rPr>
      </w:pPr>
    </w:p>
    <w:p w14:paraId="7732378D"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SANTOS, Paulo Roberto Elian dos. Entrevista com Marilena Leite Paes. </w:t>
      </w:r>
      <w:r w:rsidRPr="00504B74">
        <w:rPr>
          <w:rFonts w:ascii="Times New Roman" w:eastAsia="Times New Roman" w:hAnsi="Times New Roman" w:cs="Times New Roman"/>
          <w:b/>
          <w:sz w:val="24"/>
          <w:szCs w:val="24"/>
        </w:rPr>
        <w:t>Acervo</w:t>
      </w:r>
      <w:r w:rsidRPr="00504B74">
        <w:rPr>
          <w:rFonts w:ascii="Times New Roman" w:eastAsia="Times New Roman" w:hAnsi="Times New Roman" w:cs="Times New Roman"/>
          <w:sz w:val="24"/>
          <w:szCs w:val="24"/>
        </w:rPr>
        <w:t>, v. 34, n. 1, p. 11-29, 14 dez. 2020.</w:t>
      </w:r>
    </w:p>
    <w:p w14:paraId="5C8A06B2" w14:textId="77777777" w:rsidR="00B125DC" w:rsidRDefault="00B125DC" w:rsidP="00E204C9">
      <w:pPr>
        <w:spacing w:after="0" w:line="360" w:lineRule="auto"/>
        <w:jc w:val="both"/>
        <w:rPr>
          <w:rFonts w:ascii="Times New Roman" w:eastAsia="Times New Roman" w:hAnsi="Times New Roman" w:cs="Times New Roman"/>
          <w:sz w:val="24"/>
          <w:szCs w:val="24"/>
        </w:rPr>
      </w:pPr>
    </w:p>
    <w:p w14:paraId="362FB8DA"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SANTOS, Paulo Roberto Elian dos. A institucionalização da arquivologia no Brasil e a reforma administrativa no primeiro governo Vargas (1935-1945). </w:t>
      </w:r>
      <w:r w:rsidRPr="00504B74">
        <w:rPr>
          <w:rFonts w:ascii="Times New Roman" w:eastAsia="Times New Roman" w:hAnsi="Times New Roman" w:cs="Times New Roman"/>
          <w:b/>
          <w:sz w:val="24"/>
          <w:szCs w:val="24"/>
        </w:rPr>
        <w:t>Revista Brasileira de História</w:t>
      </w:r>
      <w:r w:rsidRPr="00504B74">
        <w:rPr>
          <w:rFonts w:ascii="Times New Roman" w:eastAsia="Times New Roman" w:hAnsi="Times New Roman" w:cs="Times New Roman"/>
          <w:sz w:val="24"/>
          <w:szCs w:val="24"/>
        </w:rPr>
        <w:t>, São Paulo, v. 38, p. 121-146, 2018. Disponível em: https://doi.org/10.1590/1806-93472018v38n78-06. Acesso em: 20 jan. 2020.</w:t>
      </w:r>
    </w:p>
    <w:p w14:paraId="5FD34308" w14:textId="77777777" w:rsidR="00B125DC" w:rsidRDefault="00B125DC" w:rsidP="00E204C9">
      <w:pPr>
        <w:spacing w:after="0" w:line="360" w:lineRule="auto"/>
        <w:jc w:val="both"/>
        <w:rPr>
          <w:rFonts w:ascii="Times New Roman" w:hAnsi="Times New Roman" w:cs="Times New Roman"/>
          <w:sz w:val="24"/>
          <w:szCs w:val="24"/>
        </w:rPr>
      </w:pPr>
    </w:p>
    <w:p w14:paraId="46BF80D1"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SCHELLENBERG, Theodore R. </w:t>
      </w:r>
      <w:r w:rsidRPr="00504B74">
        <w:rPr>
          <w:rFonts w:ascii="Times New Roman" w:hAnsi="Times New Roman" w:cs="Times New Roman"/>
          <w:b/>
          <w:sz w:val="24"/>
          <w:szCs w:val="24"/>
        </w:rPr>
        <w:t>Arquivos modernos</w:t>
      </w:r>
      <w:r w:rsidRPr="00504B74">
        <w:rPr>
          <w:rFonts w:ascii="Times New Roman" w:hAnsi="Times New Roman" w:cs="Times New Roman"/>
          <w:sz w:val="24"/>
          <w:szCs w:val="24"/>
        </w:rPr>
        <w:t>: princípios e técnicas. 6. ed. Rio de Janeiro: Ed. da FGV, 2006.</w:t>
      </w:r>
    </w:p>
    <w:p w14:paraId="3BBDB5E1" w14:textId="77777777" w:rsidR="00B125DC" w:rsidRPr="00504B74" w:rsidRDefault="00B125DC" w:rsidP="00E204C9">
      <w:pPr>
        <w:spacing w:after="0" w:line="360" w:lineRule="auto"/>
        <w:jc w:val="both"/>
        <w:rPr>
          <w:rFonts w:ascii="Times New Roman" w:hAnsi="Times New Roman" w:cs="Times New Roman"/>
          <w:sz w:val="24"/>
          <w:szCs w:val="24"/>
        </w:rPr>
      </w:pPr>
    </w:p>
    <w:p w14:paraId="77F75E6A"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SCHELLENBERG, Theodore R. </w:t>
      </w:r>
      <w:r w:rsidRPr="00504B74">
        <w:rPr>
          <w:rFonts w:ascii="Times New Roman" w:hAnsi="Times New Roman" w:cs="Times New Roman"/>
          <w:b/>
          <w:bCs/>
          <w:sz w:val="24"/>
          <w:szCs w:val="24"/>
        </w:rPr>
        <w:t>Documentos públicos e privados:</w:t>
      </w:r>
      <w:r w:rsidRPr="00504B74">
        <w:rPr>
          <w:rFonts w:ascii="Times New Roman" w:hAnsi="Times New Roman" w:cs="Times New Roman"/>
          <w:sz w:val="24"/>
          <w:szCs w:val="24"/>
        </w:rPr>
        <w:t xml:space="preserve"> arranjo e descrição. 2. ed. Rio de Janeiro: Ed. FGV, 1980.</w:t>
      </w:r>
    </w:p>
    <w:p w14:paraId="67EDF500" w14:textId="77777777" w:rsidR="00B125DC" w:rsidRPr="00504B74" w:rsidRDefault="00B125DC" w:rsidP="00E204C9">
      <w:pPr>
        <w:spacing w:after="0" w:line="360" w:lineRule="auto"/>
        <w:jc w:val="both"/>
        <w:rPr>
          <w:rFonts w:ascii="Times New Roman" w:hAnsi="Times New Roman" w:cs="Times New Roman"/>
          <w:sz w:val="24"/>
          <w:szCs w:val="24"/>
        </w:rPr>
      </w:pPr>
    </w:p>
    <w:p w14:paraId="2EDD01CE"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SCHMIDT, Clarissa M. S.; MATTOS, Renato de. Contribuições ao estudo da ordenação de documentos para a Arquivística. In: Maria da Graça Simões; Maria Manuel Borges. (Org.). Tendências Atuais e Perspectivas Futuras em Organização do Conhecimento: atas do III Congresso ISKO Espanha e Portugal – XIII Congresso ISKO Espanha. 1ed.Coimbra: Universidade de Coimbra. Centro de Estudos Interdisciplinares do Século XX – CEIS20, 2017, v. 1, p. 31-40.</w:t>
      </w:r>
    </w:p>
    <w:p w14:paraId="6F9AF886" w14:textId="77777777" w:rsidR="00B125DC" w:rsidRPr="00504B74" w:rsidRDefault="00B125DC" w:rsidP="00E204C9">
      <w:pPr>
        <w:spacing w:after="0" w:line="360" w:lineRule="auto"/>
        <w:jc w:val="both"/>
        <w:rPr>
          <w:rFonts w:ascii="Times New Roman" w:hAnsi="Times New Roman" w:cs="Times New Roman"/>
          <w:sz w:val="24"/>
          <w:szCs w:val="24"/>
        </w:rPr>
      </w:pPr>
    </w:p>
    <w:p w14:paraId="273D31D4"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SILVA, Maria Leonilda Reis da. </w:t>
      </w:r>
      <w:r w:rsidRPr="00504B74">
        <w:rPr>
          <w:rFonts w:ascii="Times New Roman" w:hAnsi="Times New Roman" w:cs="Times New Roman"/>
          <w:b/>
          <w:sz w:val="24"/>
          <w:szCs w:val="24"/>
        </w:rPr>
        <w:t>História e memória do Arquivo Central da FGV</w:t>
      </w:r>
      <w:r w:rsidRPr="00504B74">
        <w:rPr>
          <w:rFonts w:ascii="Times New Roman" w:hAnsi="Times New Roman" w:cs="Times New Roman"/>
          <w:sz w:val="24"/>
          <w:szCs w:val="24"/>
        </w:rPr>
        <w:t>. 2010. 161 f. Dissertação (Mestrado Profissional em Bens Culturais e Projetos Sociais) – Centro de Pesquisa e Documentação de História Contemporânea do Brasil, Fundação Getúlio Vargas, Rio de Janeiro, 2010.</w:t>
      </w:r>
    </w:p>
    <w:p w14:paraId="71AD634F" w14:textId="77777777" w:rsidR="00B125DC" w:rsidRPr="00504B74" w:rsidRDefault="00B125DC" w:rsidP="00E204C9">
      <w:pPr>
        <w:spacing w:after="0" w:line="360" w:lineRule="auto"/>
        <w:jc w:val="both"/>
        <w:rPr>
          <w:rFonts w:ascii="Times New Roman" w:hAnsi="Times New Roman" w:cs="Times New Roman"/>
          <w:sz w:val="24"/>
          <w:szCs w:val="24"/>
        </w:rPr>
      </w:pPr>
    </w:p>
    <w:p w14:paraId="23C7D0FA"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SOUSA, Louise Gabler de. </w:t>
      </w:r>
      <w:r w:rsidRPr="00504B74">
        <w:rPr>
          <w:rFonts w:ascii="Times New Roman" w:hAnsi="Times New Roman" w:cs="Times New Roman"/>
          <w:b/>
          <w:sz w:val="24"/>
          <w:szCs w:val="24"/>
        </w:rPr>
        <w:t>Entre a Administração e a História</w:t>
      </w:r>
      <w:r w:rsidRPr="00504B74">
        <w:rPr>
          <w:rFonts w:ascii="Times New Roman" w:hAnsi="Times New Roman" w:cs="Times New Roman"/>
          <w:sz w:val="24"/>
          <w:szCs w:val="24"/>
        </w:rPr>
        <w:t xml:space="preserve">: o lugar do Arquivo Público do Império nos projetos de modernização do Estado na década de 1870. 2015. 130 f. Dissertação (Mestrado em História) – Programa de Pós-Graduação em História, Instituto de Ciências Humanas e Filosofia, Universidade Federal Fluminense, Niterói, RJ, 2015. </w:t>
      </w:r>
    </w:p>
    <w:p w14:paraId="43A8C34A" w14:textId="77777777" w:rsidR="00B125DC" w:rsidRPr="00504B74" w:rsidRDefault="00B125DC" w:rsidP="00E204C9">
      <w:pPr>
        <w:spacing w:after="0" w:line="360" w:lineRule="auto"/>
        <w:jc w:val="both"/>
        <w:rPr>
          <w:rFonts w:ascii="Times New Roman" w:hAnsi="Times New Roman" w:cs="Times New Roman"/>
          <w:sz w:val="24"/>
          <w:szCs w:val="24"/>
        </w:rPr>
      </w:pPr>
    </w:p>
    <w:p w14:paraId="3C58B7C3"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lastRenderedPageBreak/>
        <w:t xml:space="preserve">SOUSA, Renato Tarciso Barbosa de. Os arquivos montados nos setores de trabalho e as massas documentais acumuladas na administração pública brasileira: uma tentativa de explicação. </w:t>
      </w:r>
      <w:r w:rsidRPr="00504B74">
        <w:rPr>
          <w:rFonts w:ascii="Times New Roman" w:hAnsi="Times New Roman" w:cs="Times New Roman"/>
          <w:b/>
          <w:sz w:val="24"/>
          <w:szCs w:val="24"/>
        </w:rPr>
        <w:t>Revista de Biblioteconomia de Brasília</w:t>
      </w:r>
      <w:r w:rsidRPr="00504B74">
        <w:rPr>
          <w:rFonts w:ascii="Times New Roman" w:hAnsi="Times New Roman" w:cs="Times New Roman"/>
          <w:sz w:val="24"/>
          <w:szCs w:val="24"/>
        </w:rPr>
        <w:t>, v. 21, n. 1, p. 31-50, 1997.</w:t>
      </w:r>
    </w:p>
    <w:p w14:paraId="328E916D" w14:textId="77777777" w:rsidR="00B125DC" w:rsidRPr="00504B74" w:rsidRDefault="00B125DC" w:rsidP="00E204C9">
      <w:pPr>
        <w:spacing w:after="0" w:line="360" w:lineRule="auto"/>
        <w:jc w:val="both"/>
        <w:rPr>
          <w:rFonts w:ascii="Times New Roman" w:hAnsi="Times New Roman" w:cs="Times New Roman"/>
          <w:sz w:val="24"/>
          <w:szCs w:val="24"/>
        </w:rPr>
      </w:pPr>
    </w:p>
    <w:p w14:paraId="226DD76B" w14:textId="77777777" w:rsidR="00B125DC" w:rsidRPr="00B125DC" w:rsidRDefault="00B125DC" w:rsidP="00B125DC">
      <w:pPr>
        <w:suppressAutoHyphens/>
        <w:spacing w:after="0" w:line="240" w:lineRule="auto"/>
        <w:jc w:val="both"/>
        <w:rPr>
          <w:rFonts w:ascii="Times New Roman" w:eastAsia="Times New Roman" w:hAnsi="Times New Roman" w:cs="Times New Roman"/>
          <w:sz w:val="24"/>
          <w:szCs w:val="24"/>
          <w:lang w:eastAsia="ar-SA"/>
        </w:rPr>
      </w:pPr>
      <w:r w:rsidRPr="00504B74">
        <w:rPr>
          <w:rFonts w:ascii="Times New Roman" w:eastAsia="Times New Roman" w:hAnsi="Times New Roman" w:cs="Times New Roman"/>
          <w:bCs/>
          <w:sz w:val="24"/>
          <w:szCs w:val="24"/>
          <w:shd w:val="clear" w:color="auto" w:fill="FFFFFF"/>
          <w:lang w:eastAsia="ar-SA"/>
        </w:rPr>
        <w:t>SOUSA, Renato T. B. de.</w:t>
      </w:r>
      <w:r w:rsidRPr="00504B74">
        <w:rPr>
          <w:rFonts w:ascii="Times New Roman" w:eastAsia="Times New Roman" w:hAnsi="Times New Roman" w:cs="Times New Roman"/>
          <w:sz w:val="24"/>
          <w:szCs w:val="24"/>
          <w:lang w:eastAsia="ar-SA"/>
        </w:rPr>
        <w:t xml:space="preserve"> Alguns apontamentos sobre a classificação de documentos de arquivo. </w:t>
      </w:r>
      <w:r w:rsidRPr="00B125DC">
        <w:rPr>
          <w:rFonts w:ascii="Times New Roman" w:eastAsia="Times New Roman" w:hAnsi="Times New Roman" w:cs="Times New Roman"/>
          <w:b/>
          <w:sz w:val="24"/>
          <w:szCs w:val="24"/>
          <w:lang w:eastAsia="ar-SA"/>
        </w:rPr>
        <w:t>Brazilian Journal of Information Science</w:t>
      </w:r>
      <w:r w:rsidRPr="00B125DC">
        <w:rPr>
          <w:rFonts w:ascii="Times New Roman" w:eastAsia="Times New Roman" w:hAnsi="Times New Roman" w:cs="Times New Roman"/>
          <w:sz w:val="24"/>
          <w:szCs w:val="24"/>
          <w:lang w:eastAsia="ar-SA"/>
        </w:rPr>
        <w:t>, v. 8, p. 1-24, 2014.</w:t>
      </w:r>
    </w:p>
    <w:p w14:paraId="6AEDEF06" w14:textId="77777777" w:rsidR="00B125DC" w:rsidRPr="00B125DC" w:rsidRDefault="00B125DC" w:rsidP="00E204C9">
      <w:pPr>
        <w:spacing w:after="0" w:line="360" w:lineRule="auto"/>
        <w:jc w:val="both"/>
        <w:rPr>
          <w:rFonts w:ascii="Times New Roman" w:hAnsi="Times New Roman" w:cs="Times New Roman"/>
          <w:sz w:val="24"/>
          <w:szCs w:val="24"/>
          <w:highlight w:val="white"/>
        </w:rPr>
      </w:pPr>
    </w:p>
    <w:p w14:paraId="44F79A23" w14:textId="77777777" w:rsidR="00B125DC"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TAVARES, Álvaro. </w:t>
      </w:r>
      <w:r w:rsidRPr="00504B74">
        <w:rPr>
          <w:rFonts w:ascii="Times New Roman" w:hAnsi="Times New Roman" w:cs="Times New Roman"/>
          <w:b/>
          <w:sz w:val="24"/>
          <w:szCs w:val="24"/>
        </w:rPr>
        <w:t>Manual prático e teórico do arquivista</w:t>
      </w:r>
      <w:r w:rsidRPr="00504B74">
        <w:rPr>
          <w:rFonts w:ascii="Times New Roman" w:hAnsi="Times New Roman" w:cs="Times New Roman"/>
          <w:sz w:val="24"/>
          <w:szCs w:val="24"/>
        </w:rPr>
        <w:t>. Rio de Janeiro: Gráficas Bloch, 1944.</w:t>
      </w:r>
    </w:p>
    <w:p w14:paraId="0A3A27A5" w14:textId="77777777" w:rsidR="00E204C9" w:rsidRPr="00504B74" w:rsidRDefault="00E204C9" w:rsidP="00674250">
      <w:pPr>
        <w:spacing w:after="0" w:line="360" w:lineRule="auto"/>
        <w:jc w:val="both"/>
        <w:rPr>
          <w:rFonts w:ascii="Times New Roman" w:hAnsi="Times New Roman" w:cs="Times New Roman"/>
          <w:sz w:val="24"/>
          <w:szCs w:val="24"/>
        </w:rPr>
      </w:pPr>
    </w:p>
    <w:p w14:paraId="69E10C5A"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TORRES, Marcílio Vaz. Apontamentos de arquivística. </w:t>
      </w:r>
      <w:r w:rsidRPr="00504B74">
        <w:rPr>
          <w:rFonts w:ascii="Times New Roman" w:hAnsi="Times New Roman" w:cs="Times New Roman"/>
          <w:b/>
          <w:sz w:val="24"/>
          <w:szCs w:val="24"/>
        </w:rPr>
        <w:t>Revista do Serviço Público</w:t>
      </w:r>
      <w:r w:rsidRPr="00504B74">
        <w:rPr>
          <w:rFonts w:ascii="Times New Roman" w:hAnsi="Times New Roman" w:cs="Times New Roman"/>
          <w:sz w:val="24"/>
          <w:szCs w:val="24"/>
        </w:rPr>
        <w:t>, Brasília, v. 84, n. 2, p. 138-144, ago. 1959. Disponível em</w:t>
      </w:r>
      <w:r w:rsidRPr="00E204C9">
        <w:rPr>
          <w:rFonts w:ascii="Times New Roman" w:hAnsi="Times New Roman" w:cs="Times New Roman"/>
          <w:sz w:val="24"/>
          <w:szCs w:val="24"/>
        </w:rPr>
        <w:t>: https://revista.enap.gov.br/index.php/RSP/ article/view/3741.</w:t>
      </w:r>
      <w:r w:rsidRPr="00504B74">
        <w:rPr>
          <w:rFonts w:ascii="Times New Roman" w:hAnsi="Times New Roman" w:cs="Times New Roman"/>
          <w:sz w:val="24"/>
          <w:szCs w:val="24"/>
        </w:rPr>
        <w:t xml:space="preserve"> Acesso em: 11 set. 2021.</w:t>
      </w:r>
    </w:p>
    <w:p w14:paraId="79A3B827" w14:textId="77777777" w:rsidR="00B125DC" w:rsidRPr="00504B74" w:rsidRDefault="00B125DC" w:rsidP="00674250">
      <w:pPr>
        <w:spacing w:after="0" w:line="360" w:lineRule="auto"/>
        <w:jc w:val="both"/>
        <w:rPr>
          <w:rFonts w:ascii="Times New Roman" w:hAnsi="Times New Roman" w:cs="Times New Roman"/>
          <w:sz w:val="24"/>
          <w:szCs w:val="24"/>
        </w:rPr>
      </w:pPr>
    </w:p>
    <w:p w14:paraId="18DC99BF"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TORRES, Marcilio Vaz. Racionalização dos serviços de comunicações e arquivos. </w:t>
      </w:r>
      <w:r w:rsidRPr="00504B74">
        <w:rPr>
          <w:rFonts w:ascii="Times New Roman" w:hAnsi="Times New Roman" w:cs="Times New Roman"/>
          <w:b/>
          <w:bCs/>
          <w:sz w:val="24"/>
          <w:szCs w:val="24"/>
        </w:rPr>
        <w:t>Revista do Serviço Público</w:t>
      </w:r>
      <w:r w:rsidRPr="00504B74">
        <w:rPr>
          <w:rFonts w:ascii="Times New Roman" w:hAnsi="Times New Roman" w:cs="Times New Roman"/>
          <w:sz w:val="24"/>
          <w:szCs w:val="24"/>
        </w:rPr>
        <w:t>, Rio de Janeiro, v. III, n. 2, p. 5-42, ago. 1940.</w:t>
      </w:r>
    </w:p>
    <w:p w14:paraId="6202E550" w14:textId="77777777" w:rsidR="00B125DC" w:rsidRPr="00504B74" w:rsidRDefault="00B125DC" w:rsidP="00674250">
      <w:pPr>
        <w:spacing w:after="0" w:line="360" w:lineRule="auto"/>
        <w:jc w:val="both"/>
        <w:rPr>
          <w:rFonts w:ascii="Times New Roman" w:hAnsi="Times New Roman" w:cs="Times New Roman"/>
          <w:sz w:val="24"/>
          <w:szCs w:val="24"/>
        </w:rPr>
      </w:pPr>
    </w:p>
    <w:p w14:paraId="24241F5B" w14:textId="77777777" w:rsidR="00B125DC" w:rsidRPr="00504B74" w:rsidRDefault="00B125DC" w:rsidP="00B125DC">
      <w:pPr>
        <w:spacing w:after="0" w:line="240" w:lineRule="auto"/>
        <w:jc w:val="both"/>
        <w:rPr>
          <w:rFonts w:ascii="Times New Roman" w:hAnsi="Times New Roman" w:cs="Times New Roman"/>
          <w:sz w:val="24"/>
          <w:szCs w:val="24"/>
        </w:rPr>
      </w:pPr>
      <w:r w:rsidRPr="00504B74">
        <w:rPr>
          <w:rFonts w:ascii="Times New Roman" w:hAnsi="Times New Roman" w:cs="Times New Roman"/>
          <w:sz w:val="24"/>
          <w:szCs w:val="24"/>
        </w:rPr>
        <w:t xml:space="preserve">TORRES, Marcílio Vaz. </w:t>
      </w:r>
      <w:r w:rsidRPr="00504B74">
        <w:rPr>
          <w:rFonts w:ascii="Times New Roman" w:hAnsi="Times New Roman" w:cs="Times New Roman"/>
          <w:b/>
          <w:bCs/>
          <w:sz w:val="24"/>
          <w:szCs w:val="24"/>
        </w:rPr>
        <w:t>Vade-Mecum do Arquivista</w:t>
      </w:r>
      <w:r w:rsidRPr="00504B74">
        <w:rPr>
          <w:rFonts w:ascii="Times New Roman" w:hAnsi="Times New Roman" w:cs="Times New Roman"/>
          <w:sz w:val="24"/>
          <w:szCs w:val="24"/>
        </w:rPr>
        <w:t>. Rio de Janeiro: Imprensa Nacional: DASP, 1944.</w:t>
      </w:r>
    </w:p>
    <w:p w14:paraId="18D3B21D" w14:textId="77777777" w:rsidR="00B125DC" w:rsidRPr="00504B74" w:rsidRDefault="00B125DC" w:rsidP="00674250">
      <w:pPr>
        <w:spacing w:after="0" w:line="360" w:lineRule="auto"/>
        <w:jc w:val="both"/>
        <w:rPr>
          <w:rFonts w:ascii="Times New Roman" w:eastAsia="Times New Roman" w:hAnsi="Times New Roman" w:cs="Times New Roman"/>
          <w:sz w:val="24"/>
          <w:szCs w:val="24"/>
          <w:shd w:val="clear" w:color="auto" w:fill="FFFFFF"/>
        </w:rPr>
      </w:pPr>
    </w:p>
    <w:p w14:paraId="0C64C407" w14:textId="77777777" w:rsidR="00B125DC" w:rsidRPr="00504B74"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rPr>
        <w:t xml:space="preserve">VIANA, Mario Gonçalves. </w:t>
      </w:r>
      <w:r w:rsidRPr="00504B74">
        <w:rPr>
          <w:rFonts w:ascii="Times New Roman" w:eastAsia="Times New Roman" w:hAnsi="Times New Roman" w:cs="Times New Roman"/>
          <w:b/>
          <w:bCs/>
          <w:sz w:val="24"/>
          <w:szCs w:val="24"/>
        </w:rPr>
        <w:t>Arte de Classificar e de Arquivar</w:t>
      </w:r>
      <w:r w:rsidRPr="00504B74">
        <w:rPr>
          <w:rFonts w:ascii="Times New Roman" w:eastAsia="Times New Roman" w:hAnsi="Times New Roman" w:cs="Times New Roman"/>
          <w:sz w:val="24"/>
          <w:szCs w:val="24"/>
        </w:rPr>
        <w:t>. 2. ed. aumentada e actualizada. Porto: EDITORIAL Domingos Barreira, 1956.</w:t>
      </w:r>
    </w:p>
    <w:p w14:paraId="10C0EA95" w14:textId="77777777" w:rsidR="00B125DC" w:rsidRPr="00504B74" w:rsidRDefault="00B125DC" w:rsidP="00674250">
      <w:pPr>
        <w:spacing w:after="0" w:line="360" w:lineRule="auto"/>
        <w:jc w:val="both"/>
        <w:rPr>
          <w:rFonts w:ascii="Times New Roman" w:hAnsi="Times New Roman" w:cs="Times New Roman"/>
          <w:sz w:val="24"/>
          <w:szCs w:val="24"/>
        </w:rPr>
      </w:pPr>
    </w:p>
    <w:p w14:paraId="53F405C8" w14:textId="77777777" w:rsidR="00B125DC" w:rsidRPr="00504B74" w:rsidRDefault="00B125DC" w:rsidP="00B125DC">
      <w:pPr>
        <w:spacing w:after="0" w:line="240" w:lineRule="auto"/>
        <w:jc w:val="both"/>
        <w:rPr>
          <w:rFonts w:ascii="Times New Roman" w:eastAsia="Times New Roman" w:hAnsi="Times New Roman" w:cs="Times New Roman"/>
          <w:sz w:val="24"/>
          <w:szCs w:val="24"/>
          <w:lang w:val="en-US"/>
        </w:rPr>
      </w:pPr>
      <w:r w:rsidRPr="00504B74">
        <w:rPr>
          <w:rFonts w:ascii="Times New Roman" w:eastAsia="Times New Roman" w:hAnsi="Times New Roman" w:cs="Times New Roman"/>
          <w:sz w:val="24"/>
          <w:szCs w:val="24"/>
          <w:lang w:val="es-PY"/>
        </w:rPr>
        <w:t xml:space="preserve">VICENS CARRIO, Jaime. </w:t>
      </w:r>
      <w:r w:rsidRPr="00504B74">
        <w:rPr>
          <w:rFonts w:ascii="Times New Roman" w:eastAsia="Times New Roman" w:hAnsi="Times New Roman" w:cs="Times New Roman"/>
          <w:b/>
          <w:sz w:val="24"/>
          <w:szCs w:val="24"/>
          <w:lang w:val="es-ES"/>
        </w:rPr>
        <w:t>Tratado de clasificación y archivo</w:t>
      </w:r>
      <w:r w:rsidRPr="00504B74">
        <w:rPr>
          <w:rFonts w:ascii="Times New Roman" w:eastAsia="Times New Roman" w:hAnsi="Times New Roman" w:cs="Times New Roman"/>
          <w:sz w:val="24"/>
          <w:szCs w:val="24"/>
          <w:lang w:val="es-ES"/>
        </w:rPr>
        <w:t xml:space="preserve">. </w:t>
      </w:r>
      <w:r w:rsidRPr="00504B74">
        <w:rPr>
          <w:rFonts w:ascii="Times New Roman" w:eastAsia="Times New Roman" w:hAnsi="Times New Roman" w:cs="Times New Roman"/>
          <w:sz w:val="24"/>
          <w:szCs w:val="24"/>
          <w:lang w:val="en-US"/>
        </w:rPr>
        <w:t>Barcelona: Editorial Labor, 1946.</w:t>
      </w:r>
    </w:p>
    <w:p w14:paraId="538EB793" w14:textId="77777777" w:rsidR="00B125DC" w:rsidRPr="00504B74" w:rsidRDefault="00B125DC" w:rsidP="00674250">
      <w:pPr>
        <w:spacing w:after="0" w:line="360" w:lineRule="auto"/>
        <w:jc w:val="both"/>
        <w:rPr>
          <w:rFonts w:ascii="Times New Roman" w:eastAsia="Times New Roman" w:hAnsi="Times New Roman" w:cs="Times New Roman"/>
          <w:sz w:val="24"/>
          <w:szCs w:val="24"/>
          <w:lang w:val="en-US"/>
        </w:rPr>
      </w:pPr>
    </w:p>
    <w:p w14:paraId="25256E27" w14:textId="77777777" w:rsidR="00B125DC" w:rsidRPr="00545800" w:rsidRDefault="00B125DC" w:rsidP="00B125DC">
      <w:pPr>
        <w:spacing w:after="0" w:line="240" w:lineRule="auto"/>
        <w:jc w:val="both"/>
        <w:rPr>
          <w:rFonts w:ascii="Times New Roman" w:eastAsia="Times New Roman" w:hAnsi="Times New Roman" w:cs="Times New Roman"/>
          <w:sz w:val="24"/>
          <w:szCs w:val="24"/>
        </w:rPr>
      </w:pPr>
      <w:r w:rsidRPr="00504B74">
        <w:rPr>
          <w:rFonts w:ascii="Times New Roman" w:eastAsia="Times New Roman" w:hAnsi="Times New Roman" w:cs="Times New Roman"/>
          <w:sz w:val="24"/>
          <w:szCs w:val="24"/>
          <w:lang w:val="en-US"/>
        </w:rPr>
        <w:t xml:space="preserve">WHITE, Eric Watson. </w:t>
      </w:r>
      <w:r w:rsidRPr="00504B74">
        <w:rPr>
          <w:rFonts w:ascii="Times New Roman" w:eastAsia="Times New Roman" w:hAnsi="Times New Roman" w:cs="Times New Roman"/>
          <w:b/>
          <w:bCs/>
          <w:sz w:val="24"/>
          <w:szCs w:val="24"/>
        </w:rPr>
        <w:t>Arquivar e achar</w:t>
      </w:r>
      <w:r w:rsidRPr="00504B74">
        <w:rPr>
          <w:rFonts w:ascii="Times New Roman" w:eastAsia="Times New Roman" w:hAnsi="Times New Roman" w:cs="Times New Roman"/>
          <w:sz w:val="24"/>
          <w:szCs w:val="24"/>
        </w:rPr>
        <w:t>. Rio de Janeiro: Gráficos Bloch, 1941.</w:t>
      </w:r>
    </w:p>
    <w:p w14:paraId="08128771" w14:textId="77777777" w:rsidR="002F7E08" w:rsidRDefault="002F7E08" w:rsidP="002F7E08">
      <w:pPr>
        <w:spacing w:after="0" w:line="360" w:lineRule="auto"/>
        <w:jc w:val="both"/>
        <w:rPr>
          <w:rFonts w:ascii="Times New Roman" w:eastAsia="Times New Roman" w:hAnsi="Times New Roman" w:cs="Times New Roman"/>
          <w:sz w:val="24"/>
          <w:szCs w:val="24"/>
        </w:rPr>
      </w:pPr>
    </w:p>
    <w:p w14:paraId="3EDE6D01" w14:textId="77777777" w:rsidR="00B125DC" w:rsidRDefault="00B125DC" w:rsidP="002F7E08">
      <w:pPr>
        <w:spacing w:after="0" w:line="360" w:lineRule="auto"/>
        <w:jc w:val="both"/>
        <w:rPr>
          <w:rFonts w:ascii="Times New Roman" w:eastAsia="Times New Roman" w:hAnsi="Times New Roman" w:cs="Times New Roman"/>
          <w:sz w:val="24"/>
          <w:szCs w:val="24"/>
        </w:rPr>
      </w:pPr>
    </w:p>
    <w:p w14:paraId="44D89B52" w14:textId="77777777" w:rsidR="00B125DC" w:rsidRDefault="00B125DC" w:rsidP="002F7E08">
      <w:pPr>
        <w:spacing w:after="0" w:line="360" w:lineRule="auto"/>
        <w:jc w:val="both"/>
        <w:rPr>
          <w:rFonts w:ascii="Times New Roman" w:eastAsia="Times New Roman" w:hAnsi="Times New Roman" w:cs="Times New Roman"/>
          <w:sz w:val="24"/>
          <w:szCs w:val="24"/>
        </w:rPr>
      </w:pPr>
    </w:p>
    <w:p w14:paraId="49307C3C" w14:textId="77777777" w:rsidR="00B125DC" w:rsidRDefault="00B125DC" w:rsidP="002F7E08">
      <w:pPr>
        <w:spacing w:after="0" w:line="360" w:lineRule="auto"/>
        <w:jc w:val="both"/>
        <w:rPr>
          <w:rFonts w:ascii="Times New Roman" w:eastAsia="Times New Roman" w:hAnsi="Times New Roman" w:cs="Times New Roman"/>
          <w:sz w:val="24"/>
          <w:szCs w:val="24"/>
        </w:rPr>
      </w:pPr>
    </w:p>
    <w:p w14:paraId="74798E75" w14:textId="765B07A0" w:rsidR="00B125DC" w:rsidRDefault="00B125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65DA9FE" w14:textId="45028139" w:rsidR="00B125DC" w:rsidRPr="00863B19" w:rsidRDefault="00B125DC" w:rsidP="00AC7317">
      <w:pPr>
        <w:pStyle w:val="Ttulo1"/>
        <w:spacing w:line="360" w:lineRule="auto"/>
        <w:jc w:val="both"/>
        <w:rPr>
          <w:rFonts w:ascii="Times New Roman" w:eastAsia="Times New Roman" w:hAnsi="Times New Roman" w:cs="Times New Roman"/>
          <w:b/>
          <w:bCs/>
          <w:color w:val="auto"/>
          <w:sz w:val="24"/>
          <w:szCs w:val="24"/>
        </w:rPr>
      </w:pPr>
      <w:bookmarkStart w:id="7" w:name="_Toc146826499"/>
      <w:bookmarkStart w:id="8" w:name="_Hlk130116024"/>
      <w:r w:rsidRPr="00863B19">
        <w:rPr>
          <w:rFonts w:ascii="Times New Roman" w:eastAsia="Times New Roman" w:hAnsi="Times New Roman" w:cs="Times New Roman"/>
          <w:b/>
          <w:bCs/>
          <w:color w:val="auto"/>
          <w:sz w:val="24"/>
          <w:szCs w:val="24"/>
        </w:rPr>
        <w:lastRenderedPageBreak/>
        <w:t>A DEFINIÇÃO DE AQUISIÇÃO DE ACERVOS ARQUIVÍSTICOS E SUA COMPREENSÃO NOS PERÍODOS DA ARQUIVOLOGIA CLÁSSICA, MODERNA E CONTEMPORÂNEA</w:t>
      </w:r>
      <w:bookmarkEnd w:id="7"/>
    </w:p>
    <w:bookmarkEnd w:id="8"/>
    <w:p w14:paraId="324F5BED" w14:textId="77777777" w:rsidR="00B125DC" w:rsidRDefault="00B125DC" w:rsidP="00B125DC">
      <w:pPr>
        <w:spacing w:after="0" w:line="360" w:lineRule="auto"/>
        <w:jc w:val="center"/>
        <w:rPr>
          <w:rFonts w:ascii="Times New Roman" w:eastAsia="Times New Roman" w:hAnsi="Times New Roman" w:cs="Times New Roman"/>
          <w:b/>
          <w:bCs/>
          <w:sz w:val="24"/>
          <w:szCs w:val="24"/>
        </w:rPr>
      </w:pPr>
    </w:p>
    <w:p w14:paraId="7B525352" w14:textId="77777777" w:rsidR="00F04B4D" w:rsidRPr="00F04B4D" w:rsidRDefault="00F04B4D" w:rsidP="00F04B4D">
      <w:pPr>
        <w:spacing w:after="0" w:line="360" w:lineRule="auto"/>
        <w:jc w:val="both"/>
        <w:rPr>
          <w:rFonts w:ascii="Times New Roman" w:eastAsia="Times New Roman" w:hAnsi="Times New Roman" w:cs="Times New Roman"/>
          <w:kern w:val="0"/>
          <w:sz w:val="24"/>
          <w:szCs w:val="24"/>
          <w:lang w:eastAsia="pt-BR"/>
          <w14:ligatures w14:val="none"/>
        </w:rPr>
      </w:pPr>
      <w:r w:rsidRPr="00F04B4D">
        <w:rPr>
          <w:rFonts w:ascii="Times New Roman" w:eastAsia="Times New Roman" w:hAnsi="Times New Roman" w:cs="Times New Roman"/>
          <w:b/>
          <w:bCs/>
          <w:color w:val="000000"/>
          <w:kern w:val="0"/>
          <w:sz w:val="24"/>
          <w:szCs w:val="24"/>
          <w:lang w:eastAsia="pt-BR"/>
          <w14:ligatures w14:val="none"/>
        </w:rPr>
        <w:t>Fabiana Costa Dias</w:t>
      </w:r>
    </w:p>
    <w:p w14:paraId="20537AA9" w14:textId="77777777" w:rsidR="00F04B4D" w:rsidRPr="00F04B4D" w:rsidRDefault="00F04B4D" w:rsidP="00F04B4D">
      <w:pPr>
        <w:spacing w:after="0" w:line="360" w:lineRule="auto"/>
        <w:jc w:val="both"/>
        <w:rPr>
          <w:rFonts w:ascii="Times New Roman" w:eastAsia="Times New Roman" w:hAnsi="Times New Roman" w:cs="Times New Roman"/>
          <w:kern w:val="0"/>
          <w:sz w:val="24"/>
          <w:szCs w:val="24"/>
          <w:lang w:eastAsia="pt-BR"/>
          <w14:ligatures w14:val="none"/>
        </w:rPr>
      </w:pPr>
      <w:r w:rsidRPr="00F04B4D">
        <w:rPr>
          <w:rFonts w:ascii="Times New Roman" w:eastAsia="Times New Roman" w:hAnsi="Times New Roman" w:cs="Times New Roman"/>
          <w:color w:val="000000"/>
          <w:kern w:val="0"/>
          <w:sz w:val="24"/>
          <w:szCs w:val="24"/>
          <w:lang w:eastAsia="pt-BR"/>
          <w14:ligatures w14:val="none"/>
        </w:rPr>
        <w:t>Instituto Moreira Salles</w:t>
      </w:r>
    </w:p>
    <w:p w14:paraId="3D956143" w14:textId="77777777" w:rsidR="00F04B4D" w:rsidRPr="00F04B4D" w:rsidRDefault="00F04B4D" w:rsidP="00F04B4D">
      <w:pPr>
        <w:spacing w:after="0" w:line="360" w:lineRule="auto"/>
        <w:rPr>
          <w:rFonts w:ascii="Times New Roman" w:eastAsia="Times New Roman" w:hAnsi="Times New Roman" w:cs="Times New Roman"/>
          <w:kern w:val="0"/>
          <w:sz w:val="24"/>
          <w:szCs w:val="24"/>
          <w:lang w:eastAsia="pt-BR"/>
          <w14:ligatures w14:val="none"/>
        </w:rPr>
      </w:pPr>
    </w:p>
    <w:p w14:paraId="26C12633" w14:textId="77777777" w:rsidR="00F04B4D" w:rsidRPr="00F04B4D" w:rsidRDefault="00F04B4D" w:rsidP="00F04B4D">
      <w:pPr>
        <w:spacing w:after="0" w:line="360" w:lineRule="auto"/>
        <w:jc w:val="both"/>
        <w:rPr>
          <w:rFonts w:ascii="Times New Roman" w:eastAsia="Times New Roman" w:hAnsi="Times New Roman" w:cs="Times New Roman"/>
          <w:kern w:val="0"/>
          <w:sz w:val="24"/>
          <w:szCs w:val="24"/>
          <w:lang w:eastAsia="pt-BR"/>
          <w14:ligatures w14:val="none"/>
        </w:rPr>
      </w:pPr>
      <w:r w:rsidRPr="00F04B4D">
        <w:rPr>
          <w:rFonts w:ascii="Times New Roman" w:eastAsia="Times New Roman" w:hAnsi="Times New Roman" w:cs="Times New Roman"/>
          <w:b/>
          <w:bCs/>
          <w:color w:val="000000"/>
          <w:kern w:val="0"/>
          <w:sz w:val="24"/>
          <w:szCs w:val="24"/>
          <w:lang w:eastAsia="pt-BR"/>
          <w14:ligatures w14:val="none"/>
        </w:rPr>
        <w:t xml:space="preserve">Clarissa </w:t>
      </w:r>
      <w:r w:rsidRPr="00F04B4D">
        <w:rPr>
          <w:rFonts w:ascii="Times New Roman" w:eastAsia="Times New Roman" w:hAnsi="Times New Roman" w:cs="Times New Roman"/>
          <w:b/>
          <w:bCs/>
          <w:color w:val="202124"/>
          <w:kern w:val="0"/>
          <w:sz w:val="24"/>
          <w:szCs w:val="24"/>
          <w:lang w:eastAsia="pt-BR"/>
          <w14:ligatures w14:val="none"/>
        </w:rPr>
        <w:t>Schmidt</w:t>
      </w:r>
    </w:p>
    <w:p w14:paraId="5AE34AB7" w14:textId="77777777" w:rsidR="00F04B4D" w:rsidRPr="00F04B4D" w:rsidRDefault="00F04B4D" w:rsidP="00F04B4D">
      <w:pPr>
        <w:spacing w:after="0" w:line="360" w:lineRule="auto"/>
        <w:jc w:val="both"/>
        <w:rPr>
          <w:rFonts w:ascii="Times New Roman" w:eastAsia="Times New Roman" w:hAnsi="Times New Roman" w:cs="Times New Roman"/>
          <w:kern w:val="0"/>
          <w:sz w:val="24"/>
          <w:szCs w:val="24"/>
          <w:lang w:eastAsia="pt-BR"/>
          <w14:ligatures w14:val="none"/>
        </w:rPr>
      </w:pPr>
      <w:r w:rsidRPr="00F04B4D">
        <w:rPr>
          <w:rFonts w:ascii="Times New Roman" w:eastAsia="Times New Roman" w:hAnsi="Times New Roman" w:cs="Times New Roman"/>
          <w:color w:val="000000"/>
          <w:kern w:val="0"/>
          <w:sz w:val="24"/>
          <w:szCs w:val="24"/>
          <w:lang w:eastAsia="pt-BR"/>
          <w14:ligatures w14:val="none"/>
        </w:rPr>
        <w:t>Universidade Federal Fluminense</w:t>
      </w:r>
    </w:p>
    <w:p w14:paraId="6C29E9F5" w14:textId="77777777" w:rsidR="00F04B4D" w:rsidRPr="00713A38" w:rsidRDefault="00F04B4D" w:rsidP="00B125DC">
      <w:pPr>
        <w:spacing w:after="0" w:line="360" w:lineRule="auto"/>
        <w:jc w:val="center"/>
        <w:rPr>
          <w:rFonts w:ascii="Times New Roman" w:eastAsia="Times New Roman" w:hAnsi="Times New Roman" w:cs="Times New Roman"/>
          <w:b/>
          <w:bCs/>
          <w:sz w:val="24"/>
          <w:szCs w:val="24"/>
        </w:rPr>
      </w:pPr>
    </w:p>
    <w:p w14:paraId="321645B6" w14:textId="77777777" w:rsidR="00F7213F" w:rsidRDefault="00F7213F" w:rsidP="00B125DC">
      <w:pPr>
        <w:spacing w:after="0" w:line="360" w:lineRule="auto"/>
        <w:jc w:val="both"/>
        <w:rPr>
          <w:rFonts w:ascii="Times New Roman" w:eastAsia="Times New Roman" w:hAnsi="Times New Roman" w:cs="Times New Roman"/>
          <w:sz w:val="24"/>
          <w:szCs w:val="24"/>
        </w:rPr>
      </w:pPr>
    </w:p>
    <w:p w14:paraId="4AD41FA3" w14:textId="1E7964A1"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INTRODUÇÃO</w:t>
      </w:r>
    </w:p>
    <w:p w14:paraId="46CE7D2B" w14:textId="77777777" w:rsidR="00B125DC" w:rsidRDefault="00B125DC" w:rsidP="00B125D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AA4A300" w14:textId="77777777" w:rsidR="00B125DC" w:rsidRPr="007342FA" w:rsidRDefault="00B125DC" w:rsidP="00B125DC">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bookmarkStart w:id="9" w:name="_Hlk130116763"/>
      <w:r w:rsidRPr="007342FA">
        <w:rPr>
          <w:rFonts w:ascii="Times New Roman" w:hAnsi="Times New Roman" w:cs="Times New Roman"/>
          <w:sz w:val="24"/>
          <w:szCs w:val="24"/>
        </w:rPr>
        <w:t xml:space="preserve">Comodato, compra, custódia, dação, depósito, doação, empréstimo, legado, permuta, recolhimento, reintegração e transferência são os significados dados ao termo aquisição pelo </w:t>
      </w:r>
      <w:r w:rsidRPr="007342FA">
        <w:rPr>
          <w:rFonts w:ascii="Times New Roman" w:hAnsi="Times New Roman" w:cs="Times New Roman"/>
          <w:i/>
          <w:iCs/>
          <w:sz w:val="24"/>
          <w:szCs w:val="24"/>
        </w:rPr>
        <w:t>Dicionário brasileiro de terminologia arquivística</w:t>
      </w:r>
      <w:r w:rsidRPr="007342FA">
        <w:rPr>
          <w:rFonts w:ascii="Times New Roman" w:hAnsi="Times New Roman" w:cs="Times New Roman"/>
          <w:sz w:val="24"/>
          <w:szCs w:val="24"/>
        </w:rPr>
        <w:t xml:space="preserve"> (2005). Apesar de todos eles denotarem a adição de mais arquivos ou documentos de arquivos em acervos, as atividades que envolvem as suas capacidades de execução possuem características distintas. Enquanto o método compra é caracterizado por uma troca monetária, a doação não é. Por outro lado, ambas transferem a propriedade do vendedor e doador para a instituição que irá receber os documentos de arquivo e/ou arquivo. O legado é semelhante à doação. </w:t>
      </w:r>
      <w:r>
        <w:rPr>
          <w:rFonts w:ascii="Times New Roman" w:hAnsi="Times New Roman" w:cs="Times New Roman"/>
          <w:sz w:val="24"/>
          <w:szCs w:val="24"/>
        </w:rPr>
        <w:t>Já</w:t>
      </w:r>
      <w:r w:rsidRPr="007342FA">
        <w:rPr>
          <w:rFonts w:ascii="Times New Roman" w:hAnsi="Times New Roman" w:cs="Times New Roman"/>
          <w:sz w:val="24"/>
          <w:szCs w:val="24"/>
        </w:rPr>
        <w:t xml:space="preserve"> dação é semelhante à compra e esta, por sua vez, à troca e à permuta. Comodato, depósito e empréstimo são caraterizados pela mudança da posse dos itens envolvidos na aquisição. Transferência e recolhimento não alteram a propriedade e a posse dos documentos de arquivo, ou seja, a jurisdição arquivística é mantida. Por fim, custódia e re</w:t>
      </w:r>
      <w:r>
        <w:rPr>
          <w:rFonts w:ascii="Times New Roman" w:hAnsi="Times New Roman" w:cs="Times New Roman"/>
          <w:sz w:val="24"/>
          <w:szCs w:val="24"/>
        </w:rPr>
        <w:t>integração</w:t>
      </w:r>
      <w:r w:rsidRPr="007342FA">
        <w:rPr>
          <w:rFonts w:ascii="Times New Roman" w:hAnsi="Times New Roman" w:cs="Times New Roman"/>
          <w:sz w:val="24"/>
          <w:szCs w:val="24"/>
        </w:rPr>
        <w:t xml:space="preserve"> podem ser compreendidos como alteração da jurisdição arquivística ou não. </w:t>
      </w:r>
      <w:r w:rsidRPr="00A71E47">
        <w:rPr>
          <w:rFonts w:ascii="Times New Roman" w:hAnsi="Times New Roman" w:cs="Times New Roman"/>
          <w:sz w:val="24"/>
          <w:szCs w:val="24"/>
        </w:rPr>
        <w:t>Nesse sentido</w:t>
      </w:r>
      <w:r>
        <w:rPr>
          <w:rFonts w:ascii="Times New Roman" w:hAnsi="Times New Roman" w:cs="Times New Roman"/>
          <w:sz w:val="24"/>
          <w:szCs w:val="24"/>
        </w:rPr>
        <w:t>,</w:t>
      </w:r>
      <w:r w:rsidRPr="00A71E47">
        <w:rPr>
          <w:rFonts w:ascii="Times New Roman" w:hAnsi="Times New Roman" w:cs="Times New Roman"/>
          <w:sz w:val="24"/>
          <w:szCs w:val="24"/>
        </w:rPr>
        <w:t xml:space="preserve"> a proposta deste artigo é compreender e classificar cada método aquisitivo a partir das suas definições, para então identificar</w:t>
      </w:r>
      <w:r>
        <w:rPr>
          <w:rFonts w:ascii="Times New Roman" w:hAnsi="Times New Roman" w:cs="Times New Roman"/>
          <w:sz w:val="24"/>
          <w:szCs w:val="24"/>
        </w:rPr>
        <w:t>,</w:t>
      </w:r>
      <w:r w:rsidRPr="00A71E47">
        <w:rPr>
          <w:rFonts w:ascii="Times New Roman" w:hAnsi="Times New Roman" w:cs="Times New Roman"/>
          <w:sz w:val="24"/>
          <w:szCs w:val="24"/>
        </w:rPr>
        <w:t xml:space="preserve"> na literatura manualística dos períodos clássico, moderno e contemporânea da Arquivologia</w:t>
      </w:r>
      <w:r>
        <w:rPr>
          <w:rFonts w:ascii="Times New Roman" w:hAnsi="Times New Roman" w:cs="Times New Roman"/>
          <w:sz w:val="24"/>
          <w:szCs w:val="24"/>
        </w:rPr>
        <w:t>,</w:t>
      </w:r>
      <w:r w:rsidRPr="00A71E47">
        <w:rPr>
          <w:rFonts w:ascii="Times New Roman" w:hAnsi="Times New Roman" w:cs="Times New Roman"/>
          <w:sz w:val="24"/>
          <w:szCs w:val="24"/>
        </w:rPr>
        <w:t xml:space="preserve"> como a aquisição vem sendo entendida</w:t>
      </w:r>
      <w:r w:rsidRPr="00A71E47">
        <w:rPr>
          <w:rStyle w:val="Refdenotaderodap"/>
          <w:rFonts w:ascii="Times New Roman" w:hAnsi="Times New Roman" w:cs="Times New Roman"/>
          <w:sz w:val="24"/>
          <w:szCs w:val="24"/>
        </w:rPr>
        <w:footnoteReference w:id="7"/>
      </w:r>
      <w:r w:rsidRPr="00A71E47">
        <w:rPr>
          <w:rFonts w:ascii="Times New Roman" w:hAnsi="Times New Roman" w:cs="Times New Roman"/>
          <w:sz w:val="24"/>
          <w:szCs w:val="24"/>
        </w:rPr>
        <w:t>.</w:t>
      </w:r>
      <w:r w:rsidRPr="007342FA">
        <w:rPr>
          <w:rFonts w:ascii="Times New Roman" w:hAnsi="Times New Roman" w:cs="Times New Roman"/>
          <w:sz w:val="24"/>
          <w:szCs w:val="24"/>
        </w:rPr>
        <w:t xml:space="preserve"> </w:t>
      </w:r>
    </w:p>
    <w:bookmarkEnd w:id="9"/>
    <w:p w14:paraId="190E22AD" w14:textId="77777777" w:rsidR="00B125DC" w:rsidRDefault="00B125DC" w:rsidP="00B125DC">
      <w:pPr>
        <w:spacing w:after="0" w:line="360" w:lineRule="auto"/>
        <w:jc w:val="both"/>
        <w:rPr>
          <w:rFonts w:ascii="Times New Roman" w:eastAsia="Times New Roman" w:hAnsi="Times New Roman" w:cs="Times New Roman"/>
          <w:sz w:val="24"/>
          <w:szCs w:val="24"/>
        </w:rPr>
      </w:pPr>
    </w:p>
    <w:p w14:paraId="4E54FB12"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2 </w:t>
      </w:r>
      <w:r>
        <w:rPr>
          <w:rFonts w:ascii="Times New Roman" w:eastAsia="Times New Roman" w:hAnsi="Times New Roman" w:cs="Times New Roman"/>
          <w:b/>
          <w:sz w:val="24"/>
          <w:szCs w:val="24"/>
        </w:rPr>
        <w:t>METODOLOGIA</w:t>
      </w:r>
    </w:p>
    <w:p w14:paraId="2D30D288" w14:textId="77777777" w:rsidR="00B125DC" w:rsidRDefault="00B125DC" w:rsidP="00B125D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50981F3" w14:textId="35A1AC81" w:rsidR="00B125DC" w:rsidRPr="00110C60" w:rsidRDefault="00B125DC" w:rsidP="00B125D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Trata-se de uma pesquisa de natureza aplicada, caracterizada por ser exploratória, descritiva e explicativa. Os procedimentos técnicos utilizados foram pesquisa bibliográfica, documental e de levantamento, com abordagens dedutiva, histórica e comparativa. Para tanto a pesquisa utilizou as seguintes fontes: </w:t>
      </w:r>
      <w:r w:rsidRPr="00BA76B9">
        <w:rPr>
          <w:rFonts w:ascii="Times New Roman" w:hAnsi="Times New Roman" w:cs="Times New Roman"/>
          <w:i/>
          <w:iCs/>
          <w:sz w:val="24"/>
          <w:szCs w:val="24"/>
        </w:rPr>
        <w:t>Manual de classificação e archivamento de papéis e documentos commerciaes e civis</w:t>
      </w:r>
      <w:r w:rsidRPr="00BA76B9">
        <w:rPr>
          <w:rFonts w:ascii="Times New Roman" w:hAnsi="Times New Roman" w:cs="Times New Roman"/>
          <w:sz w:val="24"/>
          <w:szCs w:val="24"/>
        </w:rPr>
        <w:t xml:space="preserve"> (C</w:t>
      </w:r>
      <w:r w:rsidR="00F7213F" w:rsidRPr="00BA76B9">
        <w:rPr>
          <w:rFonts w:ascii="Times New Roman" w:hAnsi="Times New Roman" w:cs="Times New Roman"/>
          <w:sz w:val="24"/>
          <w:szCs w:val="24"/>
        </w:rPr>
        <w:t>arvalho</w:t>
      </w:r>
      <w:r w:rsidRPr="00BA76B9">
        <w:rPr>
          <w:rFonts w:ascii="Times New Roman" w:hAnsi="Times New Roman" w:cs="Times New Roman"/>
          <w:sz w:val="24"/>
          <w:szCs w:val="24"/>
        </w:rPr>
        <w:t xml:space="preserve">, 1931); </w:t>
      </w:r>
      <w:r w:rsidRPr="00B125DC">
        <w:rPr>
          <w:rFonts w:ascii="Times New Roman" w:hAnsi="Times New Roman" w:cs="Times New Roman"/>
          <w:i/>
          <w:iCs/>
          <w:sz w:val="24"/>
          <w:szCs w:val="24"/>
        </w:rPr>
        <w:t>A Manual of Archive Administration</w:t>
      </w:r>
      <w:r w:rsidRPr="00B125DC">
        <w:rPr>
          <w:rFonts w:ascii="Times New Roman" w:hAnsi="Times New Roman" w:cs="Times New Roman"/>
          <w:sz w:val="24"/>
          <w:szCs w:val="24"/>
        </w:rPr>
        <w:t xml:space="preserve"> (</w:t>
      </w:r>
      <w:r w:rsidRPr="00BA76B9">
        <w:rPr>
          <w:rFonts w:ascii="Times New Roman" w:hAnsi="Times New Roman" w:cs="Times New Roman"/>
          <w:sz w:val="24"/>
          <w:szCs w:val="24"/>
        </w:rPr>
        <w:t>JENKINSON,</w:t>
      </w:r>
      <w:r w:rsidRPr="00B125DC">
        <w:rPr>
          <w:rFonts w:ascii="Times New Roman" w:hAnsi="Times New Roman" w:cs="Times New Roman"/>
          <w:sz w:val="24"/>
          <w:szCs w:val="24"/>
        </w:rPr>
        <w:t xml:space="preserve"> 1937); </w:t>
      </w:r>
      <w:r w:rsidRPr="00BA76B9">
        <w:rPr>
          <w:rFonts w:ascii="Times New Roman" w:hAnsi="Times New Roman" w:cs="Times New Roman"/>
          <w:i/>
          <w:iCs/>
          <w:sz w:val="24"/>
          <w:szCs w:val="24"/>
        </w:rPr>
        <w:t>Arquivar e achar</w:t>
      </w:r>
      <w:r w:rsidRPr="00BA76B9">
        <w:rPr>
          <w:rFonts w:ascii="Times New Roman" w:hAnsi="Times New Roman" w:cs="Times New Roman"/>
          <w:sz w:val="24"/>
          <w:szCs w:val="24"/>
        </w:rPr>
        <w:t xml:space="preserve"> (W</w:t>
      </w:r>
      <w:r w:rsidR="00F7213F" w:rsidRPr="00BA76B9">
        <w:rPr>
          <w:rFonts w:ascii="Times New Roman" w:hAnsi="Times New Roman" w:cs="Times New Roman"/>
          <w:sz w:val="24"/>
          <w:szCs w:val="24"/>
        </w:rPr>
        <w:t>hite</w:t>
      </w:r>
      <w:r w:rsidRPr="00BA76B9">
        <w:rPr>
          <w:rFonts w:ascii="Times New Roman" w:hAnsi="Times New Roman" w:cs="Times New Roman"/>
          <w:sz w:val="24"/>
          <w:szCs w:val="24"/>
        </w:rPr>
        <w:t xml:space="preserve">, 1941) e; </w:t>
      </w:r>
      <w:r w:rsidRPr="00BA76B9">
        <w:rPr>
          <w:rFonts w:ascii="Times New Roman" w:hAnsi="Times New Roman" w:cs="Times New Roman"/>
          <w:i/>
          <w:iCs/>
          <w:sz w:val="24"/>
          <w:szCs w:val="24"/>
        </w:rPr>
        <w:t>Vade-Mecum do arquivista</w:t>
      </w:r>
      <w:r w:rsidRPr="00BA76B9">
        <w:rPr>
          <w:rFonts w:ascii="Times New Roman" w:hAnsi="Times New Roman" w:cs="Times New Roman"/>
          <w:sz w:val="24"/>
          <w:szCs w:val="24"/>
        </w:rPr>
        <w:t xml:space="preserve"> (TORRES, 1944), </w:t>
      </w:r>
      <w:r w:rsidRPr="00BA76B9">
        <w:rPr>
          <w:rFonts w:ascii="Times New Roman" w:hAnsi="Times New Roman" w:cs="Times New Roman"/>
          <w:i/>
          <w:iCs/>
          <w:sz w:val="24"/>
          <w:szCs w:val="24"/>
        </w:rPr>
        <w:t>Manual de arranjo e descrição de arquivos</w:t>
      </w:r>
      <w:r w:rsidRPr="00B125DC">
        <w:rPr>
          <w:rFonts w:ascii="Times New Roman" w:hAnsi="Times New Roman" w:cs="Times New Roman"/>
          <w:sz w:val="24"/>
          <w:szCs w:val="24"/>
        </w:rPr>
        <w:t xml:space="preserve"> (1973), </w:t>
      </w:r>
      <w:r w:rsidRPr="00B125DC">
        <w:rPr>
          <w:rFonts w:ascii="Times New Roman" w:hAnsi="Times New Roman" w:cs="Times New Roman"/>
          <w:i/>
          <w:iCs/>
          <w:sz w:val="24"/>
          <w:szCs w:val="24"/>
        </w:rPr>
        <w:t>A Modern Archives Reader: basic reading in archival theory and practice</w:t>
      </w:r>
      <w:r w:rsidRPr="00B125DC">
        <w:rPr>
          <w:rFonts w:ascii="Times New Roman" w:hAnsi="Times New Roman" w:cs="Times New Roman"/>
          <w:sz w:val="24"/>
          <w:szCs w:val="24"/>
        </w:rPr>
        <w:t xml:space="preserve"> (1984), </w:t>
      </w:r>
      <w:r w:rsidRPr="00B125DC">
        <w:rPr>
          <w:rFonts w:ascii="Times New Roman" w:hAnsi="Times New Roman" w:cs="Times New Roman"/>
          <w:i/>
          <w:iCs/>
          <w:sz w:val="24"/>
          <w:szCs w:val="24"/>
        </w:rPr>
        <w:t>Selecting and Appraising Archives and Manuscripts</w:t>
      </w:r>
      <w:r w:rsidRPr="00B125DC">
        <w:rPr>
          <w:rFonts w:ascii="Times New Roman" w:hAnsi="Times New Roman" w:cs="Times New Roman"/>
          <w:sz w:val="24"/>
          <w:szCs w:val="24"/>
        </w:rPr>
        <w:t xml:space="preserve"> (</w:t>
      </w:r>
      <w:r w:rsidRPr="00110C60">
        <w:rPr>
          <w:rFonts w:ascii="Times New Roman" w:hAnsi="Times New Roman" w:cs="Times New Roman"/>
          <w:sz w:val="24"/>
          <w:szCs w:val="24"/>
        </w:rPr>
        <w:t xml:space="preserve">HAM, </w:t>
      </w:r>
      <w:r w:rsidRPr="00B125DC">
        <w:rPr>
          <w:rFonts w:ascii="Times New Roman" w:hAnsi="Times New Roman" w:cs="Times New Roman"/>
          <w:sz w:val="24"/>
          <w:szCs w:val="24"/>
        </w:rPr>
        <w:t xml:space="preserve">1993), </w:t>
      </w:r>
      <w:r w:rsidRPr="00BA76B9">
        <w:rPr>
          <w:rFonts w:ascii="Times New Roman" w:hAnsi="Times New Roman" w:cs="Times New Roman"/>
          <w:i/>
          <w:iCs/>
          <w:sz w:val="24"/>
          <w:szCs w:val="24"/>
        </w:rPr>
        <w:t>Dicionário brasileiro de terminologia arquivística</w:t>
      </w:r>
      <w:r w:rsidRPr="00BA76B9">
        <w:rPr>
          <w:rFonts w:ascii="Times New Roman" w:hAnsi="Times New Roman" w:cs="Times New Roman"/>
          <w:sz w:val="24"/>
          <w:szCs w:val="24"/>
        </w:rPr>
        <w:t xml:space="preserve"> (2005),</w:t>
      </w:r>
      <w:r>
        <w:rPr>
          <w:rFonts w:ascii="Times New Roman" w:hAnsi="Times New Roman" w:cs="Times New Roman"/>
          <w:sz w:val="24"/>
          <w:szCs w:val="24"/>
        </w:rPr>
        <w:t xml:space="preserve"> </w:t>
      </w:r>
      <w:r w:rsidRPr="00B125DC">
        <w:rPr>
          <w:rFonts w:ascii="Times New Roman" w:hAnsi="Times New Roman" w:cs="Times New Roman"/>
          <w:sz w:val="24"/>
          <w:szCs w:val="24"/>
        </w:rPr>
        <w:t>Arquivos modernos: princípios e técnicas (S</w:t>
      </w:r>
      <w:r w:rsidR="00F7213F" w:rsidRPr="00B125DC">
        <w:rPr>
          <w:rFonts w:ascii="Times New Roman" w:hAnsi="Times New Roman" w:cs="Times New Roman"/>
          <w:sz w:val="24"/>
          <w:szCs w:val="24"/>
        </w:rPr>
        <w:t>chellenberg</w:t>
      </w:r>
      <w:r w:rsidRPr="00B125DC">
        <w:rPr>
          <w:rFonts w:ascii="Times New Roman" w:hAnsi="Times New Roman" w:cs="Times New Roman"/>
          <w:sz w:val="24"/>
          <w:szCs w:val="24"/>
        </w:rPr>
        <w:t>, 2006),</w:t>
      </w:r>
      <w:r w:rsidRPr="00BA76B9">
        <w:rPr>
          <w:rFonts w:ascii="Times New Roman" w:hAnsi="Times New Roman" w:cs="Times New Roman"/>
          <w:sz w:val="24"/>
          <w:szCs w:val="24"/>
        </w:rPr>
        <w:t xml:space="preserve"> </w:t>
      </w:r>
      <w:r w:rsidRPr="00B125DC">
        <w:rPr>
          <w:rFonts w:ascii="Times New Roman" w:hAnsi="Times New Roman" w:cs="Times New Roman"/>
          <w:i/>
          <w:iCs/>
          <w:sz w:val="24"/>
          <w:szCs w:val="24"/>
        </w:rPr>
        <w:t>Keeping Archives</w:t>
      </w:r>
      <w:r w:rsidRPr="00B125DC">
        <w:rPr>
          <w:rFonts w:ascii="Times New Roman" w:hAnsi="Times New Roman" w:cs="Times New Roman"/>
          <w:sz w:val="24"/>
          <w:szCs w:val="24"/>
        </w:rPr>
        <w:t xml:space="preserve"> (2008), </w:t>
      </w:r>
      <w:r w:rsidRPr="00BA76B9">
        <w:rPr>
          <w:rFonts w:ascii="Times New Roman" w:hAnsi="Times New Roman" w:cs="Times New Roman"/>
          <w:i/>
          <w:iCs/>
          <w:sz w:val="24"/>
          <w:szCs w:val="24"/>
        </w:rPr>
        <w:t>Encyclopedia of Archival Science</w:t>
      </w:r>
      <w:r w:rsidRPr="00BA76B9">
        <w:rPr>
          <w:rFonts w:ascii="Times New Roman" w:hAnsi="Times New Roman" w:cs="Times New Roman"/>
          <w:sz w:val="24"/>
          <w:szCs w:val="24"/>
        </w:rPr>
        <w:t xml:space="preserve"> (2015)</w:t>
      </w:r>
      <w:r w:rsidRPr="00B125DC">
        <w:rPr>
          <w:rFonts w:ascii="Times New Roman" w:hAnsi="Times New Roman" w:cs="Times New Roman"/>
          <w:sz w:val="24"/>
          <w:szCs w:val="24"/>
        </w:rPr>
        <w:t>.</w:t>
      </w:r>
    </w:p>
    <w:p w14:paraId="18CB1940" w14:textId="77777777" w:rsidR="00B125DC" w:rsidRDefault="00B125DC" w:rsidP="00B125DC">
      <w:pPr>
        <w:spacing w:after="0" w:line="360" w:lineRule="auto"/>
        <w:ind w:firstLine="720"/>
        <w:jc w:val="both"/>
        <w:rPr>
          <w:rFonts w:ascii="Times New Roman" w:hAnsi="Times New Roman" w:cs="Times New Roman"/>
          <w:sz w:val="24"/>
          <w:szCs w:val="24"/>
        </w:rPr>
      </w:pPr>
      <w:bookmarkStart w:id="10" w:name="_Hlk130116785"/>
      <w:r w:rsidRPr="007342FA">
        <w:rPr>
          <w:rFonts w:ascii="Times New Roman" w:hAnsi="Times New Roman" w:cs="Times New Roman"/>
          <w:sz w:val="24"/>
          <w:szCs w:val="24"/>
        </w:rPr>
        <w:t>Como procedimento metodológico o artigo em questão</w:t>
      </w:r>
      <w:r>
        <w:rPr>
          <w:rFonts w:ascii="Times New Roman" w:hAnsi="Times New Roman" w:cs="Times New Roman"/>
          <w:sz w:val="24"/>
          <w:szCs w:val="24"/>
        </w:rPr>
        <w:t xml:space="preserve"> possui um objetivo geral que é </w:t>
      </w:r>
      <w:r w:rsidRPr="00502E0F">
        <w:rPr>
          <w:rFonts w:ascii="Times New Roman" w:hAnsi="Times New Roman" w:cs="Times New Roman"/>
          <w:sz w:val="24"/>
          <w:szCs w:val="24"/>
        </w:rPr>
        <w:t>compreender e classificar cada método aquisitivo a partir das suas definições, para então identificar</w:t>
      </w:r>
      <w:r>
        <w:rPr>
          <w:rFonts w:ascii="Times New Roman" w:hAnsi="Times New Roman" w:cs="Times New Roman"/>
          <w:sz w:val="24"/>
          <w:szCs w:val="24"/>
        </w:rPr>
        <w:t>,</w:t>
      </w:r>
      <w:r w:rsidRPr="00502E0F">
        <w:rPr>
          <w:rFonts w:ascii="Times New Roman" w:hAnsi="Times New Roman" w:cs="Times New Roman"/>
          <w:sz w:val="24"/>
          <w:szCs w:val="24"/>
        </w:rPr>
        <w:t xml:space="preserve"> na literatura manualística dos períodos clássico, moderno e contemporânea da Arquivologia</w:t>
      </w:r>
      <w:r>
        <w:rPr>
          <w:rFonts w:ascii="Times New Roman" w:hAnsi="Times New Roman" w:cs="Times New Roman"/>
          <w:sz w:val="24"/>
          <w:szCs w:val="24"/>
        </w:rPr>
        <w:t>,</w:t>
      </w:r>
      <w:r w:rsidRPr="00502E0F">
        <w:rPr>
          <w:rFonts w:ascii="Times New Roman" w:hAnsi="Times New Roman" w:cs="Times New Roman"/>
          <w:sz w:val="24"/>
          <w:szCs w:val="24"/>
        </w:rPr>
        <w:t xml:space="preserve"> como a aquisição vem sendo entendida. Para alcançar esse objetivo geral foram</w:t>
      </w:r>
      <w:r>
        <w:rPr>
          <w:rFonts w:ascii="Times New Roman" w:hAnsi="Times New Roman" w:cs="Times New Roman"/>
          <w:sz w:val="24"/>
          <w:szCs w:val="24"/>
        </w:rPr>
        <w:t xml:space="preserve"> traçados dois objetivos específicos. O</w:t>
      </w:r>
      <w:r w:rsidRPr="007342FA">
        <w:rPr>
          <w:rFonts w:ascii="Times New Roman" w:hAnsi="Times New Roman" w:cs="Times New Roman"/>
          <w:sz w:val="24"/>
          <w:szCs w:val="24"/>
        </w:rPr>
        <w:t xml:space="preserve"> primeir</w:t>
      </w:r>
      <w:r>
        <w:rPr>
          <w:rFonts w:ascii="Times New Roman" w:hAnsi="Times New Roman" w:cs="Times New Roman"/>
          <w:sz w:val="24"/>
          <w:szCs w:val="24"/>
        </w:rPr>
        <w:t>o é</w:t>
      </w:r>
      <w:r w:rsidRPr="007342FA">
        <w:rPr>
          <w:rFonts w:ascii="Times New Roman" w:hAnsi="Times New Roman" w:cs="Times New Roman"/>
          <w:sz w:val="24"/>
          <w:szCs w:val="24"/>
        </w:rPr>
        <w:t xml:space="preserve"> compreender e classificar cada método aquisitivo definido para aquisição pelo </w:t>
      </w:r>
      <w:r w:rsidRPr="00F870B6">
        <w:rPr>
          <w:rFonts w:ascii="Times New Roman" w:hAnsi="Times New Roman" w:cs="Times New Roman"/>
          <w:i/>
          <w:iCs/>
          <w:sz w:val="24"/>
          <w:szCs w:val="24"/>
        </w:rPr>
        <w:t xml:space="preserve">Dicionário brasileiro de terminologia arquivística </w:t>
      </w:r>
      <w:r w:rsidRPr="007342FA">
        <w:rPr>
          <w:rFonts w:ascii="Times New Roman" w:hAnsi="Times New Roman" w:cs="Times New Roman"/>
          <w:sz w:val="24"/>
          <w:szCs w:val="24"/>
        </w:rPr>
        <w:t xml:space="preserve">(2005). </w:t>
      </w:r>
      <w:r w:rsidRPr="00110C60">
        <w:rPr>
          <w:rFonts w:ascii="Times New Roman" w:hAnsi="Times New Roman" w:cs="Times New Roman"/>
          <w:sz w:val="24"/>
          <w:szCs w:val="24"/>
        </w:rPr>
        <w:t>A justificativa para a seleção</w:t>
      </w:r>
      <w:r>
        <w:rPr>
          <w:rFonts w:ascii="Times New Roman" w:hAnsi="Times New Roman" w:cs="Times New Roman"/>
          <w:sz w:val="24"/>
          <w:szCs w:val="24"/>
        </w:rPr>
        <w:t xml:space="preserve"> de</w:t>
      </w:r>
      <w:r w:rsidRPr="00110C60">
        <w:rPr>
          <w:rFonts w:ascii="Times New Roman" w:hAnsi="Times New Roman" w:cs="Times New Roman"/>
          <w:sz w:val="24"/>
          <w:szCs w:val="24"/>
        </w:rPr>
        <w:t xml:space="preserve"> apenas dessa obra terminológica ocorreu por ela reunir tod</w:t>
      </w:r>
      <w:r>
        <w:rPr>
          <w:rFonts w:ascii="Times New Roman" w:hAnsi="Times New Roman" w:cs="Times New Roman"/>
          <w:sz w:val="24"/>
          <w:szCs w:val="24"/>
        </w:rPr>
        <w:t>as as variações d</w:t>
      </w:r>
      <w:r w:rsidRPr="00110C60">
        <w:rPr>
          <w:rFonts w:ascii="Times New Roman" w:hAnsi="Times New Roman" w:cs="Times New Roman"/>
          <w:sz w:val="24"/>
          <w:szCs w:val="24"/>
        </w:rPr>
        <w:t>os métodos aquisitivos identificados em dicionários nacionais e internacionais de Arquivologia</w:t>
      </w:r>
      <w:r>
        <w:rPr>
          <w:rStyle w:val="Refdenotaderodap"/>
          <w:rFonts w:ascii="Times New Roman" w:hAnsi="Times New Roman" w:cs="Times New Roman"/>
          <w:sz w:val="24"/>
          <w:szCs w:val="24"/>
        </w:rPr>
        <w:footnoteReference w:id="8"/>
      </w:r>
      <w:r w:rsidRPr="00110C60">
        <w:rPr>
          <w:rFonts w:ascii="Times New Roman" w:hAnsi="Times New Roman" w:cs="Times New Roman"/>
          <w:sz w:val="24"/>
          <w:szCs w:val="24"/>
        </w:rPr>
        <w:t>. Juntamente com essa publicação, foi selecionad</w:t>
      </w:r>
      <w:r>
        <w:rPr>
          <w:rFonts w:ascii="Times New Roman" w:hAnsi="Times New Roman" w:cs="Times New Roman"/>
          <w:sz w:val="24"/>
          <w:szCs w:val="24"/>
        </w:rPr>
        <w:t>a</w:t>
      </w:r>
      <w:r w:rsidRPr="00110C60">
        <w:rPr>
          <w:rFonts w:ascii="Times New Roman" w:hAnsi="Times New Roman" w:cs="Times New Roman"/>
          <w:sz w:val="24"/>
          <w:szCs w:val="24"/>
        </w:rPr>
        <w:t xml:space="preserve"> a </w:t>
      </w:r>
      <w:r w:rsidRPr="00110C60">
        <w:rPr>
          <w:rFonts w:ascii="Times New Roman" w:hAnsi="Times New Roman" w:cs="Times New Roman"/>
          <w:i/>
          <w:iCs/>
          <w:sz w:val="24"/>
          <w:szCs w:val="24"/>
        </w:rPr>
        <w:t>Encyclopedia of Archival Science</w:t>
      </w:r>
      <w:r w:rsidRPr="00110C60">
        <w:rPr>
          <w:rFonts w:ascii="Times New Roman" w:hAnsi="Times New Roman" w:cs="Times New Roman"/>
          <w:sz w:val="24"/>
          <w:szCs w:val="24"/>
        </w:rPr>
        <w:t xml:space="preserve"> (2015) por ser a única obra que ofereceu uma classificação para os métodos aquisitivos. Vale mencionar que cada significado de aquisição será identificado por método aquisitivo.</w:t>
      </w:r>
    </w:p>
    <w:p w14:paraId="42947B26" w14:textId="4024061D" w:rsidR="00B125DC" w:rsidRPr="007342FA" w:rsidRDefault="00B125DC" w:rsidP="00B125D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7342FA">
        <w:rPr>
          <w:rFonts w:ascii="Times New Roman" w:hAnsi="Times New Roman" w:cs="Times New Roman"/>
          <w:sz w:val="24"/>
          <w:szCs w:val="24"/>
        </w:rPr>
        <w:t xml:space="preserve"> segund</w:t>
      </w:r>
      <w:r>
        <w:rPr>
          <w:rFonts w:ascii="Times New Roman" w:hAnsi="Times New Roman" w:cs="Times New Roman"/>
          <w:sz w:val="24"/>
          <w:szCs w:val="24"/>
        </w:rPr>
        <w:t xml:space="preserve">o objetivo </w:t>
      </w:r>
      <w:r w:rsidRPr="007342FA">
        <w:rPr>
          <w:rFonts w:ascii="Times New Roman" w:hAnsi="Times New Roman" w:cs="Times New Roman"/>
          <w:sz w:val="24"/>
          <w:szCs w:val="24"/>
        </w:rPr>
        <w:t xml:space="preserve">tem como proposta identificar como a aquisição foi compreendida pela literatura arquivística </w:t>
      </w:r>
      <w:r>
        <w:rPr>
          <w:rFonts w:ascii="Times New Roman" w:hAnsi="Times New Roman" w:cs="Times New Roman"/>
          <w:sz w:val="24"/>
          <w:szCs w:val="24"/>
        </w:rPr>
        <w:t>durante</w:t>
      </w:r>
      <w:r w:rsidRPr="007342FA">
        <w:rPr>
          <w:rFonts w:ascii="Times New Roman" w:hAnsi="Times New Roman" w:cs="Times New Roman"/>
          <w:sz w:val="24"/>
          <w:szCs w:val="24"/>
        </w:rPr>
        <w:t xml:space="preserve"> </w:t>
      </w:r>
      <w:r>
        <w:rPr>
          <w:rFonts w:ascii="Times New Roman" w:hAnsi="Times New Roman" w:cs="Times New Roman"/>
          <w:sz w:val="24"/>
          <w:szCs w:val="24"/>
        </w:rPr>
        <w:t xml:space="preserve">os períodos clássico, moderno e contemporâneo </w:t>
      </w:r>
      <w:r w:rsidRPr="007342FA">
        <w:rPr>
          <w:rFonts w:ascii="Times New Roman" w:hAnsi="Times New Roman" w:cs="Times New Roman"/>
          <w:sz w:val="24"/>
          <w:szCs w:val="24"/>
        </w:rPr>
        <w:t xml:space="preserve">e relacionar </w:t>
      </w:r>
      <w:r w:rsidRPr="007342FA">
        <w:rPr>
          <w:rFonts w:ascii="Times New Roman" w:hAnsi="Times New Roman" w:cs="Times New Roman"/>
          <w:sz w:val="24"/>
          <w:szCs w:val="24"/>
        </w:rPr>
        <w:lastRenderedPageBreak/>
        <w:t>com os resultados alcançados n</w:t>
      </w:r>
      <w:r>
        <w:rPr>
          <w:rFonts w:ascii="Times New Roman" w:hAnsi="Times New Roman" w:cs="Times New Roman"/>
          <w:sz w:val="24"/>
          <w:szCs w:val="24"/>
        </w:rPr>
        <w:t>o</w:t>
      </w:r>
      <w:r w:rsidRPr="007342FA">
        <w:rPr>
          <w:rFonts w:ascii="Times New Roman" w:hAnsi="Times New Roman" w:cs="Times New Roman"/>
          <w:sz w:val="24"/>
          <w:szCs w:val="24"/>
        </w:rPr>
        <w:t xml:space="preserve"> primeir</w:t>
      </w:r>
      <w:r>
        <w:rPr>
          <w:rFonts w:ascii="Times New Roman" w:hAnsi="Times New Roman" w:cs="Times New Roman"/>
          <w:sz w:val="24"/>
          <w:szCs w:val="24"/>
        </w:rPr>
        <w:t>o</w:t>
      </w:r>
      <w:r w:rsidRPr="007342FA">
        <w:rPr>
          <w:rFonts w:ascii="Times New Roman" w:hAnsi="Times New Roman" w:cs="Times New Roman"/>
          <w:sz w:val="24"/>
          <w:szCs w:val="24"/>
        </w:rPr>
        <w:t xml:space="preserve"> </w:t>
      </w:r>
      <w:r>
        <w:rPr>
          <w:rFonts w:ascii="Times New Roman" w:hAnsi="Times New Roman" w:cs="Times New Roman"/>
          <w:sz w:val="24"/>
          <w:szCs w:val="24"/>
        </w:rPr>
        <w:t>objetivo</w:t>
      </w:r>
      <w:r w:rsidRPr="007342FA">
        <w:rPr>
          <w:rFonts w:ascii="Times New Roman" w:hAnsi="Times New Roman" w:cs="Times New Roman"/>
          <w:sz w:val="24"/>
          <w:szCs w:val="24"/>
        </w:rPr>
        <w:t xml:space="preserve">. </w:t>
      </w:r>
      <w:r>
        <w:rPr>
          <w:rFonts w:ascii="Times New Roman" w:hAnsi="Times New Roman" w:cs="Times New Roman"/>
          <w:sz w:val="24"/>
          <w:szCs w:val="24"/>
        </w:rPr>
        <w:t xml:space="preserve">As obras selecionadas para atingirem esses objetivos foram nove manuais arquivísticos, representantes de cada período arquivístico, a saber: </w:t>
      </w:r>
      <w:r w:rsidRPr="00BA76B9">
        <w:rPr>
          <w:rFonts w:ascii="Times New Roman" w:hAnsi="Times New Roman" w:cs="Times New Roman"/>
          <w:i/>
          <w:iCs/>
          <w:sz w:val="24"/>
          <w:szCs w:val="24"/>
        </w:rPr>
        <w:t>Manual de classificação e archivamento de papéis e documentos commerciaes e civis</w:t>
      </w:r>
      <w:r w:rsidRPr="00BA76B9">
        <w:rPr>
          <w:rFonts w:ascii="Times New Roman" w:hAnsi="Times New Roman" w:cs="Times New Roman"/>
          <w:sz w:val="24"/>
          <w:szCs w:val="24"/>
        </w:rPr>
        <w:t xml:space="preserve"> (C</w:t>
      </w:r>
      <w:r w:rsidR="00F7213F" w:rsidRPr="00BA76B9">
        <w:rPr>
          <w:rFonts w:ascii="Times New Roman" w:hAnsi="Times New Roman" w:cs="Times New Roman"/>
          <w:sz w:val="24"/>
          <w:szCs w:val="24"/>
        </w:rPr>
        <w:t>arvalho</w:t>
      </w:r>
      <w:r w:rsidRPr="00BA76B9">
        <w:rPr>
          <w:rFonts w:ascii="Times New Roman" w:hAnsi="Times New Roman" w:cs="Times New Roman"/>
          <w:sz w:val="24"/>
          <w:szCs w:val="24"/>
        </w:rPr>
        <w:t xml:space="preserve">, 1931); </w:t>
      </w:r>
      <w:r w:rsidRPr="00B125DC">
        <w:rPr>
          <w:rFonts w:ascii="Times New Roman" w:hAnsi="Times New Roman" w:cs="Times New Roman"/>
          <w:i/>
          <w:iCs/>
          <w:sz w:val="24"/>
          <w:szCs w:val="24"/>
        </w:rPr>
        <w:t>A Manual of Archive Administration</w:t>
      </w:r>
      <w:r w:rsidRPr="00B125DC">
        <w:rPr>
          <w:rFonts w:ascii="Times New Roman" w:hAnsi="Times New Roman" w:cs="Times New Roman"/>
          <w:sz w:val="24"/>
          <w:szCs w:val="24"/>
        </w:rPr>
        <w:t xml:space="preserve"> (</w:t>
      </w:r>
      <w:r w:rsidRPr="00BA76B9">
        <w:rPr>
          <w:rFonts w:ascii="Times New Roman" w:hAnsi="Times New Roman" w:cs="Times New Roman"/>
          <w:sz w:val="24"/>
          <w:szCs w:val="24"/>
        </w:rPr>
        <w:t>J</w:t>
      </w:r>
      <w:r w:rsidR="00F7213F" w:rsidRPr="00BA76B9">
        <w:rPr>
          <w:rFonts w:ascii="Times New Roman" w:hAnsi="Times New Roman" w:cs="Times New Roman"/>
          <w:sz w:val="24"/>
          <w:szCs w:val="24"/>
        </w:rPr>
        <w:t>enkinson</w:t>
      </w:r>
      <w:r w:rsidRPr="00BA76B9">
        <w:rPr>
          <w:rFonts w:ascii="Times New Roman" w:hAnsi="Times New Roman" w:cs="Times New Roman"/>
          <w:sz w:val="24"/>
          <w:szCs w:val="24"/>
        </w:rPr>
        <w:t>,</w:t>
      </w:r>
      <w:r w:rsidRPr="00B125DC">
        <w:rPr>
          <w:rFonts w:ascii="Times New Roman" w:hAnsi="Times New Roman" w:cs="Times New Roman"/>
          <w:sz w:val="24"/>
          <w:szCs w:val="24"/>
        </w:rPr>
        <w:t xml:space="preserve"> 1937); </w:t>
      </w:r>
      <w:r w:rsidRPr="00BA76B9">
        <w:rPr>
          <w:rFonts w:ascii="Times New Roman" w:hAnsi="Times New Roman" w:cs="Times New Roman"/>
          <w:i/>
          <w:iCs/>
          <w:sz w:val="24"/>
          <w:szCs w:val="24"/>
        </w:rPr>
        <w:t>Arquivar e achar</w:t>
      </w:r>
      <w:r w:rsidRPr="00BA76B9">
        <w:rPr>
          <w:rFonts w:ascii="Times New Roman" w:hAnsi="Times New Roman" w:cs="Times New Roman"/>
          <w:sz w:val="24"/>
          <w:szCs w:val="24"/>
        </w:rPr>
        <w:t xml:space="preserve"> (W</w:t>
      </w:r>
      <w:r w:rsidR="00F7213F" w:rsidRPr="00BA76B9">
        <w:rPr>
          <w:rFonts w:ascii="Times New Roman" w:hAnsi="Times New Roman" w:cs="Times New Roman"/>
          <w:sz w:val="24"/>
          <w:szCs w:val="24"/>
        </w:rPr>
        <w:t>hite</w:t>
      </w:r>
      <w:r w:rsidRPr="00BA76B9">
        <w:rPr>
          <w:rFonts w:ascii="Times New Roman" w:hAnsi="Times New Roman" w:cs="Times New Roman"/>
          <w:sz w:val="24"/>
          <w:szCs w:val="24"/>
        </w:rPr>
        <w:t xml:space="preserve">, 1941) e; </w:t>
      </w:r>
      <w:r w:rsidRPr="00BA76B9">
        <w:rPr>
          <w:rFonts w:ascii="Times New Roman" w:hAnsi="Times New Roman" w:cs="Times New Roman"/>
          <w:i/>
          <w:iCs/>
          <w:sz w:val="24"/>
          <w:szCs w:val="24"/>
        </w:rPr>
        <w:t>Vade-Mecum do arquivista</w:t>
      </w:r>
      <w:r w:rsidRPr="00BA76B9">
        <w:rPr>
          <w:rFonts w:ascii="Times New Roman" w:hAnsi="Times New Roman" w:cs="Times New Roman"/>
          <w:sz w:val="24"/>
          <w:szCs w:val="24"/>
        </w:rPr>
        <w:t xml:space="preserve"> (TORRES, 1944), </w:t>
      </w:r>
      <w:r w:rsidRPr="00BA76B9">
        <w:rPr>
          <w:rFonts w:ascii="Times New Roman" w:hAnsi="Times New Roman" w:cs="Times New Roman"/>
          <w:i/>
          <w:iCs/>
          <w:sz w:val="24"/>
          <w:szCs w:val="24"/>
        </w:rPr>
        <w:t>Manual de arranjo e descrição de arquivos</w:t>
      </w:r>
      <w:r w:rsidRPr="00B125DC">
        <w:rPr>
          <w:rFonts w:ascii="Times New Roman" w:hAnsi="Times New Roman" w:cs="Times New Roman"/>
          <w:sz w:val="24"/>
          <w:szCs w:val="24"/>
        </w:rPr>
        <w:t xml:space="preserve"> (1973), </w:t>
      </w:r>
      <w:r w:rsidRPr="00B125DC">
        <w:rPr>
          <w:rFonts w:ascii="Times New Roman" w:hAnsi="Times New Roman" w:cs="Times New Roman"/>
          <w:i/>
          <w:iCs/>
          <w:sz w:val="24"/>
          <w:szCs w:val="24"/>
        </w:rPr>
        <w:t>A Modern Archives Reader: basic reading in archival theory and practice</w:t>
      </w:r>
      <w:r w:rsidRPr="00B125DC">
        <w:rPr>
          <w:rFonts w:ascii="Times New Roman" w:hAnsi="Times New Roman" w:cs="Times New Roman"/>
          <w:sz w:val="24"/>
          <w:szCs w:val="24"/>
        </w:rPr>
        <w:t xml:space="preserve"> (1984), </w:t>
      </w:r>
      <w:r w:rsidRPr="00B125DC">
        <w:rPr>
          <w:rFonts w:ascii="Times New Roman" w:hAnsi="Times New Roman" w:cs="Times New Roman"/>
          <w:i/>
          <w:iCs/>
          <w:sz w:val="24"/>
          <w:szCs w:val="24"/>
        </w:rPr>
        <w:t>Selecting and Appraising Archives and Manuscripts</w:t>
      </w:r>
      <w:r w:rsidRPr="00B125DC">
        <w:rPr>
          <w:rFonts w:ascii="Times New Roman" w:hAnsi="Times New Roman" w:cs="Times New Roman"/>
          <w:sz w:val="24"/>
          <w:szCs w:val="24"/>
        </w:rPr>
        <w:t xml:space="preserve"> (</w:t>
      </w:r>
      <w:r w:rsidRPr="00110C60">
        <w:rPr>
          <w:rFonts w:ascii="Times New Roman" w:hAnsi="Times New Roman" w:cs="Times New Roman"/>
          <w:sz w:val="24"/>
          <w:szCs w:val="24"/>
        </w:rPr>
        <w:t xml:space="preserve">HAM, </w:t>
      </w:r>
      <w:r w:rsidRPr="00B125DC">
        <w:rPr>
          <w:rFonts w:ascii="Times New Roman" w:hAnsi="Times New Roman" w:cs="Times New Roman"/>
          <w:sz w:val="24"/>
          <w:szCs w:val="24"/>
        </w:rPr>
        <w:t>1993), Arquivos modernos: princípios e técnicas (S</w:t>
      </w:r>
      <w:r w:rsidR="00F7213F" w:rsidRPr="00B125DC">
        <w:rPr>
          <w:rFonts w:ascii="Times New Roman" w:hAnsi="Times New Roman" w:cs="Times New Roman"/>
          <w:sz w:val="24"/>
          <w:szCs w:val="24"/>
        </w:rPr>
        <w:t>chellenberg</w:t>
      </w:r>
      <w:r w:rsidRPr="00B125DC">
        <w:rPr>
          <w:rFonts w:ascii="Times New Roman" w:hAnsi="Times New Roman" w:cs="Times New Roman"/>
          <w:sz w:val="24"/>
          <w:szCs w:val="24"/>
        </w:rPr>
        <w:t>, 2006),</w:t>
      </w:r>
      <w:r w:rsidRPr="00BA76B9">
        <w:rPr>
          <w:rFonts w:ascii="Times New Roman" w:hAnsi="Times New Roman" w:cs="Times New Roman"/>
          <w:sz w:val="24"/>
          <w:szCs w:val="24"/>
        </w:rPr>
        <w:t xml:space="preserve"> </w:t>
      </w:r>
      <w:r w:rsidRPr="00B125DC">
        <w:rPr>
          <w:rFonts w:ascii="Times New Roman" w:hAnsi="Times New Roman" w:cs="Times New Roman"/>
          <w:i/>
          <w:iCs/>
          <w:sz w:val="24"/>
          <w:szCs w:val="24"/>
        </w:rPr>
        <w:t>Keeping Archives</w:t>
      </w:r>
      <w:r w:rsidRPr="00B125DC">
        <w:rPr>
          <w:rFonts w:ascii="Times New Roman" w:hAnsi="Times New Roman" w:cs="Times New Roman"/>
          <w:sz w:val="24"/>
          <w:szCs w:val="24"/>
        </w:rPr>
        <w:t xml:space="preserve"> (2008).</w:t>
      </w:r>
    </w:p>
    <w:bookmarkEnd w:id="10"/>
    <w:p w14:paraId="554544E8" w14:textId="77777777" w:rsidR="00B125DC" w:rsidRDefault="00B125DC" w:rsidP="00B125DC">
      <w:pPr>
        <w:spacing w:after="0" w:line="360" w:lineRule="auto"/>
        <w:jc w:val="both"/>
        <w:rPr>
          <w:rFonts w:ascii="Times New Roman" w:eastAsia="Times New Roman" w:hAnsi="Times New Roman" w:cs="Times New Roman"/>
          <w:sz w:val="24"/>
          <w:szCs w:val="24"/>
        </w:rPr>
      </w:pPr>
    </w:p>
    <w:p w14:paraId="5D716BE5"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DESENVOLVIMENTO</w:t>
      </w:r>
    </w:p>
    <w:p w14:paraId="63451472" w14:textId="77777777" w:rsidR="00B125DC" w:rsidRDefault="00B125DC" w:rsidP="00B125DC">
      <w:pPr>
        <w:spacing w:after="0" w:line="360" w:lineRule="auto"/>
        <w:jc w:val="both"/>
        <w:rPr>
          <w:rFonts w:ascii="Times New Roman" w:eastAsia="Times New Roman" w:hAnsi="Times New Roman" w:cs="Times New Roman"/>
          <w:sz w:val="24"/>
          <w:szCs w:val="24"/>
        </w:rPr>
      </w:pPr>
    </w:p>
    <w:p w14:paraId="6C2E3499" w14:textId="6BB0FDBA" w:rsidR="00B125DC" w:rsidRPr="00110C60" w:rsidRDefault="00B125DC" w:rsidP="00B125DC">
      <w:pPr>
        <w:spacing w:after="0" w:line="360" w:lineRule="auto"/>
        <w:ind w:firstLine="720"/>
        <w:jc w:val="both"/>
        <w:rPr>
          <w:rFonts w:ascii="Times New Roman" w:hAnsi="Times New Roman" w:cs="Times New Roman"/>
          <w:sz w:val="24"/>
          <w:szCs w:val="24"/>
        </w:rPr>
      </w:pPr>
      <w:bookmarkStart w:id="11" w:name="_Hlk130116822"/>
      <w:r w:rsidRPr="00110C60">
        <w:rPr>
          <w:rFonts w:ascii="Times New Roman" w:hAnsi="Times New Roman" w:cs="Times New Roman"/>
          <w:sz w:val="24"/>
          <w:szCs w:val="24"/>
        </w:rPr>
        <w:t xml:space="preserve">O </w:t>
      </w:r>
      <w:r w:rsidRPr="00110C60">
        <w:rPr>
          <w:rFonts w:ascii="Times New Roman" w:hAnsi="Times New Roman" w:cs="Times New Roman"/>
          <w:i/>
          <w:iCs/>
          <w:sz w:val="24"/>
          <w:szCs w:val="24"/>
        </w:rPr>
        <w:t>Dicionário brasileiro de terminologia arquivística</w:t>
      </w:r>
      <w:r w:rsidRPr="00110C60">
        <w:rPr>
          <w:rFonts w:ascii="Times New Roman" w:hAnsi="Times New Roman" w:cs="Times New Roman"/>
          <w:sz w:val="24"/>
          <w:szCs w:val="24"/>
        </w:rPr>
        <w:t xml:space="preserve"> (2005) definiu aquisição por meio de doze métodos aquisitivos, a saber: comodato, compra, custódia, dação, depósito, doação, empréstimo, legado, permuta, recolhimento, reintegração e transferência. </w:t>
      </w:r>
      <w:r>
        <w:rPr>
          <w:rFonts w:ascii="Times New Roman" w:hAnsi="Times New Roman" w:cs="Times New Roman"/>
          <w:sz w:val="24"/>
          <w:szCs w:val="24"/>
        </w:rPr>
        <w:t>Por sua vez,</w:t>
      </w:r>
      <w:r w:rsidRPr="00110C60">
        <w:rPr>
          <w:rFonts w:ascii="Times New Roman" w:hAnsi="Times New Roman" w:cs="Times New Roman"/>
          <w:sz w:val="24"/>
          <w:szCs w:val="24"/>
        </w:rPr>
        <w:t xml:space="preserve"> a </w:t>
      </w:r>
      <w:r w:rsidRPr="00110C60">
        <w:rPr>
          <w:rFonts w:ascii="Times New Roman" w:hAnsi="Times New Roman" w:cs="Times New Roman"/>
          <w:i/>
          <w:iCs/>
          <w:sz w:val="24"/>
          <w:szCs w:val="24"/>
        </w:rPr>
        <w:t>Encyclopedia of Archival Science</w:t>
      </w:r>
      <w:r w:rsidRPr="00110C60">
        <w:rPr>
          <w:rFonts w:ascii="Times New Roman" w:hAnsi="Times New Roman" w:cs="Times New Roman"/>
          <w:sz w:val="24"/>
          <w:szCs w:val="24"/>
        </w:rPr>
        <w:t xml:space="preserve"> (2015) indicou que a aquisição “geralmente envolve a transferência formal de propriedade do material de arquivo através da doação ou compra [...] ou a transferência oficial de documentos de um produtor que faz parte da mesma organização” (F</w:t>
      </w:r>
      <w:r w:rsidR="00F7213F" w:rsidRPr="00110C60">
        <w:rPr>
          <w:rFonts w:ascii="Times New Roman" w:hAnsi="Times New Roman" w:cs="Times New Roman"/>
          <w:sz w:val="24"/>
          <w:szCs w:val="24"/>
        </w:rPr>
        <w:t>isher</w:t>
      </w:r>
      <w:r w:rsidRPr="00110C60">
        <w:rPr>
          <w:rFonts w:ascii="Times New Roman" w:hAnsi="Times New Roman" w:cs="Times New Roman"/>
          <w:sz w:val="24"/>
          <w:szCs w:val="24"/>
        </w:rPr>
        <w:t xml:space="preserve">, 2015, p.5). </w:t>
      </w:r>
      <w:bookmarkEnd w:id="11"/>
    </w:p>
    <w:p w14:paraId="43A4D3F5" w14:textId="77777777" w:rsidR="00B125DC" w:rsidRPr="00110C60" w:rsidRDefault="00B125DC" w:rsidP="00B125DC">
      <w:pPr>
        <w:spacing w:after="0" w:line="360" w:lineRule="auto"/>
        <w:ind w:firstLine="720"/>
        <w:jc w:val="both"/>
        <w:rPr>
          <w:rFonts w:ascii="Times New Roman" w:hAnsi="Times New Roman" w:cs="Times New Roman"/>
          <w:sz w:val="24"/>
          <w:szCs w:val="24"/>
        </w:rPr>
      </w:pPr>
      <w:bookmarkStart w:id="12" w:name="_Hlk130116837"/>
      <w:r w:rsidRPr="00110C60">
        <w:rPr>
          <w:rFonts w:ascii="Times New Roman" w:hAnsi="Times New Roman" w:cs="Times New Roman"/>
          <w:sz w:val="24"/>
          <w:szCs w:val="24"/>
        </w:rPr>
        <w:t xml:space="preserve">A partir da compreensão de Fisher (2015) sobre aquisição é possível entender que a transferência formal de propriedade reflete a relação jurídica formal que se estabelece entre o proprietário de um arquivo ou documento de arquivo e os não proprietários. Dito de outra maneira, para que ocorra os métodos aquisitivos compra, dação, doação, legado e permuta é necessário que seja regido um contrato jurídico para formalizar a transação e concretizar a transferência formal de propriedade. Nesse sentido, tanto o titular do arquivo ou do documento de arquivo são alterados, como também a jurisdição arquivística dos mesmos. Entende-se por jurisdição arquivística a área de atuação na qual o órgão público ou instituição privada está vinculada. </w:t>
      </w:r>
      <w:bookmarkEnd w:id="12"/>
    </w:p>
    <w:p w14:paraId="256439F1" w14:textId="5467B90A" w:rsidR="00B125DC" w:rsidRDefault="00B125DC" w:rsidP="00B125DC">
      <w:pPr>
        <w:spacing w:after="0" w:line="360" w:lineRule="auto"/>
        <w:ind w:firstLine="720"/>
        <w:jc w:val="both"/>
        <w:rPr>
          <w:rFonts w:ascii="Times New Roman" w:hAnsi="Times New Roman" w:cs="Times New Roman"/>
          <w:sz w:val="24"/>
          <w:szCs w:val="24"/>
        </w:rPr>
      </w:pPr>
      <w:bookmarkStart w:id="13" w:name="_Hlk130116858"/>
      <w:r w:rsidRPr="00110C60">
        <w:rPr>
          <w:rFonts w:ascii="Times New Roman" w:hAnsi="Times New Roman" w:cs="Times New Roman"/>
          <w:sz w:val="24"/>
          <w:szCs w:val="24"/>
        </w:rPr>
        <w:t xml:space="preserve">É possível confirmar se os métodos aquisitivos compra, dação, doação, legado e permuta podem ser classificados por transferência formal de propriedade, como indicado por Fisher (2015), a partir </w:t>
      </w:r>
      <w:r>
        <w:rPr>
          <w:rFonts w:ascii="Times New Roman" w:hAnsi="Times New Roman" w:cs="Times New Roman"/>
          <w:sz w:val="24"/>
          <w:szCs w:val="24"/>
        </w:rPr>
        <w:t>das</w:t>
      </w:r>
      <w:r w:rsidRPr="00110C60">
        <w:rPr>
          <w:rFonts w:ascii="Times New Roman" w:hAnsi="Times New Roman" w:cs="Times New Roman"/>
          <w:sz w:val="24"/>
          <w:szCs w:val="24"/>
        </w:rPr>
        <w:t xml:space="preserve"> definições</w:t>
      </w:r>
      <w:r>
        <w:rPr>
          <w:rFonts w:ascii="Times New Roman" w:hAnsi="Times New Roman" w:cs="Times New Roman"/>
          <w:sz w:val="24"/>
          <w:szCs w:val="24"/>
        </w:rPr>
        <w:t xml:space="preserve"> encontradas</w:t>
      </w:r>
      <w:r w:rsidRPr="00110C60">
        <w:rPr>
          <w:rFonts w:ascii="Times New Roman" w:hAnsi="Times New Roman" w:cs="Times New Roman"/>
          <w:sz w:val="24"/>
          <w:szCs w:val="24"/>
        </w:rPr>
        <w:t xml:space="preserve"> nos dicionários de terminologia arquivística, como apresentado no </w:t>
      </w:r>
      <w:r w:rsidR="00F7213F">
        <w:rPr>
          <w:rFonts w:ascii="Times New Roman" w:hAnsi="Times New Roman" w:cs="Times New Roman"/>
          <w:sz w:val="24"/>
          <w:szCs w:val="24"/>
        </w:rPr>
        <w:t>Q</w:t>
      </w:r>
      <w:r w:rsidRPr="00110C60">
        <w:rPr>
          <w:rFonts w:ascii="Times New Roman" w:hAnsi="Times New Roman" w:cs="Times New Roman"/>
          <w:sz w:val="24"/>
          <w:szCs w:val="24"/>
        </w:rPr>
        <w:t xml:space="preserve">uadro </w:t>
      </w:r>
      <w:r w:rsidR="00D121C1">
        <w:rPr>
          <w:rFonts w:ascii="Times New Roman" w:hAnsi="Times New Roman" w:cs="Times New Roman"/>
          <w:sz w:val="24"/>
          <w:szCs w:val="24"/>
        </w:rPr>
        <w:t>1</w:t>
      </w:r>
      <w:r w:rsidRPr="00110C60">
        <w:rPr>
          <w:rFonts w:ascii="Times New Roman" w:hAnsi="Times New Roman" w:cs="Times New Roman"/>
          <w:sz w:val="24"/>
          <w:szCs w:val="24"/>
        </w:rPr>
        <w:t xml:space="preserve">: </w:t>
      </w:r>
    </w:p>
    <w:p w14:paraId="03A6DF3C" w14:textId="77777777" w:rsidR="00F7213F" w:rsidRDefault="00F7213F" w:rsidP="00B125DC">
      <w:pPr>
        <w:spacing w:after="0" w:line="360" w:lineRule="auto"/>
        <w:ind w:firstLine="720"/>
        <w:jc w:val="both"/>
        <w:rPr>
          <w:rFonts w:ascii="Times New Roman" w:hAnsi="Times New Roman" w:cs="Times New Roman"/>
          <w:sz w:val="24"/>
          <w:szCs w:val="24"/>
        </w:rPr>
      </w:pPr>
    </w:p>
    <w:p w14:paraId="0450DE4B" w14:textId="77777777" w:rsidR="002951F4" w:rsidRDefault="002951F4" w:rsidP="00B125DC">
      <w:pPr>
        <w:spacing w:after="0" w:line="360" w:lineRule="auto"/>
        <w:ind w:firstLine="720"/>
        <w:jc w:val="both"/>
        <w:rPr>
          <w:rFonts w:ascii="Times New Roman" w:hAnsi="Times New Roman" w:cs="Times New Roman"/>
          <w:sz w:val="24"/>
          <w:szCs w:val="24"/>
        </w:rPr>
      </w:pPr>
    </w:p>
    <w:p w14:paraId="06D0B6CD" w14:textId="77777777" w:rsidR="002951F4" w:rsidRPr="00110C60" w:rsidRDefault="002951F4" w:rsidP="00B125DC">
      <w:pPr>
        <w:spacing w:after="0" w:line="360" w:lineRule="auto"/>
        <w:ind w:firstLine="720"/>
        <w:jc w:val="both"/>
        <w:rPr>
          <w:rFonts w:ascii="Times New Roman" w:hAnsi="Times New Roman" w:cs="Times New Roman"/>
          <w:sz w:val="24"/>
          <w:szCs w:val="24"/>
        </w:rPr>
      </w:pPr>
    </w:p>
    <w:p w14:paraId="110FA786" w14:textId="73D2241F" w:rsidR="00B125DC" w:rsidRDefault="00B125DC" w:rsidP="00B125DC">
      <w:pPr>
        <w:spacing w:after="0" w:line="360" w:lineRule="auto"/>
        <w:jc w:val="center"/>
        <w:rPr>
          <w:rFonts w:ascii="Times New Roman" w:hAnsi="Times New Roman" w:cs="Times New Roman"/>
          <w:sz w:val="24"/>
          <w:szCs w:val="24"/>
        </w:rPr>
      </w:pPr>
      <w:bookmarkStart w:id="14" w:name="_Hlk147400653"/>
      <w:bookmarkEnd w:id="13"/>
      <w:r w:rsidRPr="00F7213F">
        <w:rPr>
          <w:rFonts w:ascii="Times New Roman" w:hAnsi="Times New Roman" w:cs="Times New Roman"/>
          <w:b/>
          <w:bCs/>
          <w:sz w:val="24"/>
          <w:szCs w:val="24"/>
        </w:rPr>
        <w:lastRenderedPageBreak/>
        <w:t xml:space="preserve">Quadro </w:t>
      </w:r>
      <w:r w:rsidR="00D121C1">
        <w:rPr>
          <w:rFonts w:ascii="Times New Roman" w:hAnsi="Times New Roman" w:cs="Times New Roman"/>
          <w:b/>
          <w:bCs/>
          <w:sz w:val="24"/>
          <w:szCs w:val="24"/>
        </w:rPr>
        <w:t>1</w:t>
      </w:r>
      <w:r>
        <w:rPr>
          <w:rFonts w:ascii="Times New Roman" w:hAnsi="Times New Roman" w:cs="Times New Roman"/>
          <w:sz w:val="24"/>
          <w:szCs w:val="24"/>
        </w:rPr>
        <w:t>:</w:t>
      </w:r>
      <w:r w:rsidR="00F7213F">
        <w:rPr>
          <w:rFonts w:ascii="Times New Roman" w:hAnsi="Times New Roman" w:cs="Times New Roman"/>
          <w:sz w:val="24"/>
          <w:szCs w:val="24"/>
        </w:rPr>
        <w:t xml:space="preserve"> </w:t>
      </w:r>
      <w:r>
        <w:rPr>
          <w:rFonts w:ascii="Times New Roman" w:hAnsi="Times New Roman" w:cs="Times New Roman"/>
          <w:sz w:val="24"/>
          <w:szCs w:val="24"/>
        </w:rPr>
        <w:t xml:space="preserve">Definição dos métodos aquisitivos </w:t>
      </w:r>
      <w:r w:rsidRPr="00110C60">
        <w:rPr>
          <w:rFonts w:ascii="Times New Roman" w:hAnsi="Times New Roman" w:cs="Times New Roman"/>
          <w:sz w:val="24"/>
          <w:szCs w:val="24"/>
        </w:rPr>
        <w:t>compra, dação, doação, legado e permuta</w:t>
      </w:r>
    </w:p>
    <w:p w14:paraId="7BAABC43" w14:textId="77777777" w:rsidR="00F7213F" w:rsidRPr="00110C60" w:rsidRDefault="00F7213F" w:rsidP="00B125DC">
      <w:pPr>
        <w:spacing w:after="0" w:line="360" w:lineRule="auto"/>
        <w:jc w:val="center"/>
        <w:rPr>
          <w:rFonts w:ascii="Times New Roman" w:hAnsi="Times New Roman" w:cs="Times New Roman"/>
          <w:sz w:val="24"/>
          <w:szCs w:val="24"/>
        </w:rPr>
      </w:pPr>
    </w:p>
    <w:tbl>
      <w:tblPr>
        <w:tblStyle w:val="TabeladeLista2"/>
        <w:tblW w:w="0" w:type="auto"/>
        <w:jc w:val="center"/>
        <w:shd w:val="clear" w:color="auto" w:fill="FFFFFF" w:themeFill="background1"/>
        <w:tblLook w:val="04A0" w:firstRow="1" w:lastRow="0" w:firstColumn="1" w:lastColumn="0" w:noHBand="0" w:noVBand="1"/>
      </w:tblPr>
      <w:tblGrid>
        <w:gridCol w:w="2045"/>
        <w:gridCol w:w="6089"/>
      </w:tblGrid>
      <w:tr w:rsidR="00B125DC" w:rsidRPr="00966CDD" w14:paraId="5A355C5F" w14:textId="77777777" w:rsidTr="00F721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209A7269" w14:textId="77777777" w:rsidR="00B125DC" w:rsidRPr="00966CDD" w:rsidRDefault="00B125DC" w:rsidP="001615CA">
            <w:pPr>
              <w:jc w:val="both"/>
              <w:rPr>
                <w:rFonts w:ascii="Times New Roman" w:hAnsi="Times New Roman" w:cs="Times New Roman"/>
                <w:b w:val="0"/>
                <w:bCs w:val="0"/>
              </w:rPr>
            </w:pPr>
            <w:bookmarkStart w:id="15" w:name="_Hlk130116869"/>
            <w:r w:rsidRPr="00966CDD">
              <w:rPr>
                <w:rFonts w:ascii="Times New Roman" w:hAnsi="Times New Roman" w:cs="Times New Roman"/>
                <w:b w:val="0"/>
                <w:bCs w:val="0"/>
              </w:rPr>
              <w:t xml:space="preserve">Método Aquisitivo </w:t>
            </w:r>
          </w:p>
        </w:tc>
        <w:tc>
          <w:tcPr>
            <w:tcW w:w="6089" w:type="dxa"/>
            <w:shd w:val="clear" w:color="auto" w:fill="FFFFFF" w:themeFill="background1"/>
          </w:tcPr>
          <w:p w14:paraId="6023D87F" w14:textId="77777777" w:rsidR="00B125DC" w:rsidRPr="00966CDD" w:rsidRDefault="00B125DC" w:rsidP="001615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66CDD">
              <w:rPr>
                <w:rFonts w:ascii="Times New Roman" w:hAnsi="Times New Roman" w:cs="Times New Roman"/>
                <w:b w:val="0"/>
                <w:bCs w:val="0"/>
              </w:rPr>
              <w:t>Definições nos dicionários de terminologia arquivística</w:t>
            </w:r>
          </w:p>
        </w:tc>
      </w:tr>
      <w:tr w:rsidR="00B125DC" w:rsidRPr="00966CDD" w14:paraId="121B53F9"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4C25995A"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Compra</w:t>
            </w:r>
          </w:p>
        </w:tc>
        <w:tc>
          <w:tcPr>
            <w:tcW w:w="6089" w:type="dxa"/>
            <w:shd w:val="clear" w:color="auto" w:fill="FFFFFF" w:themeFill="background1"/>
          </w:tcPr>
          <w:p w14:paraId="597900AA"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Sem definição nos dicionários de terminologia arquivística.</w:t>
            </w:r>
          </w:p>
        </w:tc>
      </w:tr>
      <w:tr w:rsidR="00B125DC" w:rsidRPr="00966CDD" w14:paraId="2D9DF69B" w14:textId="77777777" w:rsidTr="00F7213F">
        <w:trPr>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3D71459C"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Dação</w:t>
            </w:r>
          </w:p>
        </w:tc>
        <w:tc>
          <w:tcPr>
            <w:tcW w:w="6089" w:type="dxa"/>
            <w:shd w:val="clear" w:color="auto" w:fill="FFFFFF" w:themeFill="background1"/>
          </w:tcPr>
          <w:p w14:paraId="3D883675" w14:textId="6AA1E370" w:rsidR="00B125DC" w:rsidRPr="00966CDD"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“entrega de documentos e/ou arquivos em pagamento de uma dívida” (</w:t>
            </w:r>
            <w:r w:rsidR="00F7213F" w:rsidRPr="00DC4602">
              <w:rPr>
                <w:rFonts w:ascii="Times New Roman" w:hAnsi="Times New Roman" w:cs="Times New Roman"/>
              </w:rPr>
              <w:t>Arquivo Nacional</w:t>
            </w:r>
            <w:r w:rsidRPr="00966CDD">
              <w:rPr>
                <w:rFonts w:ascii="Times New Roman" w:hAnsi="Times New Roman" w:cs="Times New Roman"/>
              </w:rPr>
              <w:t>, 2005, p. 62)</w:t>
            </w:r>
          </w:p>
        </w:tc>
      </w:tr>
      <w:tr w:rsidR="00B125DC" w:rsidRPr="00966CDD" w14:paraId="664F42F5"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200A5275"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Doação</w:t>
            </w:r>
          </w:p>
        </w:tc>
        <w:tc>
          <w:tcPr>
            <w:tcW w:w="6089" w:type="dxa"/>
            <w:shd w:val="clear" w:color="auto" w:fill="FFFFFF" w:themeFill="background1"/>
          </w:tcPr>
          <w:p w14:paraId="470A042E" w14:textId="5AA35F8A" w:rsidR="00B125DC" w:rsidRPr="00DC4602"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C4602">
              <w:rPr>
                <w:rFonts w:ascii="Times New Roman" w:hAnsi="Times New Roman" w:cs="Times New Roman"/>
              </w:rPr>
              <w:t>“</w:t>
            </w:r>
            <w:r>
              <w:rPr>
                <w:rFonts w:ascii="Times New Roman" w:hAnsi="Times New Roman" w:cs="Times New Roman"/>
              </w:rPr>
              <w:t>e</w:t>
            </w:r>
            <w:r w:rsidRPr="00DC4602">
              <w:rPr>
                <w:rFonts w:ascii="Times New Roman" w:hAnsi="Times New Roman" w:cs="Times New Roman"/>
              </w:rPr>
              <w:t>ntrada de documentos resultante da cessão gratuita e voluntária de propriedade feita por uma entidade coletiva, pessoa ou família” (</w:t>
            </w:r>
            <w:r w:rsidR="00F7213F" w:rsidRPr="00DC4602">
              <w:rPr>
                <w:rFonts w:ascii="Times New Roman" w:hAnsi="Times New Roman" w:cs="Times New Roman"/>
              </w:rPr>
              <w:t>Arquivo Nacional</w:t>
            </w:r>
            <w:r w:rsidRPr="00DC4602">
              <w:rPr>
                <w:rFonts w:ascii="Times New Roman" w:hAnsi="Times New Roman" w:cs="Times New Roman"/>
              </w:rPr>
              <w:t>, 2005, p. 72)</w:t>
            </w:r>
          </w:p>
        </w:tc>
      </w:tr>
      <w:tr w:rsidR="00B125DC" w:rsidRPr="00966CDD" w14:paraId="4DB6FCC2" w14:textId="77777777" w:rsidTr="00F7213F">
        <w:trPr>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09C8A093"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Legado</w:t>
            </w:r>
          </w:p>
        </w:tc>
        <w:tc>
          <w:tcPr>
            <w:tcW w:w="6089" w:type="dxa"/>
            <w:shd w:val="clear" w:color="auto" w:fill="FFFFFF" w:themeFill="background1"/>
          </w:tcPr>
          <w:p w14:paraId="70C4ECA2" w14:textId="61EB2EB2" w:rsidR="00B125DC" w:rsidRPr="00DC4602" w:rsidRDefault="00B125DC" w:rsidP="001615CA">
            <w:pPr>
              <w:pStyle w:val="SeoXVIIIENANCIB"/>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C4602">
              <w:rPr>
                <w:rFonts w:ascii="Times New Roman" w:hAnsi="Times New Roman" w:cs="Times New Roman"/>
                <w:b w:val="0"/>
                <w:bCs w:val="0"/>
                <w:sz w:val="22"/>
                <w:szCs w:val="22"/>
              </w:rPr>
              <w:t>“Doação resultante de uma disposição testamentária ou de manifestação de última vontade” (</w:t>
            </w:r>
            <w:r w:rsidR="00F7213F" w:rsidRPr="00DC4602">
              <w:rPr>
                <w:rFonts w:ascii="Times New Roman" w:hAnsi="Times New Roman" w:cs="Times New Roman"/>
                <w:b w:val="0"/>
                <w:bCs w:val="0"/>
                <w:sz w:val="22"/>
                <w:szCs w:val="22"/>
              </w:rPr>
              <w:t>Arquivo Nacional</w:t>
            </w:r>
            <w:r w:rsidRPr="00DC4602">
              <w:rPr>
                <w:rFonts w:ascii="Times New Roman" w:hAnsi="Times New Roman" w:cs="Times New Roman"/>
                <w:b w:val="0"/>
                <w:bCs w:val="0"/>
                <w:sz w:val="22"/>
                <w:szCs w:val="22"/>
              </w:rPr>
              <w:t>, 2005, p. 112)</w:t>
            </w:r>
          </w:p>
        </w:tc>
      </w:tr>
      <w:tr w:rsidR="00B125DC" w:rsidRPr="00966CDD" w14:paraId="5AE953BB"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000B8CB3"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Permuta</w:t>
            </w:r>
          </w:p>
        </w:tc>
        <w:tc>
          <w:tcPr>
            <w:tcW w:w="6089" w:type="dxa"/>
            <w:shd w:val="clear" w:color="auto" w:fill="FFFFFF" w:themeFill="background1"/>
          </w:tcPr>
          <w:p w14:paraId="562169EC"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Sem definição nos dicionários de terminologia arquivística.</w:t>
            </w:r>
          </w:p>
        </w:tc>
      </w:tr>
    </w:tbl>
    <w:p w14:paraId="443E21F9" w14:textId="77777777" w:rsidR="00B125DC" w:rsidRDefault="00B125DC" w:rsidP="00B125DC">
      <w:pPr>
        <w:spacing w:after="0" w:line="360" w:lineRule="auto"/>
        <w:jc w:val="center"/>
        <w:rPr>
          <w:rFonts w:ascii="Times New Roman" w:hAnsi="Times New Roman" w:cs="Times New Roman"/>
          <w:sz w:val="24"/>
          <w:szCs w:val="24"/>
        </w:rPr>
      </w:pPr>
      <w:bookmarkStart w:id="16" w:name="_Hlk130116918"/>
      <w:bookmarkEnd w:id="15"/>
      <w:r w:rsidRPr="00F7213F">
        <w:rPr>
          <w:rFonts w:ascii="Times New Roman" w:hAnsi="Times New Roman" w:cs="Times New Roman"/>
          <w:b/>
          <w:bCs/>
          <w:sz w:val="20"/>
          <w:szCs w:val="20"/>
        </w:rPr>
        <w:t>Fonte</w:t>
      </w:r>
      <w:r w:rsidRPr="00F7213F">
        <w:rPr>
          <w:rFonts w:ascii="Times New Roman" w:hAnsi="Times New Roman" w:cs="Times New Roman"/>
          <w:sz w:val="20"/>
          <w:szCs w:val="20"/>
        </w:rPr>
        <w:t>: Elaboração própria</w:t>
      </w:r>
      <w:r>
        <w:rPr>
          <w:rFonts w:ascii="Times New Roman" w:hAnsi="Times New Roman" w:cs="Times New Roman"/>
          <w:sz w:val="24"/>
          <w:szCs w:val="24"/>
        </w:rPr>
        <w:t>.</w:t>
      </w:r>
    </w:p>
    <w:bookmarkEnd w:id="14"/>
    <w:p w14:paraId="430CB52A" w14:textId="77777777" w:rsidR="00F7213F" w:rsidRDefault="00F7213F" w:rsidP="00B125DC">
      <w:pPr>
        <w:spacing w:after="0" w:line="360" w:lineRule="auto"/>
        <w:ind w:firstLine="720"/>
        <w:jc w:val="both"/>
        <w:rPr>
          <w:rFonts w:ascii="Times New Roman" w:hAnsi="Times New Roman" w:cs="Times New Roman"/>
          <w:sz w:val="24"/>
          <w:szCs w:val="24"/>
        </w:rPr>
      </w:pPr>
    </w:p>
    <w:p w14:paraId="1EAA1CA9" w14:textId="333D4993" w:rsidR="00B125DC" w:rsidRPr="00110C60" w:rsidRDefault="00B125DC" w:rsidP="00B125DC">
      <w:pPr>
        <w:spacing w:after="0" w:line="360" w:lineRule="auto"/>
        <w:ind w:firstLine="720"/>
        <w:jc w:val="both"/>
        <w:rPr>
          <w:rFonts w:ascii="Times New Roman" w:hAnsi="Times New Roman" w:cs="Times New Roman"/>
          <w:sz w:val="24"/>
          <w:szCs w:val="24"/>
        </w:rPr>
      </w:pPr>
      <w:r w:rsidRPr="00110C60">
        <w:rPr>
          <w:rFonts w:ascii="Times New Roman" w:hAnsi="Times New Roman" w:cs="Times New Roman"/>
          <w:sz w:val="24"/>
          <w:szCs w:val="24"/>
        </w:rPr>
        <w:t>Compra e permuta não possuem definições nos dicionários de terminologia e</w:t>
      </w:r>
      <w:r>
        <w:rPr>
          <w:rFonts w:ascii="Times New Roman" w:hAnsi="Times New Roman" w:cs="Times New Roman"/>
          <w:sz w:val="24"/>
          <w:szCs w:val="24"/>
        </w:rPr>
        <w:t>,</w:t>
      </w:r>
      <w:r w:rsidRPr="00110C60">
        <w:rPr>
          <w:rFonts w:ascii="Times New Roman" w:hAnsi="Times New Roman" w:cs="Times New Roman"/>
          <w:sz w:val="24"/>
          <w:szCs w:val="24"/>
        </w:rPr>
        <w:t xml:space="preserve"> para sanar essa ausência, buscou-se o significado desses dois termos no Código Civil publicado por meio da Lei nº 10.406, de 10 de janeiro de 2002. Optou-se pelo Código Civil uma vez que os métodos aquisitivos caracterizados por transferência formal de propriedade são celebrados por contratos jurídicos. Nesse sentido, de acordo com artigo 481, “pelo contrato de compra e venda, um dos contratantes se obriga a transferir o domínio de certa coisa, e o outro, a pagar-lhe certo preço em dinheiro” (B</w:t>
      </w:r>
      <w:r w:rsidR="00F7213F" w:rsidRPr="00110C60">
        <w:rPr>
          <w:rFonts w:ascii="Times New Roman" w:hAnsi="Times New Roman" w:cs="Times New Roman"/>
          <w:sz w:val="24"/>
          <w:szCs w:val="24"/>
        </w:rPr>
        <w:t>rasil</w:t>
      </w:r>
      <w:r w:rsidRPr="00110C60">
        <w:rPr>
          <w:rFonts w:ascii="Times New Roman" w:hAnsi="Times New Roman" w:cs="Times New Roman"/>
          <w:sz w:val="24"/>
          <w:szCs w:val="24"/>
        </w:rPr>
        <w:t>, 2002). O domínio é “direito de propriedade; faculdade de usar e dispor livremente do que é próprio; propriedade; bens imóveis […]” (D</w:t>
      </w:r>
      <w:r w:rsidR="00F7213F" w:rsidRPr="00110C60">
        <w:rPr>
          <w:rFonts w:ascii="Times New Roman" w:hAnsi="Times New Roman" w:cs="Times New Roman"/>
          <w:sz w:val="24"/>
          <w:szCs w:val="24"/>
        </w:rPr>
        <w:t>omínio</w:t>
      </w:r>
      <w:r w:rsidRPr="00110C60">
        <w:rPr>
          <w:rFonts w:ascii="Times New Roman" w:hAnsi="Times New Roman" w:cs="Times New Roman"/>
          <w:sz w:val="24"/>
          <w:szCs w:val="24"/>
        </w:rPr>
        <w:t xml:space="preserve">, 2020). Significa que a compra é caracterizada pela transferência formal de propriedade. O Código Civil possui também o capítulo II – Da Troca ou Permuta, artigo 533, que diz: </w:t>
      </w:r>
    </w:p>
    <w:bookmarkEnd w:id="16"/>
    <w:p w14:paraId="7F1A32A4" w14:textId="77777777" w:rsidR="00B125DC" w:rsidRPr="00110C60" w:rsidRDefault="00B125DC" w:rsidP="00B125DC">
      <w:pPr>
        <w:spacing w:after="0" w:line="360" w:lineRule="auto"/>
        <w:jc w:val="both"/>
        <w:rPr>
          <w:rFonts w:ascii="Times New Roman" w:hAnsi="Times New Roman" w:cs="Times New Roman"/>
          <w:sz w:val="24"/>
          <w:szCs w:val="24"/>
        </w:rPr>
      </w:pPr>
    </w:p>
    <w:p w14:paraId="2B15C713" w14:textId="3846FBCE" w:rsidR="00B125DC" w:rsidRPr="002C0500" w:rsidRDefault="00B125DC" w:rsidP="00B125DC">
      <w:pPr>
        <w:spacing w:after="0" w:line="240" w:lineRule="auto"/>
        <w:ind w:left="2268"/>
        <w:jc w:val="both"/>
        <w:rPr>
          <w:rFonts w:ascii="Times New Roman" w:hAnsi="Times New Roman" w:cs="Times New Roman"/>
          <w:sz w:val="20"/>
          <w:szCs w:val="20"/>
        </w:rPr>
      </w:pPr>
      <w:bookmarkStart w:id="17" w:name="_Hlk130116957"/>
      <w:r w:rsidRPr="002C0500">
        <w:rPr>
          <w:rFonts w:ascii="Times New Roman" w:hAnsi="Times New Roman" w:cs="Times New Roman"/>
          <w:sz w:val="20"/>
          <w:szCs w:val="20"/>
        </w:rPr>
        <w:t>Aplicam-se à troca as disposições referentes à compra e venda, com as seguintes modificações: I - salvo disposição em contrário, cada um dos contratantes pagará por metade as despesas com o instrumento da troca; II - é anulável a troca de valores desiguais entre ascendentes e descendentes, sem consentimento dos outros descendentes e do cônjuge do alienante (B</w:t>
      </w:r>
      <w:r w:rsidR="00F7213F" w:rsidRPr="002C0500">
        <w:rPr>
          <w:rFonts w:ascii="Times New Roman" w:hAnsi="Times New Roman" w:cs="Times New Roman"/>
          <w:sz w:val="20"/>
          <w:szCs w:val="20"/>
        </w:rPr>
        <w:t>rasil</w:t>
      </w:r>
      <w:r w:rsidRPr="002C0500">
        <w:rPr>
          <w:rFonts w:ascii="Times New Roman" w:hAnsi="Times New Roman" w:cs="Times New Roman"/>
          <w:sz w:val="20"/>
          <w:szCs w:val="20"/>
        </w:rPr>
        <w:t xml:space="preserve">, 2002). </w:t>
      </w:r>
    </w:p>
    <w:bookmarkEnd w:id="17"/>
    <w:p w14:paraId="7D82E35D" w14:textId="77777777" w:rsidR="00B125DC" w:rsidRPr="00110C60" w:rsidRDefault="00B125DC" w:rsidP="00B125DC">
      <w:pPr>
        <w:spacing w:after="0" w:line="360" w:lineRule="auto"/>
        <w:jc w:val="both"/>
        <w:rPr>
          <w:rFonts w:ascii="Times New Roman" w:hAnsi="Times New Roman" w:cs="Times New Roman"/>
          <w:sz w:val="24"/>
          <w:szCs w:val="24"/>
        </w:rPr>
      </w:pPr>
    </w:p>
    <w:p w14:paraId="21596138" w14:textId="77777777" w:rsidR="00B125DC" w:rsidRPr="00110C60" w:rsidRDefault="00B125DC" w:rsidP="00B125DC">
      <w:pPr>
        <w:spacing w:after="0" w:line="360" w:lineRule="auto"/>
        <w:ind w:firstLine="720"/>
        <w:jc w:val="both"/>
        <w:rPr>
          <w:rFonts w:ascii="Times New Roman" w:hAnsi="Times New Roman" w:cs="Times New Roman"/>
          <w:sz w:val="24"/>
          <w:szCs w:val="24"/>
        </w:rPr>
      </w:pPr>
      <w:bookmarkStart w:id="18" w:name="_Hlk130117111"/>
      <w:r w:rsidRPr="00110C60">
        <w:rPr>
          <w:rFonts w:ascii="Times New Roman" w:hAnsi="Times New Roman" w:cs="Times New Roman"/>
          <w:sz w:val="24"/>
          <w:szCs w:val="24"/>
        </w:rPr>
        <w:t xml:space="preserve">Assim, é revalidado que compra, dação, doação, legado e permuta são orientados pela transferência formal de propriedade, uma vez que alteram a propriedade do arquivo ou documento de arquivo seja envolvendo uma troca monetária, por pagamento de dívida ou por uma declaração de vontade. </w:t>
      </w:r>
    </w:p>
    <w:p w14:paraId="7CF373B0" w14:textId="77777777" w:rsidR="00B125DC" w:rsidRPr="00110C60" w:rsidRDefault="00B125DC" w:rsidP="00B125DC">
      <w:pPr>
        <w:spacing w:after="0" w:line="360" w:lineRule="auto"/>
        <w:ind w:firstLine="720"/>
        <w:jc w:val="both"/>
        <w:rPr>
          <w:rFonts w:ascii="Times New Roman" w:hAnsi="Times New Roman" w:cs="Times New Roman"/>
          <w:sz w:val="24"/>
          <w:szCs w:val="24"/>
        </w:rPr>
      </w:pPr>
      <w:bookmarkStart w:id="19" w:name="_Hlk130117119"/>
      <w:bookmarkEnd w:id="18"/>
      <w:r w:rsidRPr="00110C60">
        <w:rPr>
          <w:rFonts w:ascii="Times New Roman" w:hAnsi="Times New Roman" w:cs="Times New Roman"/>
          <w:sz w:val="24"/>
          <w:szCs w:val="24"/>
        </w:rPr>
        <w:t xml:space="preserve">Por seu turno, a transferência oficial de documentos tem relação com a não alteração de titularidade do arquivo ou do documento de arquivo. Isso quer dizer que os métodos aquisitivos recolhimento e transferência atuam em conjuntos documentais do mesmo fundo e ao longo do ciclo de vida. Sendo assim, por mais que sejam realizados recolhimentos e transferências, os itens arquivísticos envolvidos nessas atividades permanecem na mesma jurisdição arquivística. </w:t>
      </w:r>
    </w:p>
    <w:p w14:paraId="22AA18AE" w14:textId="10C4A2CF" w:rsidR="00B125DC" w:rsidRPr="00110C60" w:rsidRDefault="00B125DC" w:rsidP="00B125DC">
      <w:pPr>
        <w:spacing w:after="0" w:line="360" w:lineRule="auto"/>
        <w:jc w:val="both"/>
        <w:rPr>
          <w:rFonts w:ascii="Times New Roman" w:hAnsi="Times New Roman" w:cs="Times New Roman"/>
          <w:sz w:val="24"/>
          <w:szCs w:val="24"/>
        </w:rPr>
      </w:pPr>
      <w:r w:rsidRPr="00110C60">
        <w:rPr>
          <w:rFonts w:ascii="Times New Roman" w:hAnsi="Times New Roman" w:cs="Times New Roman"/>
          <w:sz w:val="24"/>
          <w:szCs w:val="24"/>
        </w:rPr>
        <w:lastRenderedPageBreak/>
        <w:t xml:space="preserve">Com o objetivo de confirmar se os métodos aquisitivos recolhimento e transferência podem ser classificados por transferência oficial de documentos, como sugerido por Fisher (2015), a partir de suas definições nos dicionários de terminologia arquivística, é apresentado </w:t>
      </w:r>
      <w:r>
        <w:rPr>
          <w:rFonts w:ascii="Times New Roman" w:hAnsi="Times New Roman" w:cs="Times New Roman"/>
          <w:sz w:val="24"/>
          <w:szCs w:val="24"/>
        </w:rPr>
        <w:t>o</w:t>
      </w:r>
      <w:r w:rsidRPr="00110C60">
        <w:rPr>
          <w:rFonts w:ascii="Times New Roman" w:hAnsi="Times New Roman" w:cs="Times New Roman"/>
          <w:sz w:val="24"/>
          <w:szCs w:val="24"/>
        </w:rPr>
        <w:t xml:space="preserve"> </w:t>
      </w:r>
      <w:r w:rsidR="00F7213F">
        <w:rPr>
          <w:rFonts w:ascii="Times New Roman" w:hAnsi="Times New Roman" w:cs="Times New Roman"/>
          <w:sz w:val="24"/>
          <w:szCs w:val="24"/>
        </w:rPr>
        <w:t>Q</w:t>
      </w:r>
      <w:r w:rsidRPr="00110C60">
        <w:rPr>
          <w:rFonts w:ascii="Times New Roman" w:hAnsi="Times New Roman" w:cs="Times New Roman"/>
          <w:sz w:val="24"/>
          <w:szCs w:val="24"/>
        </w:rPr>
        <w:t xml:space="preserve">uadro </w:t>
      </w:r>
      <w:r w:rsidR="00C14F57">
        <w:rPr>
          <w:rFonts w:ascii="Times New Roman" w:hAnsi="Times New Roman" w:cs="Times New Roman"/>
          <w:sz w:val="24"/>
          <w:szCs w:val="24"/>
        </w:rPr>
        <w:t>2</w:t>
      </w:r>
      <w:r w:rsidRPr="00110C60">
        <w:rPr>
          <w:rFonts w:ascii="Times New Roman" w:hAnsi="Times New Roman" w:cs="Times New Roman"/>
          <w:sz w:val="24"/>
          <w:szCs w:val="24"/>
        </w:rPr>
        <w:t xml:space="preserve">: </w:t>
      </w:r>
    </w:p>
    <w:bookmarkEnd w:id="19"/>
    <w:p w14:paraId="72819ADB" w14:textId="77777777" w:rsidR="00B125DC" w:rsidRDefault="00B125DC" w:rsidP="00B125DC">
      <w:pPr>
        <w:spacing w:after="0" w:line="360" w:lineRule="auto"/>
        <w:jc w:val="center"/>
        <w:rPr>
          <w:rFonts w:ascii="Times New Roman" w:hAnsi="Times New Roman" w:cs="Times New Roman"/>
          <w:sz w:val="24"/>
          <w:szCs w:val="24"/>
        </w:rPr>
      </w:pPr>
    </w:p>
    <w:p w14:paraId="711EC6FB" w14:textId="7EA666D6" w:rsidR="00B125DC" w:rsidRDefault="00B125DC" w:rsidP="00B125DC">
      <w:pPr>
        <w:spacing w:after="0" w:line="360" w:lineRule="auto"/>
        <w:jc w:val="center"/>
        <w:rPr>
          <w:rFonts w:ascii="Times New Roman" w:hAnsi="Times New Roman" w:cs="Times New Roman"/>
          <w:sz w:val="24"/>
          <w:szCs w:val="24"/>
        </w:rPr>
      </w:pPr>
      <w:bookmarkStart w:id="20" w:name="_Hlk147400671"/>
      <w:r w:rsidRPr="00F7213F">
        <w:rPr>
          <w:rFonts w:ascii="Times New Roman" w:hAnsi="Times New Roman" w:cs="Times New Roman"/>
          <w:b/>
          <w:bCs/>
          <w:sz w:val="24"/>
          <w:szCs w:val="24"/>
        </w:rPr>
        <w:t xml:space="preserve">Quadro </w:t>
      </w:r>
      <w:r w:rsidR="00D121C1">
        <w:rPr>
          <w:rFonts w:ascii="Times New Roman" w:hAnsi="Times New Roman" w:cs="Times New Roman"/>
          <w:b/>
          <w:bCs/>
          <w:sz w:val="24"/>
          <w:szCs w:val="24"/>
        </w:rPr>
        <w:t>2</w:t>
      </w:r>
      <w:r>
        <w:rPr>
          <w:rFonts w:ascii="Times New Roman" w:hAnsi="Times New Roman" w:cs="Times New Roman"/>
          <w:sz w:val="24"/>
          <w:szCs w:val="24"/>
        </w:rPr>
        <w:t>: Definição dos métodos aquisitivos recolhimento e transferência</w:t>
      </w:r>
    </w:p>
    <w:p w14:paraId="3623B7D5" w14:textId="77777777" w:rsidR="00F7213F" w:rsidRPr="00110C60" w:rsidRDefault="00F7213F" w:rsidP="00B125DC">
      <w:pPr>
        <w:spacing w:after="0" w:line="360" w:lineRule="auto"/>
        <w:jc w:val="center"/>
        <w:rPr>
          <w:rFonts w:ascii="Times New Roman" w:hAnsi="Times New Roman" w:cs="Times New Roman"/>
          <w:sz w:val="24"/>
          <w:szCs w:val="24"/>
        </w:rPr>
      </w:pPr>
    </w:p>
    <w:tbl>
      <w:tblPr>
        <w:tblStyle w:val="TabeladeLista2"/>
        <w:tblW w:w="0" w:type="auto"/>
        <w:jc w:val="center"/>
        <w:shd w:val="clear" w:color="auto" w:fill="FFFFFF" w:themeFill="background1"/>
        <w:tblLook w:val="04A0" w:firstRow="1" w:lastRow="0" w:firstColumn="1" w:lastColumn="0" w:noHBand="0" w:noVBand="1"/>
      </w:tblPr>
      <w:tblGrid>
        <w:gridCol w:w="2045"/>
        <w:gridCol w:w="6089"/>
      </w:tblGrid>
      <w:tr w:rsidR="00B125DC" w:rsidRPr="00966CDD" w14:paraId="7CD192C7" w14:textId="77777777" w:rsidTr="00F721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44C47C1A" w14:textId="77777777" w:rsidR="00B125DC" w:rsidRPr="00966CDD" w:rsidRDefault="00B125DC" w:rsidP="001615CA">
            <w:pPr>
              <w:jc w:val="both"/>
              <w:rPr>
                <w:rFonts w:ascii="Times New Roman" w:hAnsi="Times New Roman" w:cs="Times New Roman"/>
                <w:b w:val="0"/>
                <w:bCs w:val="0"/>
              </w:rPr>
            </w:pPr>
            <w:bookmarkStart w:id="21" w:name="_Hlk130117129"/>
            <w:r w:rsidRPr="00966CDD">
              <w:rPr>
                <w:rFonts w:ascii="Times New Roman" w:hAnsi="Times New Roman" w:cs="Times New Roman"/>
                <w:b w:val="0"/>
                <w:bCs w:val="0"/>
              </w:rPr>
              <w:t xml:space="preserve">Método Aquisitivo </w:t>
            </w:r>
          </w:p>
        </w:tc>
        <w:tc>
          <w:tcPr>
            <w:tcW w:w="6089" w:type="dxa"/>
            <w:shd w:val="clear" w:color="auto" w:fill="FFFFFF" w:themeFill="background1"/>
          </w:tcPr>
          <w:p w14:paraId="40D9C118" w14:textId="77777777" w:rsidR="00B125DC" w:rsidRPr="00966CDD" w:rsidRDefault="00B125DC" w:rsidP="001615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66CDD">
              <w:rPr>
                <w:rFonts w:ascii="Times New Roman" w:hAnsi="Times New Roman" w:cs="Times New Roman"/>
                <w:b w:val="0"/>
                <w:bCs w:val="0"/>
              </w:rPr>
              <w:t>Definições nos dicionários de terminologia arquivística</w:t>
            </w:r>
          </w:p>
        </w:tc>
      </w:tr>
      <w:tr w:rsidR="00B125DC" w:rsidRPr="00966CDD" w14:paraId="131E19FC"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0EF8CD10"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Recolhimento</w:t>
            </w:r>
          </w:p>
        </w:tc>
        <w:tc>
          <w:tcPr>
            <w:tcW w:w="6089" w:type="dxa"/>
            <w:shd w:val="clear" w:color="auto" w:fill="FFFFFF" w:themeFill="background1"/>
          </w:tcPr>
          <w:p w14:paraId="79DFA085" w14:textId="0D327B48"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w:t>
            </w:r>
            <w:r w:rsidRPr="00DC4602">
              <w:rPr>
                <w:rFonts w:ascii="Times New Roman" w:hAnsi="Times New Roman" w:cs="Times New Roman"/>
              </w:rPr>
              <w:t>Operação pela qual um conjunto de documentos passa do arquivo intermediário para o arquivo permanente</w:t>
            </w:r>
            <w:r w:rsidRPr="00966CDD">
              <w:rPr>
                <w:rFonts w:ascii="Times New Roman" w:hAnsi="Times New Roman" w:cs="Times New Roman"/>
              </w:rPr>
              <w:t>” (</w:t>
            </w:r>
            <w:r w:rsidR="00F7213F" w:rsidRPr="00DC4602">
              <w:rPr>
                <w:rFonts w:ascii="Times New Roman" w:hAnsi="Times New Roman" w:cs="Times New Roman"/>
              </w:rPr>
              <w:t>Arquivo Nacional</w:t>
            </w:r>
            <w:r w:rsidRPr="00966CDD">
              <w:rPr>
                <w:rFonts w:ascii="Times New Roman" w:hAnsi="Times New Roman" w:cs="Times New Roman"/>
              </w:rPr>
              <w:t>, 20</w:t>
            </w:r>
            <w:r>
              <w:rPr>
                <w:rFonts w:ascii="Times New Roman" w:hAnsi="Times New Roman" w:cs="Times New Roman"/>
              </w:rPr>
              <w:t>05</w:t>
            </w:r>
            <w:r w:rsidRPr="00966CDD">
              <w:rPr>
                <w:rFonts w:ascii="Times New Roman" w:hAnsi="Times New Roman" w:cs="Times New Roman"/>
              </w:rPr>
              <w:t xml:space="preserve">, p. </w:t>
            </w:r>
            <w:r>
              <w:rPr>
                <w:rFonts w:ascii="Times New Roman" w:hAnsi="Times New Roman" w:cs="Times New Roman"/>
              </w:rPr>
              <w:t>143</w:t>
            </w:r>
            <w:r w:rsidRPr="00966CDD">
              <w:rPr>
                <w:rFonts w:ascii="Times New Roman" w:hAnsi="Times New Roman" w:cs="Times New Roman"/>
              </w:rPr>
              <w:t>)</w:t>
            </w:r>
          </w:p>
        </w:tc>
      </w:tr>
      <w:tr w:rsidR="00B125DC" w:rsidRPr="00966CDD" w14:paraId="5D565B38" w14:textId="77777777" w:rsidTr="00F7213F">
        <w:trPr>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04D7A235"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Transferência</w:t>
            </w:r>
          </w:p>
        </w:tc>
        <w:tc>
          <w:tcPr>
            <w:tcW w:w="6089" w:type="dxa"/>
            <w:shd w:val="clear" w:color="auto" w:fill="FFFFFF" w:themeFill="background1"/>
          </w:tcPr>
          <w:p w14:paraId="5F766D92" w14:textId="475B9C4A" w:rsidR="00B125DC" w:rsidRPr="00966CDD"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w:t>
            </w:r>
            <w:r w:rsidRPr="00DC4602">
              <w:rPr>
                <w:rFonts w:ascii="Times New Roman" w:hAnsi="Times New Roman" w:cs="Times New Roman"/>
              </w:rPr>
              <w:t>Passagem de documentos do arquivo corrente para o arquivo intermediário</w:t>
            </w:r>
            <w:r w:rsidRPr="00966CDD">
              <w:rPr>
                <w:rFonts w:ascii="Times New Roman" w:hAnsi="Times New Roman" w:cs="Times New Roman"/>
              </w:rPr>
              <w:t>” (</w:t>
            </w:r>
            <w:r w:rsidR="00F7213F" w:rsidRPr="00DC4602">
              <w:rPr>
                <w:rFonts w:ascii="Times New Roman" w:hAnsi="Times New Roman" w:cs="Times New Roman"/>
              </w:rPr>
              <w:t>Arquivo Nacional</w:t>
            </w:r>
            <w:r w:rsidRPr="00966CDD">
              <w:rPr>
                <w:rFonts w:ascii="Times New Roman" w:hAnsi="Times New Roman" w:cs="Times New Roman"/>
              </w:rPr>
              <w:t>, 20</w:t>
            </w:r>
            <w:r>
              <w:rPr>
                <w:rFonts w:ascii="Times New Roman" w:hAnsi="Times New Roman" w:cs="Times New Roman"/>
              </w:rPr>
              <w:t>05</w:t>
            </w:r>
            <w:r w:rsidRPr="00966CDD">
              <w:rPr>
                <w:rFonts w:ascii="Times New Roman" w:hAnsi="Times New Roman" w:cs="Times New Roman"/>
              </w:rPr>
              <w:t xml:space="preserve">, p. </w:t>
            </w:r>
            <w:r>
              <w:rPr>
                <w:rFonts w:ascii="Times New Roman" w:hAnsi="Times New Roman" w:cs="Times New Roman"/>
              </w:rPr>
              <w:t>165</w:t>
            </w:r>
            <w:r w:rsidRPr="00966CDD">
              <w:rPr>
                <w:rFonts w:ascii="Times New Roman" w:hAnsi="Times New Roman" w:cs="Times New Roman"/>
              </w:rPr>
              <w:t>)</w:t>
            </w:r>
          </w:p>
        </w:tc>
      </w:tr>
    </w:tbl>
    <w:p w14:paraId="54F663BC" w14:textId="77777777" w:rsidR="00B125DC" w:rsidRDefault="00B125DC" w:rsidP="00B125DC">
      <w:pPr>
        <w:spacing w:after="0" w:line="360" w:lineRule="auto"/>
        <w:jc w:val="center"/>
        <w:rPr>
          <w:rFonts w:ascii="Times New Roman" w:hAnsi="Times New Roman" w:cs="Times New Roman"/>
          <w:sz w:val="24"/>
          <w:szCs w:val="24"/>
        </w:rPr>
      </w:pPr>
      <w:bookmarkStart w:id="22" w:name="_Hlk130117166"/>
      <w:bookmarkEnd w:id="21"/>
      <w:r w:rsidRPr="00F7213F">
        <w:rPr>
          <w:rFonts w:ascii="Times New Roman" w:hAnsi="Times New Roman" w:cs="Times New Roman"/>
          <w:b/>
          <w:bCs/>
          <w:sz w:val="20"/>
          <w:szCs w:val="20"/>
        </w:rPr>
        <w:t>Fonte</w:t>
      </w:r>
      <w:r w:rsidRPr="00F7213F">
        <w:rPr>
          <w:rFonts w:ascii="Times New Roman" w:hAnsi="Times New Roman" w:cs="Times New Roman"/>
          <w:sz w:val="20"/>
          <w:szCs w:val="20"/>
        </w:rPr>
        <w:t>: Elaboração própria</w:t>
      </w:r>
      <w:r>
        <w:rPr>
          <w:rFonts w:ascii="Times New Roman" w:hAnsi="Times New Roman" w:cs="Times New Roman"/>
          <w:sz w:val="24"/>
          <w:szCs w:val="24"/>
        </w:rPr>
        <w:t>.</w:t>
      </w:r>
    </w:p>
    <w:bookmarkEnd w:id="20"/>
    <w:p w14:paraId="539C2C52" w14:textId="77777777" w:rsidR="00F7213F" w:rsidRDefault="00F7213F" w:rsidP="00B125DC">
      <w:pPr>
        <w:spacing w:after="0" w:line="360" w:lineRule="auto"/>
        <w:ind w:firstLine="720"/>
        <w:jc w:val="both"/>
        <w:rPr>
          <w:rFonts w:ascii="Times New Roman" w:hAnsi="Times New Roman" w:cs="Times New Roman"/>
          <w:sz w:val="24"/>
          <w:szCs w:val="24"/>
        </w:rPr>
      </w:pPr>
    </w:p>
    <w:p w14:paraId="0B5D0ED3" w14:textId="64B01ED8" w:rsidR="00B125DC" w:rsidRPr="00110C60" w:rsidRDefault="00B125DC" w:rsidP="002C0500">
      <w:pPr>
        <w:spacing w:after="0" w:line="360" w:lineRule="auto"/>
        <w:ind w:firstLine="709"/>
        <w:jc w:val="both"/>
        <w:rPr>
          <w:rFonts w:ascii="Times New Roman" w:hAnsi="Times New Roman" w:cs="Times New Roman"/>
          <w:sz w:val="24"/>
          <w:szCs w:val="24"/>
        </w:rPr>
      </w:pPr>
      <w:r w:rsidRPr="00110C60">
        <w:rPr>
          <w:rFonts w:ascii="Times New Roman" w:hAnsi="Times New Roman" w:cs="Times New Roman"/>
          <w:sz w:val="24"/>
          <w:szCs w:val="24"/>
        </w:rPr>
        <w:t xml:space="preserve">Nesse sentido, é confirmado que recolhimento e transferência são orientados pela transferência oficial de documentos uma vez que suas atividades são executadas no mesmo fundo ao longo do ciclo de vida dos documentos e sem alteração da jurisdição arquivística, propriedade ou titularidade do arquivo. </w:t>
      </w:r>
    </w:p>
    <w:p w14:paraId="0C0E5ADF" w14:textId="768DC783" w:rsidR="00B125DC" w:rsidRDefault="00B125DC" w:rsidP="002C0500">
      <w:pPr>
        <w:spacing w:after="0" w:line="360" w:lineRule="auto"/>
        <w:ind w:firstLine="709"/>
        <w:jc w:val="both"/>
        <w:rPr>
          <w:rFonts w:ascii="Times New Roman" w:hAnsi="Times New Roman" w:cs="Times New Roman"/>
          <w:sz w:val="24"/>
          <w:szCs w:val="24"/>
        </w:rPr>
      </w:pPr>
      <w:bookmarkStart w:id="23" w:name="_Hlk130117179"/>
      <w:bookmarkEnd w:id="22"/>
      <w:r w:rsidRPr="00110C60">
        <w:rPr>
          <w:rFonts w:ascii="Times New Roman" w:hAnsi="Times New Roman" w:cs="Times New Roman"/>
          <w:sz w:val="24"/>
          <w:szCs w:val="24"/>
        </w:rPr>
        <w:t>As duas formas de compreender aquisição elaboradas por Fisher (2015) não consider</w:t>
      </w:r>
      <w:r>
        <w:rPr>
          <w:rFonts w:ascii="Times New Roman" w:hAnsi="Times New Roman" w:cs="Times New Roman"/>
          <w:sz w:val="24"/>
          <w:szCs w:val="24"/>
        </w:rPr>
        <w:t>aram</w:t>
      </w:r>
      <w:r w:rsidRPr="00110C60">
        <w:rPr>
          <w:rFonts w:ascii="Times New Roman" w:hAnsi="Times New Roman" w:cs="Times New Roman"/>
          <w:sz w:val="24"/>
          <w:szCs w:val="24"/>
        </w:rPr>
        <w:t xml:space="preserve"> os métodos aquisitivos comodato, custódia, depósito, empréstimo e reintegração. Além disso, o termo transferência nas expressões transferência formal de propriedade e transferência oficial de documentos pode permitir confusões com o método aquisitivo transferência. Nesse sentido, para que equívocos sejam evitados, o termo transferência será substituído por transmissão. Assim, a classificação dos métodos aquisitivos é nomeada da seguinte maneira: transmissão oficial de documentos, transmissão formal de propriedade e transmissão formal de posse. Essa última classificação é atribuída aos métodos aquisitivos comodato, empréstimo e depósito, já que todos eles possuem em suas respectivas definições “tempo predeterminado”, “transferência física e temporária” e “custódia temporária”. Isso quer dizer que são delimitadas por um espaço de tempo, portanto, são temporárias. Por mais que impliquem em uma mudança de localização física do arquivo ou documentos de arquivo, alterando a posse dos itens submetidos a esses métodos, a jurisdição arquivística, a propriedade dos documentos e o titular não são alterados. Em outros termos, a propriedade dos documentos de arquivo ou dos arquivos são mantidas com o comodante, emprestador e depositante. Por sua vez, sua posse é atribuída ao comodatário, emprestante e depositário. </w:t>
      </w:r>
      <w:r>
        <w:rPr>
          <w:rFonts w:ascii="Times New Roman" w:hAnsi="Times New Roman" w:cs="Times New Roman"/>
          <w:sz w:val="24"/>
          <w:szCs w:val="24"/>
        </w:rPr>
        <w:t>A seguir</w:t>
      </w:r>
      <w:r w:rsidR="00F7213F">
        <w:rPr>
          <w:rFonts w:ascii="Times New Roman" w:hAnsi="Times New Roman" w:cs="Times New Roman"/>
          <w:sz w:val="24"/>
          <w:szCs w:val="24"/>
        </w:rPr>
        <w:t>, o</w:t>
      </w:r>
      <w:r>
        <w:rPr>
          <w:rFonts w:ascii="Times New Roman" w:hAnsi="Times New Roman" w:cs="Times New Roman"/>
          <w:sz w:val="24"/>
          <w:szCs w:val="24"/>
        </w:rPr>
        <w:t xml:space="preserve"> </w:t>
      </w:r>
      <w:r w:rsidR="00F7213F">
        <w:rPr>
          <w:rFonts w:ascii="Times New Roman" w:hAnsi="Times New Roman" w:cs="Times New Roman"/>
          <w:sz w:val="24"/>
          <w:szCs w:val="24"/>
        </w:rPr>
        <w:t>Q</w:t>
      </w:r>
      <w:r>
        <w:rPr>
          <w:rFonts w:ascii="Times New Roman" w:hAnsi="Times New Roman" w:cs="Times New Roman"/>
          <w:sz w:val="24"/>
          <w:szCs w:val="24"/>
        </w:rPr>
        <w:t>uadro III com as definições dos métodos aquisitivos comodato, depósito e empréstimo.</w:t>
      </w:r>
    </w:p>
    <w:p w14:paraId="0958ABCA" w14:textId="77777777" w:rsidR="00F7213F" w:rsidRDefault="00F7213F" w:rsidP="00B125DC">
      <w:pPr>
        <w:spacing w:after="0" w:line="360" w:lineRule="auto"/>
        <w:ind w:firstLine="720"/>
        <w:jc w:val="both"/>
        <w:rPr>
          <w:rFonts w:ascii="Times New Roman" w:hAnsi="Times New Roman" w:cs="Times New Roman"/>
          <w:sz w:val="24"/>
          <w:szCs w:val="24"/>
        </w:rPr>
      </w:pPr>
    </w:p>
    <w:p w14:paraId="1DC0C28E" w14:textId="1026EBF0" w:rsidR="00B125DC" w:rsidRDefault="00B125DC" w:rsidP="00B125DC">
      <w:pPr>
        <w:spacing w:after="0" w:line="240" w:lineRule="auto"/>
        <w:jc w:val="center"/>
        <w:rPr>
          <w:rFonts w:ascii="Times New Roman" w:hAnsi="Times New Roman" w:cs="Times New Roman"/>
          <w:sz w:val="24"/>
          <w:szCs w:val="24"/>
        </w:rPr>
      </w:pPr>
      <w:bookmarkStart w:id="24" w:name="_Hlk147400688"/>
      <w:r w:rsidRPr="00F7213F">
        <w:rPr>
          <w:rFonts w:ascii="Times New Roman" w:hAnsi="Times New Roman" w:cs="Times New Roman"/>
          <w:b/>
          <w:bCs/>
          <w:sz w:val="24"/>
          <w:szCs w:val="24"/>
        </w:rPr>
        <w:lastRenderedPageBreak/>
        <w:t xml:space="preserve">Quadro </w:t>
      </w:r>
      <w:r w:rsidR="00D121C1">
        <w:rPr>
          <w:rFonts w:ascii="Times New Roman" w:hAnsi="Times New Roman" w:cs="Times New Roman"/>
          <w:b/>
          <w:bCs/>
          <w:sz w:val="24"/>
          <w:szCs w:val="24"/>
        </w:rPr>
        <w:t>3</w:t>
      </w:r>
      <w:r>
        <w:rPr>
          <w:rFonts w:ascii="Times New Roman" w:hAnsi="Times New Roman" w:cs="Times New Roman"/>
          <w:sz w:val="24"/>
          <w:szCs w:val="24"/>
        </w:rPr>
        <w:t xml:space="preserve">: Definição dos métodos aquisitivos </w:t>
      </w:r>
      <w:r w:rsidRPr="00110C60">
        <w:rPr>
          <w:rFonts w:ascii="Times New Roman" w:hAnsi="Times New Roman" w:cs="Times New Roman"/>
          <w:sz w:val="24"/>
          <w:szCs w:val="24"/>
        </w:rPr>
        <w:t xml:space="preserve">comodato, depósito, empréstimo </w:t>
      </w:r>
    </w:p>
    <w:p w14:paraId="06F47524" w14:textId="77777777" w:rsidR="00B125DC" w:rsidRPr="00110C60" w:rsidRDefault="00B125DC" w:rsidP="00B125DC">
      <w:pPr>
        <w:spacing w:after="0" w:line="240" w:lineRule="auto"/>
        <w:jc w:val="center"/>
        <w:rPr>
          <w:rFonts w:ascii="Times New Roman" w:hAnsi="Times New Roman" w:cs="Times New Roman"/>
          <w:sz w:val="24"/>
          <w:szCs w:val="24"/>
        </w:rPr>
      </w:pPr>
    </w:p>
    <w:tbl>
      <w:tblPr>
        <w:tblStyle w:val="TabeladeLista2"/>
        <w:tblW w:w="0" w:type="auto"/>
        <w:jc w:val="center"/>
        <w:shd w:val="clear" w:color="auto" w:fill="FFFFFF" w:themeFill="background1"/>
        <w:tblLook w:val="04A0" w:firstRow="1" w:lastRow="0" w:firstColumn="1" w:lastColumn="0" w:noHBand="0" w:noVBand="1"/>
      </w:tblPr>
      <w:tblGrid>
        <w:gridCol w:w="2045"/>
        <w:gridCol w:w="6089"/>
      </w:tblGrid>
      <w:tr w:rsidR="00B125DC" w:rsidRPr="008F4F2B" w14:paraId="33E45544" w14:textId="77777777" w:rsidTr="002C05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6B3E985A" w14:textId="77777777" w:rsidR="00B125DC" w:rsidRPr="008F4F2B" w:rsidRDefault="00B125DC" w:rsidP="001615CA">
            <w:pPr>
              <w:jc w:val="both"/>
              <w:rPr>
                <w:rFonts w:ascii="Times New Roman" w:hAnsi="Times New Roman" w:cs="Times New Roman"/>
                <w:b w:val="0"/>
                <w:bCs w:val="0"/>
              </w:rPr>
            </w:pPr>
            <w:r w:rsidRPr="008F4F2B">
              <w:rPr>
                <w:rFonts w:ascii="Times New Roman" w:hAnsi="Times New Roman" w:cs="Times New Roman"/>
                <w:b w:val="0"/>
                <w:bCs w:val="0"/>
              </w:rPr>
              <w:t xml:space="preserve">Método Aquisitivo </w:t>
            </w:r>
          </w:p>
        </w:tc>
        <w:tc>
          <w:tcPr>
            <w:tcW w:w="6089" w:type="dxa"/>
            <w:shd w:val="clear" w:color="auto" w:fill="FFFFFF" w:themeFill="background1"/>
          </w:tcPr>
          <w:p w14:paraId="5B67B053" w14:textId="77777777" w:rsidR="00B125DC" w:rsidRPr="008F4F2B" w:rsidRDefault="00B125DC" w:rsidP="001615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F4F2B">
              <w:rPr>
                <w:rFonts w:ascii="Times New Roman" w:hAnsi="Times New Roman" w:cs="Times New Roman"/>
                <w:b w:val="0"/>
                <w:bCs w:val="0"/>
              </w:rPr>
              <w:t>Definições nos dicionários de terminologia arquivística</w:t>
            </w:r>
          </w:p>
        </w:tc>
      </w:tr>
      <w:tr w:rsidR="00B125DC" w:rsidRPr="008F4F2B" w14:paraId="0BCCD75F" w14:textId="77777777" w:rsidTr="002C0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59A7E7DF" w14:textId="77777777" w:rsidR="00B125DC" w:rsidRPr="008F4F2B" w:rsidRDefault="00B125DC" w:rsidP="001615CA">
            <w:pPr>
              <w:jc w:val="both"/>
              <w:rPr>
                <w:rFonts w:ascii="Times New Roman" w:hAnsi="Times New Roman" w:cs="Times New Roman"/>
                <w:b w:val="0"/>
                <w:bCs w:val="0"/>
              </w:rPr>
            </w:pPr>
            <w:r w:rsidRPr="008F4F2B">
              <w:rPr>
                <w:rFonts w:ascii="Times New Roman" w:hAnsi="Times New Roman" w:cs="Times New Roman"/>
                <w:b w:val="0"/>
                <w:bCs w:val="0"/>
              </w:rPr>
              <w:t>Comodato</w:t>
            </w:r>
          </w:p>
        </w:tc>
        <w:tc>
          <w:tcPr>
            <w:tcW w:w="6089" w:type="dxa"/>
            <w:shd w:val="clear" w:color="auto" w:fill="FFFFFF" w:themeFill="background1"/>
          </w:tcPr>
          <w:p w14:paraId="19772B82" w14:textId="3B3812F3" w:rsidR="00B125DC" w:rsidRPr="008F4F2B" w:rsidRDefault="00B125DC" w:rsidP="001615CA">
            <w:pPr>
              <w:pStyle w:val="SeoXVIIIENANCIB"/>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sz w:val="22"/>
                <w:szCs w:val="22"/>
              </w:rPr>
            </w:pPr>
            <w:r w:rsidRPr="008F4F2B">
              <w:rPr>
                <w:rFonts w:ascii="Times New Roman" w:hAnsi="Times New Roman" w:cs="Times New Roman"/>
                <w:b w:val="0"/>
                <w:bCs w:val="0"/>
                <w:sz w:val="22"/>
                <w:szCs w:val="22"/>
              </w:rPr>
              <w:t xml:space="preserve">“empréstimo gratuito por via contratual, com direito de uso por tempo predeterminado” </w:t>
            </w:r>
            <w:r w:rsidRPr="00F7213F">
              <w:rPr>
                <w:rFonts w:ascii="Times New Roman" w:hAnsi="Times New Roman" w:cs="Times New Roman"/>
                <w:b w:val="0"/>
                <w:bCs w:val="0"/>
                <w:sz w:val="22"/>
                <w:szCs w:val="22"/>
              </w:rPr>
              <w:t>(</w:t>
            </w:r>
            <w:r w:rsidR="00F7213F" w:rsidRPr="00F7213F">
              <w:rPr>
                <w:rFonts w:ascii="Times New Roman" w:hAnsi="Times New Roman" w:cs="Times New Roman"/>
                <w:b w:val="0"/>
                <w:bCs w:val="0"/>
              </w:rPr>
              <w:t>Arquivo Nacional</w:t>
            </w:r>
            <w:r w:rsidRPr="008F4F2B">
              <w:rPr>
                <w:rFonts w:ascii="Times New Roman" w:hAnsi="Times New Roman" w:cs="Times New Roman"/>
                <w:b w:val="0"/>
                <w:bCs w:val="0"/>
                <w:sz w:val="22"/>
                <w:szCs w:val="22"/>
              </w:rPr>
              <w:t>, 2005, p. 53)</w:t>
            </w:r>
          </w:p>
        </w:tc>
      </w:tr>
      <w:tr w:rsidR="00B125DC" w:rsidRPr="008F4F2B" w14:paraId="36B24A46" w14:textId="77777777" w:rsidTr="002C0500">
        <w:trPr>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4C6F1361" w14:textId="77777777" w:rsidR="00B125DC" w:rsidRPr="008F4F2B" w:rsidRDefault="00B125DC" w:rsidP="001615CA">
            <w:pPr>
              <w:jc w:val="both"/>
              <w:rPr>
                <w:rFonts w:ascii="Times New Roman" w:hAnsi="Times New Roman" w:cs="Times New Roman"/>
                <w:b w:val="0"/>
                <w:bCs w:val="0"/>
              </w:rPr>
            </w:pPr>
            <w:r w:rsidRPr="008F4F2B">
              <w:rPr>
                <w:rFonts w:ascii="Times New Roman" w:hAnsi="Times New Roman" w:cs="Times New Roman"/>
                <w:b w:val="0"/>
                <w:bCs w:val="0"/>
              </w:rPr>
              <w:t>Depósito</w:t>
            </w:r>
          </w:p>
        </w:tc>
        <w:tc>
          <w:tcPr>
            <w:tcW w:w="6089" w:type="dxa"/>
            <w:shd w:val="clear" w:color="auto" w:fill="FFFFFF" w:themeFill="background1"/>
          </w:tcPr>
          <w:p w14:paraId="5C474F19" w14:textId="7BB278EE" w:rsidR="00B125DC" w:rsidRPr="008F4F2B"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4F2B">
              <w:rPr>
                <w:rFonts w:ascii="Times New Roman" w:hAnsi="Times New Roman" w:cs="Times New Roman"/>
              </w:rPr>
              <w:t>“entrada de documentos sob custódia temporária, sem a cessão da propriedade” (</w:t>
            </w:r>
            <w:r w:rsidR="00F7213F" w:rsidRPr="00F7213F">
              <w:rPr>
                <w:rFonts w:ascii="Times New Roman" w:hAnsi="Times New Roman" w:cs="Times New Roman"/>
              </w:rPr>
              <w:t>Arquivo Nacional</w:t>
            </w:r>
            <w:r w:rsidRPr="008F4F2B">
              <w:rPr>
                <w:rFonts w:ascii="Times New Roman" w:hAnsi="Times New Roman" w:cs="Times New Roman"/>
              </w:rPr>
              <w:t>, 2005, p. 65)</w:t>
            </w:r>
          </w:p>
        </w:tc>
      </w:tr>
      <w:tr w:rsidR="00B125DC" w:rsidRPr="008F4F2B" w14:paraId="0DEE32D4" w14:textId="77777777" w:rsidTr="002C0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70D83140" w14:textId="77777777" w:rsidR="00B125DC" w:rsidRPr="008F4F2B" w:rsidRDefault="00B125DC" w:rsidP="001615CA">
            <w:pPr>
              <w:jc w:val="both"/>
              <w:rPr>
                <w:rFonts w:ascii="Times New Roman" w:hAnsi="Times New Roman" w:cs="Times New Roman"/>
                <w:b w:val="0"/>
                <w:bCs w:val="0"/>
              </w:rPr>
            </w:pPr>
            <w:r w:rsidRPr="008F4F2B">
              <w:rPr>
                <w:rFonts w:ascii="Times New Roman" w:hAnsi="Times New Roman" w:cs="Times New Roman"/>
                <w:b w:val="0"/>
                <w:bCs w:val="0"/>
              </w:rPr>
              <w:t>Empréstimo</w:t>
            </w:r>
          </w:p>
        </w:tc>
        <w:tc>
          <w:tcPr>
            <w:tcW w:w="6089" w:type="dxa"/>
            <w:shd w:val="clear" w:color="auto" w:fill="FFFFFF" w:themeFill="background1"/>
          </w:tcPr>
          <w:p w14:paraId="30E64B94" w14:textId="1CCE5C45" w:rsidR="00B125DC" w:rsidRPr="008F4F2B"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4F2B">
              <w:rPr>
                <w:rFonts w:ascii="Times New Roman" w:hAnsi="Times New Roman" w:cs="Times New Roman"/>
              </w:rPr>
              <w:t>“transferência física e temporária de documentos para locação interna ou externa, com fins de referência, consulta, reprodução, pesquisa ou exposição” (</w:t>
            </w:r>
            <w:r w:rsidR="00F7213F" w:rsidRPr="00F7213F">
              <w:rPr>
                <w:rFonts w:ascii="Times New Roman" w:hAnsi="Times New Roman" w:cs="Times New Roman"/>
              </w:rPr>
              <w:t>Arquivo Nacional</w:t>
            </w:r>
            <w:r w:rsidRPr="008F4F2B">
              <w:rPr>
                <w:rFonts w:ascii="Times New Roman" w:hAnsi="Times New Roman" w:cs="Times New Roman"/>
              </w:rPr>
              <w:t>, 2005, p. 82)</w:t>
            </w:r>
          </w:p>
        </w:tc>
      </w:tr>
    </w:tbl>
    <w:p w14:paraId="06209C20" w14:textId="77777777" w:rsidR="00B125DC" w:rsidRPr="00F7213F" w:rsidRDefault="00B125DC" w:rsidP="00B125DC">
      <w:pPr>
        <w:spacing w:after="0" w:line="360" w:lineRule="auto"/>
        <w:jc w:val="center"/>
        <w:rPr>
          <w:rFonts w:ascii="Times New Roman" w:hAnsi="Times New Roman" w:cs="Times New Roman"/>
          <w:sz w:val="20"/>
          <w:szCs w:val="20"/>
        </w:rPr>
      </w:pPr>
      <w:r w:rsidRPr="00F7213F">
        <w:rPr>
          <w:rFonts w:ascii="Times New Roman" w:hAnsi="Times New Roman" w:cs="Times New Roman"/>
          <w:b/>
          <w:bCs/>
          <w:sz w:val="20"/>
          <w:szCs w:val="20"/>
        </w:rPr>
        <w:t>Fonte</w:t>
      </w:r>
      <w:r w:rsidRPr="00F7213F">
        <w:rPr>
          <w:rFonts w:ascii="Times New Roman" w:hAnsi="Times New Roman" w:cs="Times New Roman"/>
          <w:sz w:val="20"/>
          <w:szCs w:val="20"/>
        </w:rPr>
        <w:t>: Elaboração própria.</w:t>
      </w:r>
    </w:p>
    <w:bookmarkEnd w:id="23"/>
    <w:bookmarkEnd w:id="24"/>
    <w:p w14:paraId="2163F90B" w14:textId="77777777" w:rsidR="00F7213F" w:rsidRDefault="00B125DC" w:rsidP="00B125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25" w:name="_Hlk130117198"/>
    </w:p>
    <w:p w14:paraId="2C123871" w14:textId="635DD291" w:rsidR="00B125DC" w:rsidRDefault="00B125DC" w:rsidP="002C05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Já acerca da</w:t>
      </w:r>
      <w:r w:rsidRPr="00110C60">
        <w:rPr>
          <w:rFonts w:ascii="Times New Roman" w:hAnsi="Times New Roman" w:cs="Times New Roman"/>
          <w:sz w:val="24"/>
          <w:szCs w:val="24"/>
        </w:rPr>
        <w:t xml:space="preserve"> custódia</w:t>
      </w:r>
      <w:r>
        <w:rPr>
          <w:rFonts w:ascii="Times New Roman" w:hAnsi="Times New Roman" w:cs="Times New Roman"/>
          <w:sz w:val="24"/>
          <w:szCs w:val="24"/>
        </w:rPr>
        <w:t>,</w:t>
      </w:r>
      <w:r w:rsidRPr="00110C60">
        <w:rPr>
          <w:rFonts w:ascii="Times New Roman" w:hAnsi="Times New Roman" w:cs="Times New Roman"/>
          <w:sz w:val="24"/>
          <w:szCs w:val="24"/>
        </w:rPr>
        <w:t xml:space="preserve"> por não ter definido em seu significado a indicação se ocorre a alteração ou não da jurisdição arquivística</w:t>
      </w:r>
      <w:r>
        <w:rPr>
          <w:rFonts w:ascii="Times New Roman" w:hAnsi="Times New Roman" w:cs="Times New Roman"/>
          <w:sz w:val="24"/>
          <w:szCs w:val="24"/>
        </w:rPr>
        <w:t>,</w:t>
      </w:r>
      <w:r w:rsidRPr="00110C60">
        <w:rPr>
          <w:rFonts w:ascii="Times New Roman" w:hAnsi="Times New Roman" w:cs="Times New Roman"/>
          <w:sz w:val="24"/>
          <w:szCs w:val="24"/>
        </w:rPr>
        <w:t xml:space="preserve"> </w:t>
      </w:r>
      <w:r>
        <w:rPr>
          <w:rFonts w:ascii="Times New Roman" w:hAnsi="Times New Roman" w:cs="Times New Roman"/>
          <w:sz w:val="24"/>
          <w:szCs w:val="24"/>
        </w:rPr>
        <w:t>optamos</w:t>
      </w:r>
      <w:r w:rsidRPr="00110C60">
        <w:rPr>
          <w:rFonts w:ascii="Times New Roman" w:hAnsi="Times New Roman" w:cs="Times New Roman"/>
          <w:sz w:val="24"/>
          <w:szCs w:val="24"/>
        </w:rPr>
        <w:t xml:space="preserve"> por mant</w:t>
      </w:r>
      <w:r>
        <w:rPr>
          <w:rFonts w:ascii="Times New Roman" w:hAnsi="Times New Roman" w:cs="Times New Roman"/>
          <w:sz w:val="24"/>
          <w:szCs w:val="24"/>
        </w:rPr>
        <w:t>ê-la</w:t>
      </w:r>
      <w:r w:rsidRPr="00110C60">
        <w:rPr>
          <w:rFonts w:ascii="Times New Roman" w:hAnsi="Times New Roman" w:cs="Times New Roman"/>
          <w:sz w:val="24"/>
          <w:szCs w:val="24"/>
        </w:rPr>
        <w:t xml:space="preserve"> nas três possibilidades de classificação de aquisição. Da mesma maneira, reintegração pode ser classificada tanto como transmissão formal de propriedade quanto transmissão oficial de documentos. Tudo vai depender de se o arquivo ou itens documentais em jogo irão mudar ou permanecer na mesma jurisdição arquivística.</w:t>
      </w:r>
      <w:r>
        <w:rPr>
          <w:rFonts w:ascii="Times New Roman" w:hAnsi="Times New Roman" w:cs="Times New Roman"/>
          <w:sz w:val="24"/>
          <w:szCs w:val="24"/>
        </w:rPr>
        <w:t xml:space="preserve"> </w:t>
      </w:r>
      <w:bookmarkStart w:id="26" w:name="_Hlk130117211"/>
      <w:bookmarkEnd w:id="25"/>
    </w:p>
    <w:p w14:paraId="5E6023CF" w14:textId="77777777" w:rsidR="00F7213F" w:rsidRDefault="00F7213F" w:rsidP="00F7213F">
      <w:pPr>
        <w:spacing w:after="0" w:line="360" w:lineRule="auto"/>
        <w:ind w:firstLine="708"/>
        <w:jc w:val="both"/>
        <w:rPr>
          <w:rFonts w:ascii="Times New Roman" w:hAnsi="Times New Roman" w:cs="Times New Roman"/>
          <w:sz w:val="24"/>
          <w:szCs w:val="24"/>
        </w:rPr>
      </w:pPr>
    </w:p>
    <w:p w14:paraId="520BFF19" w14:textId="727CC32E" w:rsidR="00B125DC" w:rsidRPr="00110C60" w:rsidRDefault="00B125DC" w:rsidP="00B125DC">
      <w:pPr>
        <w:spacing w:after="0" w:line="360" w:lineRule="auto"/>
        <w:jc w:val="center"/>
        <w:rPr>
          <w:rFonts w:ascii="Times New Roman" w:hAnsi="Times New Roman" w:cs="Times New Roman"/>
          <w:sz w:val="24"/>
          <w:szCs w:val="24"/>
        </w:rPr>
      </w:pPr>
      <w:bookmarkStart w:id="27" w:name="_Hlk147400709"/>
      <w:r w:rsidRPr="00F7213F">
        <w:rPr>
          <w:rFonts w:ascii="Times New Roman" w:hAnsi="Times New Roman" w:cs="Times New Roman"/>
          <w:b/>
          <w:bCs/>
          <w:sz w:val="24"/>
          <w:szCs w:val="24"/>
        </w:rPr>
        <w:t xml:space="preserve">Quadro </w:t>
      </w:r>
      <w:r w:rsidR="00D121C1">
        <w:rPr>
          <w:rFonts w:ascii="Times New Roman" w:hAnsi="Times New Roman" w:cs="Times New Roman"/>
          <w:b/>
          <w:bCs/>
          <w:sz w:val="24"/>
          <w:szCs w:val="24"/>
        </w:rPr>
        <w:t>4</w:t>
      </w:r>
      <w:r>
        <w:rPr>
          <w:rFonts w:ascii="Times New Roman" w:hAnsi="Times New Roman" w:cs="Times New Roman"/>
          <w:sz w:val="24"/>
          <w:szCs w:val="24"/>
        </w:rPr>
        <w:t>: Definição dos métodos aquisitivos custódia e reintegração</w:t>
      </w:r>
    </w:p>
    <w:tbl>
      <w:tblPr>
        <w:tblStyle w:val="TabeladeLista2"/>
        <w:tblW w:w="0" w:type="auto"/>
        <w:jc w:val="center"/>
        <w:shd w:val="clear" w:color="auto" w:fill="FFFFFF" w:themeFill="background1"/>
        <w:tblLook w:val="04A0" w:firstRow="1" w:lastRow="0" w:firstColumn="1" w:lastColumn="0" w:noHBand="0" w:noVBand="1"/>
      </w:tblPr>
      <w:tblGrid>
        <w:gridCol w:w="2045"/>
        <w:gridCol w:w="6089"/>
      </w:tblGrid>
      <w:tr w:rsidR="00B125DC" w:rsidRPr="00966CDD" w14:paraId="6696B49B" w14:textId="77777777" w:rsidTr="00F721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314636D4"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 xml:space="preserve">Método Aquisitivo </w:t>
            </w:r>
          </w:p>
        </w:tc>
        <w:tc>
          <w:tcPr>
            <w:tcW w:w="6089" w:type="dxa"/>
            <w:shd w:val="clear" w:color="auto" w:fill="FFFFFF" w:themeFill="background1"/>
          </w:tcPr>
          <w:p w14:paraId="6DB22733" w14:textId="77777777" w:rsidR="00B125DC" w:rsidRPr="00966CDD" w:rsidRDefault="00B125DC" w:rsidP="001615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66CDD">
              <w:rPr>
                <w:rFonts w:ascii="Times New Roman" w:hAnsi="Times New Roman" w:cs="Times New Roman"/>
                <w:b w:val="0"/>
                <w:bCs w:val="0"/>
              </w:rPr>
              <w:t>Definições nos dicionários de terminologia arquivística</w:t>
            </w:r>
          </w:p>
        </w:tc>
      </w:tr>
      <w:tr w:rsidR="00B125DC" w:rsidRPr="008F4F2B" w14:paraId="68E762BD"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3E9B797F" w14:textId="77777777" w:rsidR="00B125DC" w:rsidRPr="008F4F2B" w:rsidRDefault="00B125DC" w:rsidP="001615CA">
            <w:pPr>
              <w:jc w:val="both"/>
              <w:rPr>
                <w:rFonts w:ascii="Times New Roman" w:hAnsi="Times New Roman" w:cs="Times New Roman"/>
                <w:b w:val="0"/>
                <w:bCs w:val="0"/>
              </w:rPr>
            </w:pPr>
            <w:r w:rsidRPr="008F4F2B">
              <w:rPr>
                <w:rFonts w:ascii="Times New Roman" w:hAnsi="Times New Roman" w:cs="Times New Roman"/>
                <w:b w:val="0"/>
                <w:bCs w:val="0"/>
              </w:rPr>
              <w:t>Custódia</w:t>
            </w:r>
          </w:p>
        </w:tc>
        <w:tc>
          <w:tcPr>
            <w:tcW w:w="6089" w:type="dxa"/>
            <w:shd w:val="clear" w:color="auto" w:fill="FFFFFF" w:themeFill="background1"/>
          </w:tcPr>
          <w:p w14:paraId="6D90D925" w14:textId="10A4B9D1" w:rsidR="00B125DC" w:rsidRPr="008F4F2B"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4F2B">
              <w:rPr>
                <w:rFonts w:ascii="Times New Roman" w:hAnsi="Times New Roman" w:cs="Times New Roman"/>
              </w:rPr>
              <w:t>“responsabilidade jurídica de guarda e proteção de arquivos, independente de vínculo de propriedade” (</w:t>
            </w:r>
            <w:r w:rsidR="00F7213F" w:rsidRPr="008F4F2B">
              <w:rPr>
                <w:rFonts w:ascii="Times New Roman" w:hAnsi="Times New Roman" w:cs="Times New Roman"/>
              </w:rPr>
              <w:t>Arquivo Nacional</w:t>
            </w:r>
            <w:r w:rsidRPr="008F4F2B">
              <w:rPr>
                <w:rFonts w:ascii="Times New Roman" w:hAnsi="Times New Roman" w:cs="Times New Roman"/>
              </w:rPr>
              <w:t>, 2005, p. 54)</w:t>
            </w:r>
          </w:p>
        </w:tc>
      </w:tr>
      <w:tr w:rsidR="00B125DC" w:rsidRPr="008F4F2B" w14:paraId="54D13664" w14:textId="77777777" w:rsidTr="00F7213F">
        <w:trPr>
          <w:jc w:val="center"/>
        </w:trPr>
        <w:tc>
          <w:tcPr>
            <w:cnfStyle w:val="001000000000" w:firstRow="0" w:lastRow="0" w:firstColumn="1" w:lastColumn="0" w:oddVBand="0" w:evenVBand="0" w:oddHBand="0" w:evenHBand="0" w:firstRowFirstColumn="0" w:firstRowLastColumn="0" w:lastRowFirstColumn="0" w:lastRowLastColumn="0"/>
            <w:tcW w:w="2045" w:type="dxa"/>
            <w:shd w:val="clear" w:color="auto" w:fill="FFFFFF" w:themeFill="background1"/>
          </w:tcPr>
          <w:p w14:paraId="0FC3E812" w14:textId="77777777" w:rsidR="00B125DC" w:rsidRPr="008F4F2B" w:rsidRDefault="00B125DC" w:rsidP="001615CA">
            <w:pPr>
              <w:jc w:val="both"/>
              <w:rPr>
                <w:rFonts w:ascii="Times New Roman" w:hAnsi="Times New Roman" w:cs="Times New Roman"/>
                <w:b w:val="0"/>
                <w:bCs w:val="0"/>
              </w:rPr>
            </w:pPr>
            <w:r w:rsidRPr="008F4F2B">
              <w:rPr>
                <w:rFonts w:ascii="Times New Roman" w:hAnsi="Times New Roman" w:cs="Times New Roman"/>
                <w:b w:val="0"/>
                <w:bCs w:val="0"/>
              </w:rPr>
              <w:t>Reintegração</w:t>
            </w:r>
          </w:p>
        </w:tc>
        <w:tc>
          <w:tcPr>
            <w:tcW w:w="6089" w:type="dxa"/>
            <w:shd w:val="clear" w:color="auto" w:fill="FFFFFF" w:themeFill="background1"/>
          </w:tcPr>
          <w:p w14:paraId="69AAB43B" w14:textId="0D7E3F5C" w:rsidR="00B125DC" w:rsidRPr="008F4F2B"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4F2B">
              <w:rPr>
                <w:rFonts w:ascii="Times New Roman" w:hAnsi="Times New Roman" w:cs="Times New Roman"/>
              </w:rPr>
              <w:t>“Recondução de arquivos e/ou documentos ao fundo ou arquivo a que pertencem” (</w:t>
            </w:r>
            <w:r w:rsidR="00F7213F" w:rsidRPr="008F4F2B">
              <w:rPr>
                <w:rFonts w:ascii="Times New Roman" w:hAnsi="Times New Roman" w:cs="Times New Roman"/>
              </w:rPr>
              <w:t>Arquivo Nacional</w:t>
            </w:r>
            <w:r w:rsidRPr="008F4F2B">
              <w:rPr>
                <w:rFonts w:ascii="Times New Roman" w:hAnsi="Times New Roman" w:cs="Times New Roman"/>
              </w:rPr>
              <w:t xml:space="preserve">, 2005, p. </w:t>
            </w:r>
            <w:r>
              <w:rPr>
                <w:rFonts w:ascii="Times New Roman" w:hAnsi="Times New Roman" w:cs="Times New Roman"/>
              </w:rPr>
              <w:t>14</w:t>
            </w:r>
            <w:r w:rsidRPr="008F4F2B">
              <w:rPr>
                <w:rFonts w:ascii="Times New Roman" w:hAnsi="Times New Roman" w:cs="Times New Roman"/>
              </w:rPr>
              <w:t>5)</w:t>
            </w:r>
          </w:p>
        </w:tc>
      </w:tr>
    </w:tbl>
    <w:p w14:paraId="792076F0" w14:textId="77777777" w:rsidR="00B125DC" w:rsidRDefault="00B125DC" w:rsidP="00B125DC">
      <w:pPr>
        <w:spacing w:after="0" w:line="360" w:lineRule="auto"/>
        <w:jc w:val="center"/>
        <w:rPr>
          <w:rFonts w:ascii="Times New Roman" w:hAnsi="Times New Roman" w:cs="Times New Roman"/>
          <w:sz w:val="24"/>
          <w:szCs w:val="24"/>
        </w:rPr>
      </w:pPr>
      <w:r w:rsidRPr="00F7213F">
        <w:rPr>
          <w:rFonts w:ascii="Times New Roman" w:hAnsi="Times New Roman" w:cs="Times New Roman"/>
          <w:b/>
          <w:bCs/>
          <w:sz w:val="20"/>
          <w:szCs w:val="20"/>
        </w:rPr>
        <w:t>Fonte</w:t>
      </w:r>
      <w:r w:rsidRPr="00F7213F">
        <w:rPr>
          <w:rFonts w:ascii="Times New Roman" w:hAnsi="Times New Roman" w:cs="Times New Roman"/>
          <w:sz w:val="20"/>
          <w:szCs w:val="20"/>
        </w:rPr>
        <w:t>: Elaboração própria</w:t>
      </w:r>
      <w:r>
        <w:rPr>
          <w:rFonts w:ascii="Times New Roman" w:hAnsi="Times New Roman" w:cs="Times New Roman"/>
          <w:sz w:val="24"/>
          <w:szCs w:val="24"/>
        </w:rPr>
        <w:t>.</w:t>
      </w:r>
    </w:p>
    <w:p w14:paraId="6D7FC281" w14:textId="77777777" w:rsidR="00B125DC" w:rsidRDefault="00B125DC" w:rsidP="00B125DC">
      <w:pPr>
        <w:spacing w:after="0" w:line="360" w:lineRule="auto"/>
        <w:jc w:val="center"/>
        <w:rPr>
          <w:rFonts w:ascii="Times New Roman" w:hAnsi="Times New Roman" w:cs="Times New Roman"/>
          <w:sz w:val="24"/>
          <w:szCs w:val="24"/>
        </w:rPr>
      </w:pPr>
    </w:p>
    <w:bookmarkEnd w:id="27"/>
    <w:p w14:paraId="5955CFAA" w14:textId="77777777" w:rsidR="00B125DC" w:rsidRDefault="00B125DC" w:rsidP="00F7213F">
      <w:pPr>
        <w:spacing w:after="0" w:line="360" w:lineRule="auto"/>
        <w:ind w:firstLine="708"/>
        <w:jc w:val="both"/>
        <w:rPr>
          <w:rFonts w:ascii="Times New Roman" w:hAnsi="Times New Roman" w:cs="Times New Roman"/>
          <w:sz w:val="24"/>
          <w:szCs w:val="24"/>
        </w:rPr>
      </w:pPr>
      <w:r w:rsidRPr="00110C60">
        <w:rPr>
          <w:rFonts w:ascii="Times New Roman" w:hAnsi="Times New Roman" w:cs="Times New Roman"/>
          <w:sz w:val="24"/>
          <w:szCs w:val="24"/>
        </w:rPr>
        <w:t xml:space="preserve">Sendo assim, os métodos aquisitivos podem ser classificados da seguinte maneira: </w:t>
      </w:r>
    </w:p>
    <w:p w14:paraId="4C0C8FE3" w14:textId="77777777" w:rsidR="00B125DC" w:rsidRPr="00110C60" w:rsidRDefault="00B125DC" w:rsidP="00B125DC">
      <w:pPr>
        <w:spacing w:after="0" w:line="360" w:lineRule="auto"/>
        <w:jc w:val="both"/>
        <w:rPr>
          <w:rFonts w:ascii="Times New Roman" w:hAnsi="Times New Roman" w:cs="Times New Roman"/>
          <w:sz w:val="24"/>
          <w:szCs w:val="24"/>
        </w:rPr>
      </w:pPr>
    </w:p>
    <w:p w14:paraId="18F8DD38" w14:textId="5FACCE85" w:rsidR="00B125DC" w:rsidRPr="00110C60" w:rsidRDefault="00B125DC" w:rsidP="00B125DC">
      <w:pPr>
        <w:spacing w:after="0" w:line="360" w:lineRule="auto"/>
        <w:jc w:val="center"/>
        <w:rPr>
          <w:rFonts w:ascii="Times New Roman" w:hAnsi="Times New Roman" w:cs="Times New Roman"/>
          <w:sz w:val="24"/>
          <w:szCs w:val="24"/>
        </w:rPr>
      </w:pPr>
      <w:bookmarkStart w:id="28" w:name="_Hlk147400721"/>
      <w:bookmarkEnd w:id="26"/>
      <w:r w:rsidRPr="00F7213F">
        <w:rPr>
          <w:rFonts w:ascii="Times New Roman" w:hAnsi="Times New Roman" w:cs="Times New Roman"/>
          <w:b/>
          <w:bCs/>
          <w:sz w:val="24"/>
          <w:szCs w:val="24"/>
        </w:rPr>
        <w:t xml:space="preserve">Quadro </w:t>
      </w:r>
      <w:r w:rsidR="00D121C1">
        <w:rPr>
          <w:rFonts w:ascii="Times New Roman" w:hAnsi="Times New Roman" w:cs="Times New Roman"/>
          <w:b/>
          <w:bCs/>
          <w:sz w:val="24"/>
          <w:szCs w:val="24"/>
        </w:rPr>
        <w:t>5</w:t>
      </w:r>
      <w:r w:rsidR="00F7213F">
        <w:rPr>
          <w:rFonts w:ascii="Times New Roman" w:hAnsi="Times New Roman" w:cs="Times New Roman"/>
          <w:sz w:val="24"/>
          <w:szCs w:val="24"/>
        </w:rPr>
        <w:t xml:space="preserve">: </w:t>
      </w:r>
      <w:r>
        <w:rPr>
          <w:rFonts w:ascii="Times New Roman" w:hAnsi="Times New Roman" w:cs="Times New Roman"/>
          <w:sz w:val="24"/>
          <w:szCs w:val="24"/>
        </w:rPr>
        <w:t xml:space="preserve"> Classificação dos métodos aquisitivos</w:t>
      </w:r>
    </w:p>
    <w:tbl>
      <w:tblPr>
        <w:tblStyle w:val="TabeladeLista2"/>
        <w:tblW w:w="0" w:type="auto"/>
        <w:jc w:val="center"/>
        <w:shd w:val="clear" w:color="auto" w:fill="FFFFFF" w:themeFill="background1"/>
        <w:tblLook w:val="04A0" w:firstRow="1" w:lastRow="0" w:firstColumn="1" w:lastColumn="0" w:noHBand="0" w:noVBand="1"/>
      </w:tblPr>
      <w:tblGrid>
        <w:gridCol w:w="4247"/>
        <w:gridCol w:w="4247"/>
      </w:tblGrid>
      <w:tr w:rsidR="00B125DC" w:rsidRPr="00966CDD" w14:paraId="6E3E125C" w14:textId="77777777" w:rsidTr="00F721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FFFFFF" w:themeFill="background1"/>
          </w:tcPr>
          <w:p w14:paraId="1E4B7A73" w14:textId="77777777" w:rsidR="00B125DC" w:rsidRPr="00966CDD" w:rsidRDefault="00B125DC" w:rsidP="001615CA">
            <w:pPr>
              <w:jc w:val="both"/>
              <w:rPr>
                <w:rFonts w:ascii="Times New Roman" w:hAnsi="Times New Roman" w:cs="Times New Roman"/>
                <w:b w:val="0"/>
                <w:bCs w:val="0"/>
              </w:rPr>
            </w:pPr>
            <w:bookmarkStart w:id="29" w:name="_Hlk130117219"/>
            <w:r w:rsidRPr="00966CDD">
              <w:rPr>
                <w:rFonts w:ascii="Times New Roman" w:hAnsi="Times New Roman" w:cs="Times New Roman"/>
                <w:b w:val="0"/>
                <w:bCs w:val="0"/>
              </w:rPr>
              <w:t>Classificação dos métodos aquisitivos</w:t>
            </w:r>
          </w:p>
        </w:tc>
        <w:tc>
          <w:tcPr>
            <w:tcW w:w="4247" w:type="dxa"/>
            <w:shd w:val="clear" w:color="auto" w:fill="FFFFFF" w:themeFill="background1"/>
          </w:tcPr>
          <w:p w14:paraId="50A53DBB" w14:textId="77777777" w:rsidR="00B125DC" w:rsidRPr="00966CDD" w:rsidRDefault="00B125DC" w:rsidP="001615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66CDD">
              <w:rPr>
                <w:rFonts w:ascii="Times New Roman" w:hAnsi="Times New Roman" w:cs="Times New Roman"/>
                <w:b w:val="0"/>
                <w:bCs w:val="0"/>
              </w:rPr>
              <w:t>Métodos aquisitivos</w:t>
            </w:r>
          </w:p>
        </w:tc>
      </w:tr>
      <w:tr w:rsidR="00B125DC" w:rsidRPr="00966CDD" w14:paraId="45EA9F40"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FFFFFF" w:themeFill="background1"/>
          </w:tcPr>
          <w:p w14:paraId="5E53550C"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Transmissão formal de propriedade</w:t>
            </w:r>
          </w:p>
        </w:tc>
        <w:tc>
          <w:tcPr>
            <w:tcW w:w="4247" w:type="dxa"/>
            <w:shd w:val="clear" w:color="auto" w:fill="FFFFFF" w:themeFill="background1"/>
          </w:tcPr>
          <w:p w14:paraId="3DF2907D"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Compra</w:t>
            </w:r>
          </w:p>
          <w:p w14:paraId="1D9DF12A"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Custódia</w:t>
            </w:r>
          </w:p>
          <w:p w14:paraId="4F39A55C"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Dação</w:t>
            </w:r>
          </w:p>
          <w:p w14:paraId="718990BD"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Doação</w:t>
            </w:r>
          </w:p>
          <w:p w14:paraId="45828617"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Legado</w:t>
            </w:r>
          </w:p>
          <w:p w14:paraId="3B5EFBB2"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Reintegração</w:t>
            </w:r>
          </w:p>
        </w:tc>
      </w:tr>
      <w:tr w:rsidR="00B125DC" w:rsidRPr="00966CDD" w14:paraId="0029A40C" w14:textId="77777777" w:rsidTr="00F7213F">
        <w:trPr>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FFFFFF" w:themeFill="background1"/>
          </w:tcPr>
          <w:p w14:paraId="54EC2DF2"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Transmissão formal de posse</w:t>
            </w:r>
          </w:p>
        </w:tc>
        <w:tc>
          <w:tcPr>
            <w:tcW w:w="4247" w:type="dxa"/>
            <w:shd w:val="clear" w:color="auto" w:fill="FFFFFF" w:themeFill="background1"/>
          </w:tcPr>
          <w:p w14:paraId="03AB72A3" w14:textId="77777777" w:rsidR="00B125DC" w:rsidRPr="00966CDD"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Comodato</w:t>
            </w:r>
          </w:p>
          <w:p w14:paraId="635982E5" w14:textId="77777777" w:rsidR="00B125DC" w:rsidRPr="00966CDD"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Custódia</w:t>
            </w:r>
          </w:p>
          <w:p w14:paraId="7BFF876B" w14:textId="77777777" w:rsidR="00B125DC" w:rsidRPr="00966CDD"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Empréstimo</w:t>
            </w:r>
          </w:p>
          <w:p w14:paraId="14FB1A38" w14:textId="77777777" w:rsidR="00B125DC" w:rsidRPr="00966CDD" w:rsidRDefault="00B125DC" w:rsidP="001615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Depósito</w:t>
            </w:r>
          </w:p>
        </w:tc>
      </w:tr>
      <w:tr w:rsidR="00B125DC" w:rsidRPr="00966CDD" w14:paraId="2190FABF" w14:textId="77777777" w:rsidTr="00F72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FFFFFF" w:themeFill="background1"/>
          </w:tcPr>
          <w:p w14:paraId="588721B2" w14:textId="77777777" w:rsidR="00B125DC" w:rsidRPr="00966CDD" w:rsidRDefault="00B125DC" w:rsidP="001615CA">
            <w:pPr>
              <w:jc w:val="both"/>
              <w:rPr>
                <w:rFonts w:ascii="Times New Roman" w:hAnsi="Times New Roman" w:cs="Times New Roman"/>
                <w:b w:val="0"/>
                <w:bCs w:val="0"/>
              </w:rPr>
            </w:pPr>
            <w:r w:rsidRPr="00966CDD">
              <w:rPr>
                <w:rFonts w:ascii="Times New Roman" w:hAnsi="Times New Roman" w:cs="Times New Roman"/>
                <w:b w:val="0"/>
                <w:bCs w:val="0"/>
              </w:rPr>
              <w:t>Transmissão oficial de documentos</w:t>
            </w:r>
          </w:p>
        </w:tc>
        <w:tc>
          <w:tcPr>
            <w:tcW w:w="4247" w:type="dxa"/>
            <w:shd w:val="clear" w:color="auto" w:fill="FFFFFF" w:themeFill="background1"/>
          </w:tcPr>
          <w:p w14:paraId="5324927D"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Custódia</w:t>
            </w:r>
          </w:p>
          <w:p w14:paraId="3D14B20F"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Transferência</w:t>
            </w:r>
          </w:p>
          <w:p w14:paraId="5DFFAB76"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t>Recolhimento</w:t>
            </w:r>
          </w:p>
          <w:p w14:paraId="3461A8AE" w14:textId="77777777" w:rsidR="00B125DC" w:rsidRPr="00966CDD" w:rsidRDefault="00B125DC" w:rsidP="00161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6CDD">
              <w:rPr>
                <w:rFonts w:ascii="Times New Roman" w:hAnsi="Times New Roman" w:cs="Times New Roman"/>
              </w:rPr>
              <w:lastRenderedPageBreak/>
              <w:t>Reintegração</w:t>
            </w:r>
          </w:p>
        </w:tc>
      </w:tr>
    </w:tbl>
    <w:bookmarkEnd w:id="29"/>
    <w:p w14:paraId="51F03B91" w14:textId="77777777" w:rsidR="00B125DC" w:rsidRPr="00F7213F" w:rsidRDefault="00B125DC" w:rsidP="00B125DC">
      <w:pPr>
        <w:spacing w:after="0" w:line="360" w:lineRule="auto"/>
        <w:jc w:val="center"/>
        <w:rPr>
          <w:rFonts w:ascii="Times New Roman" w:hAnsi="Times New Roman" w:cs="Times New Roman"/>
          <w:sz w:val="20"/>
          <w:szCs w:val="20"/>
        </w:rPr>
      </w:pPr>
      <w:r w:rsidRPr="00F7213F">
        <w:rPr>
          <w:rFonts w:ascii="Times New Roman" w:hAnsi="Times New Roman" w:cs="Times New Roman"/>
          <w:b/>
          <w:bCs/>
          <w:sz w:val="20"/>
          <w:szCs w:val="20"/>
        </w:rPr>
        <w:lastRenderedPageBreak/>
        <w:t>Fonte</w:t>
      </w:r>
      <w:r w:rsidRPr="00F7213F">
        <w:rPr>
          <w:rFonts w:ascii="Times New Roman" w:hAnsi="Times New Roman" w:cs="Times New Roman"/>
          <w:sz w:val="20"/>
          <w:szCs w:val="20"/>
        </w:rPr>
        <w:t>: Elaboração própria.</w:t>
      </w:r>
    </w:p>
    <w:p w14:paraId="48F28E26" w14:textId="77777777" w:rsidR="00F7213F" w:rsidRDefault="00F7213F" w:rsidP="00B125DC">
      <w:pPr>
        <w:spacing w:after="0" w:line="360" w:lineRule="auto"/>
        <w:ind w:firstLine="720"/>
        <w:jc w:val="both"/>
        <w:rPr>
          <w:rFonts w:ascii="Times New Roman" w:hAnsi="Times New Roman" w:cs="Times New Roman"/>
          <w:sz w:val="24"/>
          <w:szCs w:val="24"/>
        </w:rPr>
      </w:pPr>
      <w:bookmarkStart w:id="30" w:name="_Hlk130117303"/>
    </w:p>
    <w:bookmarkEnd w:id="28"/>
    <w:p w14:paraId="0829FCC6" w14:textId="4B7E5793" w:rsidR="00B125DC" w:rsidRPr="00110C60" w:rsidRDefault="00B125DC" w:rsidP="00B125D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110C60">
        <w:rPr>
          <w:rFonts w:ascii="Times New Roman" w:hAnsi="Times New Roman" w:cs="Times New Roman"/>
          <w:sz w:val="24"/>
          <w:szCs w:val="24"/>
        </w:rPr>
        <w:t>té o momento,</w:t>
      </w:r>
      <w:r>
        <w:rPr>
          <w:rFonts w:ascii="Times New Roman" w:hAnsi="Times New Roman" w:cs="Times New Roman"/>
          <w:sz w:val="24"/>
          <w:szCs w:val="24"/>
        </w:rPr>
        <w:t xml:space="preserve"> conclui-se</w:t>
      </w:r>
      <w:r w:rsidRPr="00110C60">
        <w:rPr>
          <w:rFonts w:ascii="Times New Roman" w:hAnsi="Times New Roman" w:cs="Times New Roman"/>
          <w:sz w:val="24"/>
          <w:szCs w:val="24"/>
        </w:rPr>
        <w:t xml:space="preserve"> que aquisição por mais que denote adição de mais itens documentais ou arquivos em um acervo, ao mesmo tempo, possui significados abrangentes e que são classificados de três maneiras</w:t>
      </w:r>
      <w:r>
        <w:rPr>
          <w:rFonts w:ascii="Times New Roman" w:hAnsi="Times New Roman" w:cs="Times New Roman"/>
          <w:sz w:val="24"/>
          <w:szCs w:val="24"/>
        </w:rPr>
        <w:t xml:space="preserve"> distintas</w:t>
      </w:r>
      <w:r w:rsidRPr="00110C60">
        <w:rPr>
          <w:rFonts w:ascii="Times New Roman" w:hAnsi="Times New Roman" w:cs="Times New Roman"/>
          <w:sz w:val="24"/>
          <w:szCs w:val="24"/>
        </w:rPr>
        <w:t xml:space="preserve">: transmissão formal de propriedade, transmissão formal de posse e transmissão oficial de documentos. Cada uma dessas três classificações reúne métodos aquisitivos que envolvem atividades jurídicas, monetárias e práticas arquivísticas distintas. </w:t>
      </w:r>
    </w:p>
    <w:p w14:paraId="4DD2FC44" w14:textId="6531C094" w:rsidR="00B125DC" w:rsidRPr="002D26D9" w:rsidRDefault="00B125DC" w:rsidP="00B125DC">
      <w:pPr>
        <w:spacing w:after="0" w:line="360" w:lineRule="auto"/>
        <w:jc w:val="both"/>
        <w:rPr>
          <w:rFonts w:ascii="Times New Roman" w:hAnsi="Times New Roman" w:cs="Times New Roman"/>
          <w:sz w:val="24"/>
          <w:szCs w:val="24"/>
        </w:rPr>
      </w:pPr>
      <w:bookmarkStart w:id="31" w:name="_Hlk130117639"/>
      <w:r>
        <w:rPr>
          <w:rFonts w:ascii="Times New Roman" w:hAnsi="Times New Roman" w:cs="Times New Roman"/>
          <w:sz w:val="24"/>
          <w:szCs w:val="24"/>
        </w:rPr>
        <w:tab/>
        <w:t xml:space="preserve">Concretizado o primeiro objetivo desse artigo, segue-se para o segundo. De acordo com </w:t>
      </w:r>
      <w:r w:rsidRPr="002D26D9">
        <w:rPr>
          <w:rFonts w:ascii="Times New Roman" w:hAnsi="Times New Roman" w:cs="Times New Roman"/>
          <w:sz w:val="24"/>
          <w:szCs w:val="24"/>
        </w:rPr>
        <w:t>Schmidt (2015), a Arquivologia Clássica se inicia com a Revolução Francesa e dura até o pós-Segunda Guerra Mundial (1939-1945) (S</w:t>
      </w:r>
      <w:r w:rsidR="00F7213F" w:rsidRPr="002D26D9">
        <w:rPr>
          <w:rFonts w:ascii="Times New Roman" w:hAnsi="Times New Roman" w:cs="Times New Roman"/>
          <w:sz w:val="24"/>
          <w:szCs w:val="24"/>
        </w:rPr>
        <w:t>chmidt</w:t>
      </w:r>
      <w:r w:rsidRPr="002D26D9">
        <w:rPr>
          <w:rFonts w:ascii="Times New Roman" w:hAnsi="Times New Roman" w:cs="Times New Roman"/>
          <w:sz w:val="24"/>
          <w:szCs w:val="24"/>
        </w:rPr>
        <w:t>, 2015, p. 87-88). Durante esse período</w:t>
      </w:r>
      <w:r>
        <w:rPr>
          <w:rFonts w:ascii="Times New Roman" w:hAnsi="Times New Roman" w:cs="Times New Roman"/>
          <w:sz w:val="24"/>
          <w:szCs w:val="24"/>
        </w:rPr>
        <w:t>,</w:t>
      </w:r>
      <w:r w:rsidRPr="002D26D9">
        <w:rPr>
          <w:rFonts w:ascii="Times New Roman" w:hAnsi="Times New Roman" w:cs="Times New Roman"/>
          <w:sz w:val="24"/>
          <w:szCs w:val="24"/>
        </w:rPr>
        <w:t xml:space="preserve"> foram publicadas as primeiras obras </w:t>
      </w:r>
      <w:r>
        <w:rPr>
          <w:rFonts w:ascii="Times New Roman" w:hAnsi="Times New Roman" w:cs="Times New Roman"/>
          <w:sz w:val="24"/>
          <w:szCs w:val="24"/>
        </w:rPr>
        <w:t>a</w:t>
      </w:r>
      <w:r w:rsidRPr="002D26D9">
        <w:rPr>
          <w:rFonts w:ascii="Times New Roman" w:hAnsi="Times New Roman" w:cs="Times New Roman"/>
          <w:sz w:val="24"/>
          <w:szCs w:val="24"/>
        </w:rPr>
        <w:t xml:space="preserve">rquivísticas que são reconhecidas como as fundadoras da área. Foram selecionadas cinco obras, sendo três nacionais e duas internacionais, com a proposta de compreender como a aquisição era entendida e praticada por seus autores. </w:t>
      </w:r>
      <w:bookmarkEnd w:id="31"/>
    </w:p>
    <w:p w14:paraId="3224895B" w14:textId="1B4F591C" w:rsidR="00B125DC" w:rsidRPr="00B125DC" w:rsidRDefault="00B125DC" w:rsidP="00B125DC">
      <w:pPr>
        <w:spacing w:after="0" w:line="360" w:lineRule="auto"/>
        <w:ind w:firstLine="720"/>
        <w:jc w:val="both"/>
        <w:rPr>
          <w:rFonts w:ascii="Times New Roman" w:hAnsi="Times New Roman" w:cs="Times New Roman"/>
          <w:sz w:val="24"/>
          <w:szCs w:val="24"/>
        </w:rPr>
      </w:pPr>
      <w:bookmarkStart w:id="32" w:name="_Hlk130117652"/>
      <w:r w:rsidRPr="002D26D9">
        <w:rPr>
          <w:rFonts w:ascii="Times New Roman" w:hAnsi="Times New Roman" w:cs="Times New Roman"/>
          <w:sz w:val="24"/>
          <w:szCs w:val="24"/>
        </w:rPr>
        <w:t xml:space="preserve">A primeira obra selecionada foi o </w:t>
      </w:r>
      <w:r w:rsidRPr="007C52E6">
        <w:rPr>
          <w:rFonts w:ascii="Times New Roman" w:hAnsi="Times New Roman" w:cs="Times New Roman"/>
          <w:i/>
          <w:iCs/>
          <w:sz w:val="24"/>
          <w:szCs w:val="24"/>
        </w:rPr>
        <w:t>Manual de arranjo e descrição de arquivos</w:t>
      </w:r>
      <w:r w:rsidRPr="00B125DC">
        <w:rPr>
          <w:rFonts w:ascii="Times New Roman" w:hAnsi="Times New Roman" w:cs="Times New Roman"/>
          <w:sz w:val="24"/>
          <w:szCs w:val="24"/>
        </w:rPr>
        <w:t xml:space="preserve"> (1973), publicação inaugural da Arquivologia, escrita pelo trio holandês Samuel Muller, Robert Fruin e Johan Feith. Este manual consiste em 100 regras para a prática arquivística. Dessas 100 regras, foram selecionadas algumas que denotam atividades que hoje entendemos como aquisição. As regras são as seguintes: 4, 5, 7, 11, 12, 13 e 14, pertencentes ao capítulo I; 36, pertencente ao capítulo II e 66, pertencente ao capítulo IV. Foram destacados os seguintes termos identificados nessas regras: transferidos, doação, compra, reintegrar e recolhidas. Todos esses termos são atualmente compreendidos como métodos aquisitivos, contudo, na época da publicação do manual, não eram entendidos com o significado de aquisição. As regras 4 e 36 apresentam aquisição como um termo oposto à doação e a compra respectivamente. O termo transferido, citado nas regras 7, 13, 14 e 66, significou aumento de arquivos ou documentos de arquivo em um acervo, mas não está relacionado com aquisição. A regra 5 apresentou o termo reunir com a </w:t>
      </w:r>
      <w:r w:rsidR="00F7213F" w:rsidRPr="00B125DC">
        <w:rPr>
          <w:rFonts w:ascii="Times New Roman" w:hAnsi="Times New Roman" w:cs="Times New Roman"/>
          <w:sz w:val="24"/>
          <w:szCs w:val="24"/>
        </w:rPr>
        <w:t>proposta</w:t>
      </w:r>
      <w:r w:rsidRPr="00B125DC">
        <w:rPr>
          <w:rFonts w:ascii="Times New Roman" w:hAnsi="Times New Roman" w:cs="Times New Roman"/>
          <w:sz w:val="24"/>
          <w:szCs w:val="24"/>
        </w:rPr>
        <w:t xml:space="preserve"> de explicar que um órgão administrativo do arquivo central tem como função reunir os documentos produzidos por ele, mas também não indicou compreender como uma aquisição. Já a regra 11 trouxe o termo reintegrar com o sentido de reorganizar os arquivos desmembrados, sem também se referir à aquisição. Para finalizar, a regra 12 indicou o termo recolhidas para indicar que os documentos de arquivo estão sob a custódia de algum órgão administrativo, assim como os demais exemplos sem atribuir à aquisição esta função. </w:t>
      </w:r>
    </w:p>
    <w:p w14:paraId="3EB63AEE" w14:textId="77777777" w:rsidR="00B125DC" w:rsidRPr="002D26D9" w:rsidRDefault="00B125DC" w:rsidP="00B125DC">
      <w:pPr>
        <w:spacing w:after="0" w:line="360" w:lineRule="auto"/>
        <w:ind w:firstLine="720"/>
        <w:jc w:val="both"/>
        <w:rPr>
          <w:rFonts w:ascii="Times New Roman" w:hAnsi="Times New Roman" w:cs="Times New Roman"/>
          <w:sz w:val="24"/>
          <w:szCs w:val="24"/>
        </w:rPr>
      </w:pPr>
      <w:bookmarkStart w:id="33" w:name="_Hlk130117665"/>
      <w:bookmarkEnd w:id="32"/>
      <w:r w:rsidRPr="001F55DE">
        <w:rPr>
          <w:rFonts w:ascii="Times New Roman" w:hAnsi="Times New Roman" w:cs="Times New Roman"/>
          <w:sz w:val="24"/>
          <w:szCs w:val="24"/>
        </w:rPr>
        <w:lastRenderedPageBreak/>
        <w:t xml:space="preserve">Sendo assim, por mais que seja possível identificar no </w:t>
      </w:r>
      <w:r w:rsidRPr="007C52E6">
        <w:rPr>
          <w:rFonts w:ascii="Times New Roman" w:hAnsi="Times New Roman" w:cs="Times New Roman"/>
          <w:i/>
          <w:iCs/>
          <w:sz w:val="24"/>
          <w:szCs w:val="24"/>
        </w:rPr>
        <w:t>Manual de arranjo e descrição de arquivos</w:t>
      </w:r>
      <w:r>
        <w:rPr>
          <w:rFonts w:ascii="Times New Roman" w:hAnsi="Times New Roman" w:cs="Times New Roman"/>
          <w:i/>
          <w:iCs/>
          <w:sz w:val="24"/>
          <w:szCs w:val="24"/>
        </w:rPr>
        <w:t xml:space="preserve"> </w:t>
      </w:r>
      <w:r w:rsidRPr="001F55DE">
        <w:rPr>
          <w:rFonts w:ascii="Times New Roman" w:hAnsi="Times New Roman" w:cs="Times New Roman"/>
          <w:sz w:val="24"/>
          <w:szCs w:val="24"/>
        </w:rPr>
        <w:t>(1973),</w:t>
      </w:r>
      <w:r w:rsidRPr="002D26D9">
        <w:rPr>
          <w:rFonts w:ascii="Times New Roman" w:hAnsi="Times New Roman" w:cs="Times New Roman"/>
          <w:sz w:val="24"/>
          <w:szCs w:val="24"/>
        </w:rPr>
        <w:t xml:space="preserve"> a existência de atividades de transferência, recolhimento, doação, compra e reintegração que lembre os significados de aquisição, não </w:t>
      </w:r>
      <w:r>
        <w:rPr>
          <w:rFonts w:ascii="Times New Roman" w:hAnsi="Times New Roman" w:cs="Times New Roman"/>
          <w:sz w:val="24"/>
          <w:szCs w:val="24"/>
        </w:rPr>
        <w:t>podemos</w:t>
      </w:r>
      <w:r w:rsidRPr="002D26D9">
        <w:rPr>
          <w:rFonts w:ascii="Times New Roman" w:hAnsi="Times New Roman" w:cs="Times New Roman"/>
          <w:sz w:val="24"/>
          <w:szCs w:val="24"/>
        </w:rPr>
        <w:t xml:space="preserve"> afirmar que tinham o mesmo propósito do termo em pauta nos dias de hoje.</w:t>
      </w:r>
      <w:r>
        <w:rPr>
          <w:rFonts w:ascii="Times New Roman" w:hAnsi="Times New Roman" w:cs="Times New Roman"/>
          <w:sz w:val="24"/>
          <w:szCs w:val="24"/>
        </w:rPr>
        <w:t xml:space="preserve"> </w:t>
      </w:r>
    </w:p>
    <w:p w14:paraId="6FFF9240" w14:textId="5BA6350C" w:rsidR="00B125DC" w:rsidRPr="00B125DC" w:rsidRDefault="00B125DC" w:rsidP="002C0500">
      <w:pPr>
        <w:spacing w:after="0" w:line="360" w:lineRule="auto"/>
        <w:ind w:firstLine="720"/>
        <w:jc w:val="both"/>
        <w:rPr>
          <w:rFonts w:ascii="Times New Roman" w:hAnsi="Times New Roman" w:cs="Times New Roman"/>
          <w:sz w:val="24"/>
          <w:szCs w:val="24"/>
        </w:rPr>
      </w:pPr>
      <w:bookmarkStart w:id="34" w:name="_Hlk130117676"/>
      <w:bookmarkEnd w:id="33"/>
      <w:r w:rsidRPr="00B125DC">
        <w:rPr>
          <w:rFonts w:ascii="Times New Roman" w:hAnsi="Times New Roman" w:cs="Times New Roman"/>
          <w:sz w:val="24"/>
          <w:szCs w:val="24"/>
        </w:rPr>
        <w:t>As demais obras escolhidas para representar o período clássico da Arquivologia são as seguintes</w:t>
      </w:r>
      <w:r w:rsidRPr="00B125DC">
        <w:rPr>
          <w:rFonts w:ascii="Times New Roman" w:hAnsi="Times New Roman" w:cs="Times New Roman"/>
          <w:i/>
          <w:iCs/>
          <w:sz w:val="24"/>
          <w:szCs w:val="24"/>
        </w:rPr>
        <w:t xml:space="preserve">: </w:t>
      </w:r>
      <w:r w:rsidRPr="007C52E6">
        <w:rPr>
          <w:rFonts w:ascii="Times New Roman" w:hAnsi="Times New Roman" w:cs="Times New Roman"/>
          <w:i/>
          <w:iCs/>
          <w:sz w:val="24"/>
          <w:szCs w:val="24"/>
        </w:rPr>
        <w:t>Manual de classificação e archivamento de papéis e documentos commerciaes e civis</w:t>
      </w:r>
      <w:r w:rsidRPr="002D26D9">
        <w:rPr>
          <w:rFonts w:ascii="Times New Roman" w:hAnsi="Times New Roman" w:cs="Times New Roman"/>
          <w:sz w:val="24"/>
          <w:szCs w:val="24"/>
        </w:rPr>
        <w:t xml:space="preserve"> (C</w:t>
      </w:r>
      <w:r w:rsidR="00F7213F" w:rsidRPr="002D26D9">
        <w:rPr>
          <w:rFonts w:ascii="Times New Roman" w:hAnsi="Times New Roman" w:cs="Times New Roman"/>
          <w:sz w:val="24"/>
          <w:szCs w:val="24"/>
        </w:rPr>
        <w:t>arvalho</w:t>
      </w:r>
      <w:r w:rsidRPr="002D26D9">
        <w:rPr>
          <w:rFonts w:ascii="Times New Roman" w:hAnsi="Times New Roman" w:cs="Times New Roman"/>
          <w:sz w:val="24"/>
          <w:szCs w:val="24"/>
        </w:rPr>
        <w:t xml:space="preserve">, 1931); </w:t>
      </w:r>
      <w:r w:rsidRPr="00B125DC">
        <w:rPr>
          <w:rFonts w:ascii="Times New Roman" w:hAnsi="Times New Roman" w:cs="Times New Roman"/>
          <w:i/>
          <w:iCs/>
          <w:sz w:val="24"/>
          <w:szCs w:val="24"/>
        </w:rPr>
        <w:t>A Manual of Archive Administration</w:t>
      </w:r>
      <w:r w:rsidRPr="00B125DC">
        <w:rPr>
          <w:rFonts w:ascii="Times New Roman" w:hAnsi="Times New Roman" w:cs="Times New Roman"/>
          <w:sz w:val="24"/>
          <w:szCs w:val="24"/>
        </w:rPr>
        <w:t xml:space="preserve"> (</w:t>
      </w:r>
      <w:r w:rsidRPr="002D26D9">
        <w:rPr>
          <w:rFonts w:ascii="Times New Roman" w:hAnsi="Times New Roman" w:cs="Times New Roman"/>
          <w:sz w:val="24"/>
          <w:szCs w:val="24"/>
        </w:rPr>
        <w:t>J</w:t>
      </w:r>
      <w:r w:rsidR="00F7213F" w:rsidRPr="002D26D9">
        <w:rPr>
          <w:rFonts w:ascii="Times New Roman" w:hAnsi="Times New Roman" w:cs="Times New Roman"/>
          <w:sz w:val="24"/>
          <w:szCs w:val="24"/>
        </w:rPr>
        <w:t>enkinson</w:t>
      </w:r>
      <w:r w:rsidRPr="002D26D9">
        <w:rPr>
          <w:rFonts w:ascii="Times New Roman" w:hAnsi="Times New Roman" w:cs="Times New Roman"/>
          <w:sz w:val="24"/>
          <w:szCs w:val="24"/>
        </w:rPr>
        <w:t>,</w:t>
      </w:r>
      <w:r w:rsidRPr="00B125DC">
        <w:rPr>
          <w:rFonts w:ascii="Times New Roman" w:hAnsi="Times New Roman" w:cs="Times New Roman"/>
          <w:sz w:val="24"/>
          <w:szCs w:val="24"/>
        </w:rPr>
        <w:t xml:space="preserve"> 1937); </w:t>
      </w:r>
      <w:r w:rsidRPr="007C52E6">
        <w:rPr>
          <w:rFonts w:ascii="Times New Roman" w:hAnsi="Times New Roman" w:cs="Times New Roman"/>
          <w:i/>
          <w:iCs/>
          <w:sz w:val="24"/>
          <w:szCs w:val="24"/>
        </w:rPr>
        <w:t>Arquivar e achar</w:t>
      </w:r>
      <w:r w:rsidRPr="002D26D9">
        <w:rPr>
          <w:rFonts w:ascii="Times New Roman" w:hAnsi="Times New Roman" w:cs="Times New Roman"/>
          <w:sz w:val="24"/>
          <w:szCs w:val="24"/>
        </w:rPr>
        <w:t xml:space="preserve"> (W</w:t>
      </w:r>
      <w:r w:rsidR="00F7213F" w:rsidRPr="002D26D9">
        <w:rPr>
          <w:rFonts w:ascii="Times New Roman" w:hAnsi="Times New Roman" w:cs="Times New Roman"/>
          <w:sz w:val="24"/>
          <w:szCs w:val="24"/>
        </w:rPr>
        <w:t>hite</w:t>
      </w:r>
      <w:r w:rsidRPr="002D26D9">
        <w:rPr>
          <w:rFonts w:ascii="Times New Roman" w:hAnsi="Times New Roman" w:cs="Times New Roman"/>
          <w:sz w:val="24"/>
          <w:szCs w:val="24"/>
        </w:rPr>
        <w:t xml:space="preserve">, 1941) e; </w:t>
      </w:r>
      <w:r w:rsidRPr="007C52E6">
        <w:rPr>
          <w:rFonts w:ascii="Times New Roman" w:hAnsi="Times New Roman" w:cs="Times New Roman"/>
          <w:i/>
          <w:iCs/>
          <w:sz w:val="24"/>
          <w:szCs w:val="24"/>
        </w:rPr>
        <w:t>Vade-Mecum do arquivista</w:t>
      </w:r>
      <w:r w:rsidRPr="002D26D9">
        <w:rPr>
          <w:rFonts w:ascii="Times New Roman" w:hAnsi="Times New Roman" w:cs="Times New Roman"/>
          <w:sz w:val="24"/>
          <w:szCs w:val="24"/>
        </w:rPr>
        <w:t xml:space="preserve"> (T</w:t>
      </w:r>
      <w:r w:rsidR="00F7213F" w:rsidRPr="002D26D9">
        <w:rPr>
          <w:rFonts w:ascii="Times New Roman" w:hAnsi="Times New Roman" w:cs="Times New Roman"/>
          <w:sz w:val="24"/>
          <w:szCs w:val="24"/>
        </w:rPr>
        <w:t>orres</w:t>
      </w:r>
      <w:r w:rsidRPr="002D26D9">
        <w:rPr>
          <w:rFonts w:ascii="Times New Roman" w:hAnsi="Times New Roman" w:cs="Times New Roman"/>
          <w:sz w:val="24"/>
          <w:szCs w:val="24"/>
        </w:rPr>
        <w:t xml:space="preserve">, 1944). Com exceção do </w:t>
      </w:r>
      <w:r w:rsidRPr="00B125DC">
        <w:rPr>
          <w:rFonts w:ascii="Times New Roman" w:hAnsi="Times New Roman" w:cs="Times New Roman"/>
          <w:i/>
          <w:iCs/>
          <w:sz w:val="24"/>
          <w:szCs w:val="24"/>
        </w:rPr>
        <w:t>A Manual of Archive Administration</w:t>
      </w:r>
      <w:r w:rsidRPr="00B125DC">
        <w:rPr>
          <w:rFonts w:ascii="Times New Roman" w:hAnsi="Times New Roman" w:cs="Times New Roman"/>
          <w:sz w:val="24"/>
          <w:szCs w:val="24"/>
        </w:rPr>
        <w:t xml:space="preserve">, as demais são publicadas no Brasil. </w:t>
      </w:r>
    </w:p>
    <w:p w14:paraId="3A9AA0A1" w14:textId="0A572C1A" w:rsidR="00B125DC" w:rsidRPr="00B125DC" w:rsidRDefault="00B125DC" w:rsidP="002C0500">
      <w:pPr>
        <w:spacing w:after="0" w:line="360" w:lineRule="auto"/>
        <w:ind w:firstLine="720"/>
        <w:jc w:val="both"/>
        <w:rPr>
          <w:rFonts w:ascii="Times New Roman" w:hAnsi="Times New Roman" w:cs="Times New Roman"/>
          <w:sz w:val="24"/>
          <w:szCs w:val="24"/>
        </w:rPr>
      </w:pPr>
      <w:r w:rsidRPr="001F55DE">
        <w:rPr>
          <w:rFonts w:ascii="Times New Roman" w:hAnsi="Times New Roman" w:cs="Times New Roman"/>
          <w:sz w:val="24"/>
          <w:szCs w:val="24"/>
        </w:rPr>
        <w:t>As publicações nacionais possuem em comum um capítulo dedicado à transferência de documentos de arquivos, enquanto a internacional possui um capítulo sobre transmissão dos arquivos</w:t>
      </w:r>
      <w:r>
        <w:rPr>
          <w:rStyle w:val="Refdenotaderodap"/>
          <w:rFonts w:ascii="Times New Roman" w:hAnsi="Times New Roman" w:cs="Times New Roman"/>
          <w:sz w:val="24"/>
          <w:szCs w:val="24"/>
          <w:lang w:val="en-US"/>
        </w:rPr>
        <w:footnoteReference w:id="9"/>
      </w:r>
      <w:r w:rsidRPr="001F55DE">
        <w:rPr>
          <w:rFonts w:ascii="Times New Roman" w:hAnsi="Times New Roman" w:cs="Times New Roman"/>
          <w:sz w:val="24"/>
          <w:szCs w:val="24"/>
        </w:rPr>
        <w:t xml:space="preserve">. Apesar da diferença na nomenclatura utilizada para nomear os capítulos dedicados à ação de movimentar documentos de arquivos dentro do mesmo órgão ou para explicar as </w:t>
      </w:r>
      <w:r w:rsidR="00F7213F" w:rsidRPr="001F55DE">
        <w:rPr>
          <w:rFonts w:ascii="Times New Roman" w:hAnsi="Times New Roman" w:cs="Times New Roman"/>
          <w:sz w:val="24"/>
          <w:szCs w:val="24"/>
        </w:rPr>
        <w:t>consequências</w:t>
      </w:r>
      <w:r w:rsidRPr="001F55DE">
        <w:rPr>
          <w:rFonts w:ascii="Times New Roman" w:hAnsi="Times New Roman" w:cs="Times New Roman"/>
          <w:sz w:val="24"/>
          <w:szCs w:val="24"/>
        </w:rPr>
        <w:t xml:space="preserve"> ocorridas com alteração de funções do organismo, todos indicam aumento de itens documentais ou arquivos em um acervo. Apesar disso, a preocupação dos autores não era com a aquisição, o que existia era uma atenção com as práticas arquivísticas, com o melhoramento do trabalho arquivístico, especificamente com o controle físico e intelectual, como a classificação e custódia </w:t>
      </w:r>
      <w:r w:rsidR="00F7213F" w:rsidRPr="001F55DE">
        <w:rPr>
          <w:rFonts w:ascii="Times New Roman" w:hAnsi="Times New Roman" w:cs="Times New Roman"/>
          <w:sz w:val="24"/>
          <w:szCs w:val="24"/>
        </w:rPr>
        <w:t>arquivística</w:t>
      </w:r>
      <w:r w:rsidRPr="001F55DE">
        <w:rPr>
          <w:rFonts w:ascii="Times New Roman" w:hAnsi="Times New Roman" w:cs="Times New Roman"/>
          <w:sz w:val="24"/>
          <w:szCs w:val="24"/>
        </w:rPr>
        <w:t xml:space="preserve">. </w:t>
      </w:r>
      <w:r w:rsidRPr="00B125DC">
        <w:rPr>
          <w:rFonts w:ascii="Times New Roman" w:hAnsi="Times New Roman" w:cs="Times New Roman"/>
          <w:sz w:val="24"/>
          <w:szCs w:val="24"/>
        </w:rPr>
        <w:t xml:space="preserve">Em relação aos manuais brasileiros, como a transmissão de arquivos não era compreendida como aquisição, essa atividade não fazia parte do escopo do trabalho desses autores. Do mesmo modo, o manual de Jenkinson, o capítulo que trata sobre transmissão dos arquivos tinha o compromisso em delimitar os documentos que pertenciam ao arquivo de acordo com a custódia arquivística. Conclui-se que não existia a </w:t>
      </w:r>
      <w:r w:rsidR="00F7213F" w:rsidRPr="00B125DC">
        <w:rPr>
          <w:rFonts w:ascii="Times New Roman" w:hAnsi="Times New Roman" w:cs="Times New Roman"/>
          <w:sz w:val="24"/>
          <w:szCs w:val="24"/>
        </w:rPr>
        <w:t>compreensão</w:t>
      </w:r>
      <w:r w:rsidRPr="00B125DC">
        <w:rPr>
          <w:rFonts w:ascii="Times New Roman" w:hAnsi="Times New Roman" w:cs="Times New Roman"/>
          <w:sz w:val="24"/>
          <w:szCs w:val="24"/>
        </w:rPr>
        <w:t xml:space="preserve"> da aquisição como atualmente. </w:t>
      </w:r>
    </w:p>
    <w:p w14:paraId="5911123C" w14:textId="61EDD29D" w:rsidR="00B125DC" w:rsidRPr="001F55DE" w:rsidRDefault="00B125DC" w:rsidP="002C0500">
      <w:pPr>
        <w:spacing w:after="0" w:line="360" w:lineRule="auto"/>
        <w:ind w:firstLine="720"/>
        <w:jc w:val="both"/>
        <w:rPr>
          <w:rFonts w:ascii="Times New Roman" w:hAnsi="Times New Roman" w:cs="Times New Roman"/>
          <w:sz w:val="24"/>
          <w:szCs w:val="24"/>
        </w:rPr>
      </w:pPr>
      <w:bookmarkStart w:id="35" w:name="_Hlk130117689"/>
      <w:bookmarkEnd w:id="34"/>
      <w:r w:rsidRPr="001F55DE">
        <w:rPr>
          <w:rFonts w:ascii="Times New Roman" w:hAnsi="Times New Roman" w:cs="Times New Roman"/>
          <w:sz w:val="24"/>
          <w:szCs w:val="24"/>
        </w:rPr>
        <w:t xml:space="preserve">A apresentação das publicações do </w:t>
      </w:r>
      <w:r w:rsidR="00F7213F" w:rsidRPr="001F55DE">
        <w:rPr>
          <w:rFonts w:ascii="Times New Roman" w:hAnsi="Times New Roman" w:cs="Times New Roman"/>
          <w:sz w:val="24"/>
          <w:szCs w:val="24"/>
        </w:rPr>
        <w:t>período</w:t>
      </w:r>
      <w:r w:rsidRPr="001F55DE">
        <w:rPr>
          <w:rFonts w:ascii="Times New Roman" w:hAnsi="Times New Roman" w:cs="Times New Roman"/>
          <w:sz w:val="24"/>
          <w:szCs w:val="24"/>
        </w:rPr>
        <w:t xml:space="preserve"> clássico evidenciou que, por mais que já existisse a presença do termo aquisição ou dos seus significados, eles não eram compreendidos como na atualidade. Além disso, observamos que não existia o entendimento que a aquisição seria o termo centralizador dos métodos aquisitivos. É importante mencionar, também, que durante o </w:t>
      </w:r>
      <w:r w:rsidR="00F7213F" w:rsidRPr="001F55DE">
        <w:rPr>
          <w:rFonts w:ascii="Times New Roman" w:hAnsi="Times New Roman" w:cs="Times New Roman"/>
          <w:sz w:val="24"/>
          <w:szCs w:val="24"/>
        </w:rPr>
        <w:t>período</w:t>
      </w:r>
      <w:r w:rsidRPr="001F55DE">
        <w:rPr>
          <w:rFonts w:ascii="Times New Roman" w:hAnsi="Times New Roman" w:cs="Times New Roman"/>
          <w:sz w:val="24"/>
          <w:szCs w:val="24"/>
        </w:rPr>
        <w:t xml:space="preserve"> clássico, os arquivos pessoais não era entendidos como arquivos e, por conta disso, as propostas dos manuais priorizavam práticas relacionadas aos arquivos governamentais. Por mais que existisse uma tentativa de controlar o que entrava nos arquivos </w:t>
      </w:r>
      <w:r w:rsidRPr="001F55DE">
        <w:rPr>
          <w:rFonts w:ascii="Times New Roman" w:hAnsi="Times New Roman" w:cs="Times New Roman"/>
          <w:sz w:val="24"/>
          <w:szCs w:val="24"/>
        </w:rPr>
        <w:lastRenderedPageBreak/>
        <w:t xml:space="preserve">como acervo, muitas vezes </w:t>
      </w:r>
      <w:r w:rsidR="00F7213F" w:rsidRPr="001F55DE">
        <w:rPr>
          <w:rFonts w:ascii="Times New Roman" w:hAnsi="Times New Roman" w:cs="Times New Roman"/>
          <w:sz w:val="24"/>
          <w:szCs w:val="24"/>
        </w:rPr>
        <w:t>influenciada</w:t>
      </w:r>
      <w:r w:rsidRPr="001F55DE">
        <w:rPr>
          <w:rFonts w:ascii="Times New Roman" w:hAnsi="Times New Roman" w:cs="Times New Roman"/>
          <w:sz w:val="24"/>
          <w:szCs w:val="24"/>
        </w:rPr>
        <w:t xml:space="preserve"> pela definição de custódia arquivística, foi observado o uso de termos como doação, compra ou aquisição de itens documentais ou arquivos para explicar novas entradas. Isso quer dizer que, por mais que esses manuais apenas considerassem como arquivos os privados ou governamentais. e que a aquisição não tivesse o mesmo sentido da atualidade, práticas de compra ou doação de conjuntos documentais eram realizadas.</w:t>
      </w:r>
    </w:p>
    <w:p w14:paraId="7EF56827" w14:textId="1B976DB3" w:rsidR="00B125DC" w:rsidRPr="00B125DC" w:rsidRDefault="00B125DC" w:rsidP="002C0500">
      <w:pPr>
        <w:spacing w:after="0" w:line="360" w:lineRule="auto"/>
        <w:ind w:firstLine="720"/>
        <w:jc w:val="both"/>
        <w:rPr>
          <w:rFonts w:ascii="Times New Roman" w:hAnsi="Times New Roman" w:cs="Times New Roman"/>
          <w:sz w:val="24"/>
          <w:szCs w:val="24"/>
        </w:rPr>
      </w:pPr>
      <w:bookmarkStart w:id="36" w:name="_Hlk130117742"/>
      <w:bookmarkEnd w:id="35"/>
      <w:r w:rsidRPr="004835EA">
        <w:rPr>
          <w:rFonts w:ascii="Times New Roman" w:hAnsi="Times New Roman" w:cs="Times New Roman"/>
          <w:sz w:val="24"/>
          <w:szCs w:val="24"/>
        </w:rPr>
        <w:t>O</w:t>
      </w:r>
      <w:r>
        <w:rPr>
          <w:rFonts w:ascii="Times New Roman" w:hAnsi="Times New Roman" w:cs="Times New Roman"/>
          <w:sz w:val="24"/>
          <w:szCs w:val="24"/>
        </w:rPr>
        <w:t xml:space="preserve"> próximo</w:t>
      </w:r>
      <w:r w:rsidRPr="004835EA">
        <w:rPr>
          <w:rFonts w:ascii="Times New Roman" w:hAnsi="Times New Roman" w:cs="Times New Roman"/>
          <w:sz w:val="24"/>
          <w:szCs w:val="24"/>
        </w:rPr>
        <w:t xml:space="preserve"> período</w:t>
      </w:r>
      <w:r>
        <w:rPr>
          <w:rFonts w:ascii="Times New Roman" w:hAnsi="Times New Roman" w:cs="Times New Roman"/>
          <w:sz w:val="24"/>
          <w:szCs w:val="24"/>
        </w:rPr>
        <w:t xml:space="preserve"> é o</w:t>
      </w:r>
      <w:r w:rsidRPr="004835EA">
        <w:rPr>
          <w:rFonts w:ascii="Times New Roman" w:hAnsi="Times New Roman" w:cs="Times New Roman"/>
          <w:sz w:val="24"/>
          <w:szCs w:val="24"/>
        </w:rPr>
        <w:t xml:space="preserve"> Moderno da Arquivologia</w:t>
      </w:r>
      <w:r>
        <w:rPr>
          <w:rFonts w:ascii="Times New Roman" w:hAnsi="Times New Roman" w:cs="Times New Roman"/>
          <w:sz w:val="24"/>
          <w:szCs w:val="24"/>
        </w:rPr>
        <w:t>, que</w:t>
      </w:r>
      <w:r w:rsidRPr="004835EA">
        <w:rPr>
          <w:rFonts w:ascii="Times New Roman" w:hAnsi="Times New Roman" w:cs="Times New Roman"/>
          <w:sz w:val="24"/>
          <w:szCs w:val="24"/>
        </w:rPr>
        <w:t xml:space="preserve"> iniciou logo após a Segunda Guerra Mundial (1939-1945) e se estendeu até o final da década de 1980 (S</w:t>
      </w:r>
      <w:r w:rsidR="00F7213F" w:rsidRPr="004835EA">
        <w:rPr>
          <w:rFonts w:ascii="Times New Roman" w:hAnsi="Times New Roman" w:cs="Times New Roman"/>
          <w:sz w:val="24"/>
          <w:szCs w:val="24"/>
        </w:rPr>
        <w:t>chmidt</w:t>
      </w:r>
      <w:r w:rsidRPr="004835EA">
        <w:rPr>
          <w:rFonts w:ascii="Times New Roman" w:hAnsi="Times New Roman" w:cs="Times New Roman"/>
          <w:sz w:val="24"/>
          <w:szCs w:val="24"/>
        </w:rPr>
        <w:t>, 2015, p. 88). Com o intuito de compreender a aquisição nesse período</w:t>
      </w:r>
      <w:r>
        <w:rPr>
          <w:rFonts w:ascii="Times New Roman" w:hAnsi="Times New Roman" w:cs="Times New Roman"/>
          <w:sz w:val="24"/>
          <w:szCs w:val="24"/>
        </w:rPr>
        <w:t>,</w:t>
      </w:r>
      <w:r w:rsidRPr="004835EA">
        <w:rPr>
          <w:rFonts w:ascii="Times New Roman" w:hAnsi="Times New Roman" w:cs="Times New Roman"/>
          <w:sz w:val="24"/>
          <w:szCs w:val="24"/>
        </w:rPr>
        <w:t xml:space="preserve"> </w:t>
      </w:r>
      <w:r>
        <w:rPr>
          <w:rFonts w:ascii="Times New Roman" w:hAnsi="Times New Roman" w:cs="Times New Roman"/>
          <w:sz w:val="24"/>
          <w:szCs w:val="24"/>
        </w:rPr>
        <w:t>selecionamos</w:t>
      </w:r>
      <w:r w:rsidRPr="004835EA">
        <w:rPr>
          <w:rFonts w:ascii="Times New Roman" w:hAnsi="Times New Roman" w:cs="Times New Roman"/>
          <w:sz w:val="24"/>
          <w:szCs w:val="24"/>
        </w:rPr>
        <w:t xml:space="preserve"> o manual: </w:t>
      </w:r>
      <w:r w:rsidRPr="00B125DC">
        <w:rPr>
          <w:rFonts w:ascii="Times New Roman" w:hAnsi="Times New Roman" w:cs="Times New Roman"/>
          <w:i/>
          <w:iCs/>
          <w:sz w:val="24"/>
          <w:szCs w:val="24"/>
        </w:rPr>
        <w:t xml:space="preserve">Arquivos modernos: princípios e técnicas </w:t>
      </w:r>
      <w:r w:rsidRPr="00B125DC">
        <w:rPr>
          <w:rFonts w:ascii="Times New Roman" w:hAnsi="Times New Roman" w:cs="Times New Roman"/>
          <w:sz w:val="24"/>
          <w:szCs w:val="24"/>
        </w:rPr>
        <w:t>(S</w:t>
      </w:r>
      <w:r w:rsidR="00F7213F" w:rsidRPr="00B125DC">
        <w:rPr>
          <w:rFonts w:ascii="Times New Roman" w:hAnsi="Times New Roman" w:cs="Times New Roman"/>
          <w:sz w:val="24"/>
          <w:szCs w:val="24"/>
        </w:rPr>
        <w:t>chellenberg</w:t>
      </w:r>
      <w:r w:rsidRPr="00B125DC">
        <w:rPr>
          <w:rFonts w:ascii="Times New Roman" w:hAnsi="Times New Roman" w:cs="Times New Roman"/>
          <w:sz w:val="24"/>
          <w:szCs w:val="24"/>
        </w:rPr>
        <w:t xml:space="preserve">, 2006). </w:t>
      </w:r>
    </w:p>
    <w:p w14:paraId="27A990A3" w14:textId="77777777" w:rsidR="00B125DC" w:rsidRPr="00B125DC" w:rsidRDefault="00B125DC" w:rsidP="002C0500">
      <w:pPr>
        <w:spacing w:after="0" w:line="360" w:lineRule="auto"/>
        <w:ind w:firstLine="720"/>
        <w:jc w:val="both"/>
        <w:rPr>
          <w:rFonts w:ascii="Times New Roman" w:hAnsi="Times New Roman" w:cs="Times New Roman"/>
          <w:sz w:val="24"/>
          <w:szCs w:val="24"/>
        </w:rPr>
      </w:pPr>
      <w:bookmarkStart w:id="37" w:name="_Hlk130117752"/>
      <w:bookmarkEnd w:id="36"/>
      <w:r w:rsidRPr="001F55DE">
        <w:rPr>
          <w:rFonts w:ascii="Times New Roman" w:hAnsi="Times New Roman" w:cs="Times New Roman"/>
          <w:i/>
          <w:iCs/>
          <w:sz w:val="24"/>
          <w:szCs w:val="24"/>
        </w:rPr>
        <w:t>Arquivos modernos: princípios e técnicas</w:t>
      </w:r>
      <w:r w:rsidRPr="001F55DE">
        <w:rPr>
          <w:rFonts w:ascii="Times New Roman" w:hAnsi="Times New Roman" w:cs="Times New Roman"/>
          <w:sz w:val="24"/>
          <w:szCs w:val="24"/>
        </w:rPr>
        <w:t xml:space="preserve"> pouco mencionou aquisição e quando o fez foi para explicar que os arquivos não a praticam. Sendo assim, Schellenberg foi o primeiro autor a distinguir o uso da aquisição para arquivos e bibliotecas. Segundo o autor, a aquisição é uma função a ser executada por bibliotecas, já que são organismos colecionadores, enquanto os arquivos são instituições recolhedoras. </w:t>
      </w:r>
      <w:r w:rsidRPr="00B125DC">
        <w:rPr>
          <w:rFonts w:ascii="Times New Roman" w:hAnsi="Times New Roman" w:cs="Times New Roman"/>
          <w:sz w:val="24"/>
          <w:szCs w:val="24"/>
        </w:rPr>
        <w:t xml:space="preserve">Ao lado disso, recomendou que bibliotecas não deveriam recolher documentos públicos. </w:t>
      </w:r>
    </w:p>
    <w:p w14:paraId="2F1E896B" w14:textId="688083E3" w:rsidR="00B125DC" w:rsidRPr="00B125DC" w:rsidRDefault="00B125DC" w:rsidP="002C0500">
      <w:pPr>
        <w:spacing w:after="0" w:line="360" w:lineRule="auto"/>
        <w:ind w:firstLine="720"/>
        <w:jc w:val="both"/>
        <w:rPr>
          <w:rFonts w:ascii="Times New Roman" w:hAnsi="Times New Roman" w:cs="Times New Roman"/>
          <w:sz w:val="24"/>
          <w:szCs w:val="24"/>
        </w:rPr>
      </w:pPr>
      <w:bookmarkStart w:id="38" w:name="_Hlk130117763"/>
      <w:bookmarkEnd w:id="37"/>
      <w:r w:rsidRPr="001F55DE">
        <w:rPr>
          <w:rFonts w:ascii="Times New Roman" w:hAnsi="Times New Roman" w:cs="Times New Roman"/>
          <w:sz w:val="24"/>
          <w:szCs w:val="24"/>
        </w:rPr>
        <w:t xml:space="preserve">Ainda no período moderno, os documentos pessoais não eram considerados arquivos, o que ainda </w:t>
      </w:r>
      <w:r w:rsidR="00F7213F" w:rsidRPr="001F55DE">
        <w:rPr>
          <w:rFonts w:ascii="Times New Roman" w:hAnsi="Times New Roman" w:cs="Times New Roman"/>
          <w:sz w:val="24"/>
          <w:szCs w:val="24"/>
        </w:rPr>
        <w:t>influencia</w:t>
      </w:r>
      <w:r w:rsidRPr="001F55DE">
        <w:rPr>
          <w:rFonts w:ascii="Times New Roman" w:hAnsi="Times New Roman" w:cs="Times New Roman"/>
          <w:sz w:val="24"/>
          <w:szCs w:val="24"/>
        </w:rPr>
        <w:t xml:space="preserve"> muito sobre as práticas arquivísticas. Como foi mencionado, desde do lançamento do </w:t>
      </w:r>
      <w:r w:rsidRPr="00C12E8D">
        <w:rPr>
          <w:rFonts w:ascii="Times New Roman" w:hAnsi="Times New Roman" w:cs="Times New Roman"/>
          <w:i/>
          <w:iCs/>
          <w:sz w:val="24"/>
          <w:szCs w:val="24"/>
        </w:rPr>
        <w:t>Manual de arranjo e descrição de arquivos</w:t>
      </w:r>
      <w:r w:rsidRPr="001F55DE">
        <w:rPr>
          <w:rFonts w:ascii="Times New Roman" w:hAnsi="Times New Roman" w:cs="Times New Roman"/>
          <w:sz w:val="24"/>
          <w:szCs w:val="24"/>
        </w:rPr>
        <w:t xml:space="preserve"> (1973), os arquivos pessoais eram tratados à margem da Arquivologia. Entretanto, muito deles eram abrigados em bibliotecas, museus e até mesmo em arquivos. Os holandeses e Jenkinson publicaram manuais que </w:t>
      </w:r>
      <w:r w:rsidR="00F7213F" w:rsidRPr="001F55DE">
        <w:rPr>
          <w:rFonts w:ascii="Times New Roman" w:hAnsi="Times New Roman" w:cs="Times New Roman"/>
          <w:sz w:val="24"/>
          <w:szCs w:val="24"/>
        </w:rPr>
        <w:t>reivindicavam</w:t>
      </w:r>
      <w:r w:rsidRPr="001F55DE">
        <w:rPr>
          <w:rFonts w:ascii="Times New Roman" w:hAnsi="Times New Roman" w:cs="Times New Roman"/>
          <w:sz w:val="24"/>
          <w:szCs w:val="24"/>
        </w:rPr>
        <w:t xml:space="preserve"> a presença exclusiva de arquivos governamentais e privados nos arquivos. Mas, mesmo assim, esses mesmos autores em exemplos, demonstraram a existência de arquivos pessoais em arquivos, em bibliotecas e museus. </w:t>
      </w:r>
      <w:r w:rsidRPr="00B125DC">
        <w:rPr>
          <w:rFonts w:ascii="Times New Roman" w:hAnsi="Times New Roman" w:cs="Times New Roman"/>
          <w:sz w:val="24"/>
          <w:szCs w:val="24"/>
        </w:rPr>
        <w:t xml:space="preserve">Da mesma maneira que se tinha a presença de arquivos públicos em museus e bibliotecas, confirmava a dificuldade em delimitar as fronteiras entre essas instituições. Essa dificuldade </w:t>
      </w:r>
      <w:r w:rsidR="00F7213F" w:rsidRPr="00B125DC">
        <w:rPr>
          <w:rFonts w:ascii="Times New Roman" w:hAnsi="Times New Roman" w:cs="Times New Roman"/>
          <w:sz w:val="24"/>
          <w:szCs w:val="24"/>
        </w:rPr>
        <w:t>permanece</w:t>
      </w:r>
      <w:r w:rsidRPr="00B125DC">
        <w:rPr>
          <w:rFonts w:ascii="Times New Roman" w:hAnsi="Times New Roman" w:cs="Times New Roman"/>
          <w:sz w:val="24"/>
          <w:szCs w:val="24"/>
        </w:rPr>
        <w:t xml:space="preserve"> ainda no período moderno da Arquivologia. Schellenberg confirmou essa questão quando afirmou a distinção entre o que deveria ser praticado por arquivos e bibliotecas. Segundo ele, o primeiro recolhe, enquanto o segundo coleciona. </w:t>
      </w:r>
      <w:bookmarkStart w:id="39" w:name="_Hlk130117773"/>
      <w:bookmarkEnd w:id="38"/>
      <w:r w:rsidRPr="00B125DC">
        <w:rPr>
          <w:rFonts w:ascii="Times New Roman" w:hAnsi="Times New Roman" w:cs="Times New Roman"/>
          <w:sz w:val="24"/>
          <w:szCs w:val="24"/>
        </w:rPr>
        <w:t xml:space="preserve">Assim, em relação à aquisição, o manual </w:t>
      </w:r>
      <w:r w:rsidRPr="00B125DC">
        <w:rPr>
          <w:rFonts w:ascii="Times New Roman" w:hAnsi="Times New Roman" w:cs="Times New Roman"/>
          <w:i/>
          <w:iCs/>
          <w:sz w:val="24"/>
          <w:szCs w:val="24"/>
        </w:rPr>
        <w:t>Arquivos modernos: princípios e técnicas</w:t>
      </w:r>
      <w:r w:rsidRPr="00B125DC">
        <w:rPr>
          <w:rFonts w:ascii="Times New Roman" w:hAnsi="Times New Roman" w:cs="Times New Roman"/>
          <w:sz w:val="24"/>
          <w:szCs w:val="24"/>
        </w:rPr>
        <w:t xml:space="preserve"> teve como proposta delimitar e diferenciar o fazer arquivístico do biblioteconômico. </w:t>
      </w:r>
    </w:p>
    <w:bookmarkEnd w:id="39"/>
    <w:p w14:paraId="418A9D4C" w14:textId="77777777" w:rsidR="00B125DC" w:rsidRPr="004835EA" w:rsidRDefault="00B125DC" w:rsidP="002C0500">
      <w:pPr>
        <w:spacing w:after="0" w:line="360" w:lineRule="auto"/>
        <w:jc w:val="both"/>
        <w:rPr>
          <w:rFonts w:ascii="Times New Roman" w:hAnsi="Times New Roman" w:cs="Times New Roman"/>
          <w:sz w:val="24"/>
          <w:szCs w:val="24"/>
          <w:lang w:val="en-US"/>
        </w:rPr>
      </w:pPr>
      <w:r w:rsidRPr="004835EA">
        <w:rPr>
          <w:rFonts w:ascii="Times New Roman" w:hAnsi="Times New Roman" w:cs="Times New Roman"/>
          <w:sz w:val="24"/>
          <w:szCs w:val="24"/>
        </w:rPr>
        <w:tab/>
      </w:r>
      <w:bookmarkStart w:id="40" w:name="_Hlk130117809"/>
      <w:r w:rsidRPr="004835EA">
        <w:rPr>
          <w:rFonts w:ascii="Times New Roman" w:hAnsi="Times New Roman" w:cs="Times New Roman"/>
          <w:sz w:val="24"/>
          <w:szCs w:val="24"/>
        </w:rPr>
        <w:t>O</w:t>
      </w:r>
      <w:r>
        <w:rPr>
          <w:rFonts w:ascii="Times New Roman" w:hAnsi="Times New Roman" w:cs="Times New Roman"/>
          <w:sz w:val="24"/>
          <w:szCs w:val="24"/>
        </w:rPr>
        <w:t xml:space="preserve"> último</w:t>
      </w:r>
      <w:r w:rsidRPr="004835EA">
        <w:rPr>
          <w:rFonts w:ascii="Times New Roman" w:hAnsi="Times New Roman" w:cs="Times New Roman"/>
          <w:sz w:val="24"/>
          <w:szCs w:val="24"/>
        </w:rPr>
        <w:t xml:space="preserve"> período</w:t>
      </w:r>
      <w:r>
        <w:rPr>
          <w:rFonts w:ascii="Times New Roman" w:hAnsi="Times New Roman" w:cs="Times New Roman"/>
          <w:sz w:val="24"/>
          <w:szCs w:val="24"/>
        </w:rPr>
        <w:t xml:space="preserve"> a ser apresentado é o</w:t>
      </w:r>
      <w:r w:rsidRPr="004835EA">
        <w:rPr>
          <w:rFonts w:ascii="Times New Roman" w:hAnsi="Times New Roman" w:cs="Times New Roman"/>
          <w:sz w:val="24"/>
          <w:szCs w:val="24"/>
        </w:rPr>
        <w:t xml:space="preserve"> Contemporâneo da Arquivologia</w:t>
      </w:r>
      <w:r>
        <w:rPr>
          <w:rFonts w:ascii="Times New Roman" w:hAnsi="Times New Roman" w:cs="Times New Roman"/>
          <w:sz w:val="24"/>
          <w:szCs w:val="24"/>
        </w:rPr>
        <w:t>, que</w:t>
      </w:r>
      <w:r w:rsidRPr="004835EA">
        <w:rPr>
          <w:rFonts w:ascii="Times New Roman" w:hAnsi="Times New Roman" w:cs="Times New Roman"/>
          <w:sz w:val="24"/>
          <w:szCs w:val="24"/>
        </w:rPr>
        <w:t xml:space="preserve"> iniciou no final da década de 1980 e segue até os dias atuais. </w:t>
      </w:r>
      <w:r w:rsidRPr="00B125DC">
        <w:rPr>
          <w:rFonts w:ascii="Times New Roman" w:hAnsi="Times New Roman" w:cs="Times New Roman"/>
          <w:sz w:val="24"/>
          <w:szCs w:val="24"/>
          <w:lang w:val="en-US"/>
        </w:rPr>
        <w:t xml:space="preserve">Para entender a aquisição nesse período foram selecionados os seguintes manuais: </w:t>
      </w:r>
      <w:r w:rsidRPr="004835EA">
        <w:rPr>
          <w:rFonts w:ascii="Times New Roman" w:hAnsi="Times New Roman" w:cs="Times New Roman"/>
          <w:i/>
          <w:iCs/>
          <w:sz w:val="24"/>
          <w:szCs w:val="24"/>
          <w:lang w:val="en-US"/>
        </w:rPr>
        <w:t>A Modern Archives Reader: basic reading in archival theory and practice</w:t>
      </w:r>
      <w:r w:rsidRPr="004835EA">
        <w:rPr>
          <w:rFonts w:ascii="Times New Roman" w:hAnsi="Times New Roman" w:cs="Times New Roman"/>
          <w:sz w:val="24"/>
          <w:szCs w:val="24"/>
          <w:lang w:val="en-US"/>
        </w:rPr>
        <w:t xml:space="preserve"> (1984); </w:t>
      </w:r>
      <w:r w:rsidRPr="004835EA">
        <w:rPr>
          <w:rFonts w:ascii="Times New Roman" w:hAnsi="Times New Roman" w:cs="Times New Roman"/>
          <w:i/>
          <w:iCs/>
          <w:sz w:val="24"/>
          <w:szCs w:val="24"/>
          <w:lang w:val="en-US"/>
        </w:rPr>
        <w:t>Selecting and Appraising Archives and Manuscripts</w:t>
      </w:r>
      <w:r w:rsidRPr="004835EA">
        <w:rPr>
          <w:rFonts w:ascii="Times New Roman" w:hAnsi="Times New Roman" w:cs="Times New Roman"/>
          <w:sz w:val="24"/>
          <w:szCs w:val="24"/>
          <w:lang w:val="en-US"/>
        </w:rPr>
        <w:t xml:space="preserve"> (</w:t>
      </w:r>
      <w:r w:rsidRPr="00B125DC">
        <w:rPr>
          <w:rFonts w:ascii="Times New Roman" w:hAnsi="Times New Roman" w:cs="Times New Roman"/>
          <w:sz w:val="24"/>
          <w:szCs w:val="24"/>
          <w:lang w:val="en-US"/>
        </w:rPr>
        <w:t xml:space="preserve">HAM, </w:t>
      </w:r>
      <w:r w:rsidRPr="004835EA">
        <w:rPr>
          <w:rFonts w:ascii="Times New Roman" w:hAnsi="Times New Roman" w:cs="Times New Roman"/>
          <w:sz w:val="24"/>
          <w:szCs w:val="24"/>
          <w:lang w:val="en-US"/>
        </w:rPr>
        <w:t xml:space="preserve">1993) e </w:t>
      </w:r>
      <w:r w:rsidRPr="004835EA">
        <w:rPr>
          <w:rFonts w:ascii="Times New Roman" w:hAnsi="Times New Roman" w:cs="Times New Roman"/>
          <w:i/>
          <w:iCs/>
          <w:sz w:val="24"/>
          <w:szCs w:val="24"/>
          <w:lang w:val="en-US"/>
        </w:rPr>
        <w:t>Keeping Archives</w:t>
      </w:r>
      <w:r w:rsidRPr="004835EA">
        <w:rPr>
          <w:rFonts w:ascii="Times New Roman" w:hAnsi="Times New Roman" w:cs="Times New Roman"/>
          <w:sz w:val="24"/>
          <w:szCs w:val="24"/>
          <w:lang w:val="en-US"/>
        </w:rPr>
        <w:t xml:space="preserve"> (2008). </w:t>
      </w:r>
    </w:p>
    <w:p w14:paraId="7DC134C3" w14:textId="77777777" w:rsidR="00B125DC" w:rsidRPr="001F55DE" w:rsidRDefault="00B125DC" w:rsidP="00B125DC">
      <w:pPr>
        <w:spacing w:after="0" w:line="360" w:lineRule="auto"/>
        <w:ind w:firstLine="720"/>
        <w:jc w:val="both"/>
        <w:rPr>
          <w:rFonts w:ascii="Times New Roman" w:hAnsi="Times New Roman" w:cs="Times New Roman"/>
          <w:sz w:val="24"/>
          <w:szCs w:val="24"/>
        </w:rPr>
      </w:pPr>
      <w:bookmarkStart w:id="41" w:name="_Hlk130117820"/>
      <w:bookmarkEnd w:id="40"/>
      <w:r w:rsidRPr="004835EA">
        <w:rPr>
          <w:rFonts w:ascii="Times New Roman" w:hAnsi="Times New Roman" w:cs="Times New Roman"/>
          <w:sz w:val="24"/>
          <w:szCs w:val="24"/>
        </w:rPr>
        <w:lastRenderedPageBreak/>
        <w:t xml:space="preserve">O manual </w:t>
      </w:r>
      <w:r w:rsidRPr="001F55DE">
        <w:rPr>
          <w:rFonts w:ascii="Times New Roman" w:hAnsi="Times New Roman" w:cs="Times New Roman"/>
          <w:i/>
          <w:iCs/>
          <w:sz w:val="24"/>
          <w:szCs w:val="24"/>
        </w:rPr>
        <w:t>A Modern Archives Reader: basic reading in archival theory and practice</w:t>
      </w:r>
      <w:r w:rsidRPr="001F55DE">
        <w:rPr>
          <w:rFonts w:ascii="Times New Roman" w:hAnsi="Times New Roman" w:cs="Times New Roman"/>
          <w:sz w:val="24"/>
          <w:szCs w:val="24"/>
        </w:rPr>
        <w:t xml:space="preserve"> foi o primeiro a tratar especificamente sobre aquisição de arquivos pessoais. Apesar de não ter ocorrido uma discussão sobre se arquivos pessoais eram arquivos, Stewart (1984) e Kesner (1984) mencionaram que a aquisição de arquivos pessoais recebia pouca atenção na literatura arquivística. </w:t>
      </w:r>
      <w:bookmarkEnd w:id="41"/>
    </w:p>
    <w:p w14:paraId="781219F8" w14:textId="77777777" w:rsidR="00B125DC" w:rsidRPr="00B125DC" w:rsidRDefault="00B125DC" w:rsidP="00B125DC">
      <w:pPr>
        <w:spacing w:after="0" w:line="360" w:lineRule="auto"/>
        <w:ind w:firstLine="720"/>
        <w:jc w:val="both"/>
        <w:rPr>
          <w:rFonts w:ascii="Times New Roman" w:hAnsi="Times New Roman" w:cs="Times New Roman"/>
          <w:sz w:val="24"/>
          <w:szCs w:val="24"/>
        </w:rPr>
      </w:pPr>
      <w:bookmarkStart w:id="42" w:name="_Hlk130117835"/>
      <w:r w:rsidRPr="00B125DC">
        <w:rPr>
          <w:rFonts w:ascii="Times New Roman" w:hAnsi="Times New Roman" w:cs="Times New Roman"/>
          <w:sz w:val="24"/>
          <w:szCs w:val="24"/>
        </w:rPr>
        <w:t xml:space="preserve">O manual possui um capítulo referente à aquisição que é constituído por quarto artigos que tratam sobre os seguintes assuntos: direitos de propriedade e direitos autorais; questões financeiras que envolvem aquisição – recursos humanos, de guarda e processamento de arquivos, como também de valor de mercado dos arquivos pessoais; a necessidade da organização de uma política de acervo; o passo-a-passo para a realização de uma aquisição;  a competição entre as instituições pelas aquisições; a relação das instituições com os doadores e negociantes de arquivos pessoais; o estabelecimento  de contratos com cláusulas de transmissão de propriedade, avaliação, negociação, transporte e entrada do arquivo na instituição. </w:t>
      </w:r>
    </w:p>
    <w:p w14:paraId="697B261E" w14:textId="77777777" w:rsidR="00B125DC" w:rsidRPr="001F55DE" w:rsidRDefault="00B125DC" w:rsidP="00B125DC">
      <w:pPr>
        <w:spacing w:after="0" w:line="360" w:lineRule="auto"/>
        <w:ind w:firstLine="720"/>
        <w:jc w:val="both"/>
        <w:rPr>
          <w:rFonts w:ascii="Times New Roman" w:hAnsi="Times New Roman" w:cs="Times New Roman"/>
          <w:sz w:val="24"/>
          <w:szCs w:val="24"/>
        </w:rPr>
      </w:pPr>
      <w:bookmarkStart w:id="43" w:name="_Hlk130117844"/>
      <w:bookmarkEnd w:id="42"/>
      <w:r w:rsidRPr="001F55DE">
        <w:rPr>
          <w:rFonts w:ascii="Times New Roman" w:hAnsi="Times New Roman" w:cs="Times New Roman"/>
          <w:sz w:val="24"/>
          <w:szCs w:val="24"/>
        </w:rPr>
        <w:t xml:space="preserve">Constata-se que o manual em questão trouxe muitas novidades em relação as publicações anteriormente apresentadas, principalmente a inclusão dos arquivos pessoais no centro do debate sobre aquisição e a indicação dos métodos aquisitivos compra e doação. </w:t>
      </w:r>
    </w:p>
    <w:p w14:paraId="347243D0" w14:textId="1BA27826" w:rsidR="00B125DC" w:rsidRPr="00B125DC" w:rsidRDefault="00B125DC" w:rsidP="00B125DC">
      <w:pPr>
        <w:spacing w:after="0" w:line="360" w:lineRule="auto"/>
        <w:ind w:firstLine="720"/>
        <w:jc w:val="both"/>
        <w:rPr>
          <w:rFonts w:ascii="Times New Roman" w:hAnsi="Times New Roman" w:cs="Times New Roman"/>
          <w:sz w:val="24"/>
          <w:szCs w:val="24"/>
        </w:rPr>
      </w:pPr>
      <w:bookmarkStart w:id="44" w:name="_Hlk130117853"/>
      <w:bookmarkEnd w:id="43"/>
      <w:r w:rsidRPr="004835EA">
        <w:rPr>
          <w:rFonts w:ascii="Times New Roman" w:hAnsi="Times New Roman" w:cs="Times New Roman"/>
          <w:sz w:val="24"/>
          <w:szCs w:val="24"/>
        </w:rPr>
        <w:t xml:space="preserve">O segundo manual é o </w:t>
      </w:r>
      <w:r w:rsidRPr="00B125DC">
        <w:rPr>
          <w:rFonts w:ascii="Times New Roman" w:hAnsi="Times New Roman" w:cs="Times New Roman"/>
          <w:i/>
          <w:iCs/>
          <w:sz w:val="24"/>
          <w:szCs w:val="24"/>
        </w:rPr>
        <w:t>Selecting and Appraising Archives and Manuscripts</w:t>
      </w:r>
      <w:r w:rsidRPr="00B125DC">
        <w:rPr>
          <w:rFonts w:ascii="Times New Roman" w:hAnsi="Times New Roman" w:cs="Times New Roman"/>
          <w:sz w:val="24"/>
          <w:szCs w:val="24"/>
        </w:rPr>
        <w:t xml:space="preserve"> de autoria de F. Gerald Ham. Assim como o anterior, trouxe para o debate os arquivos pessoais e também, os arquivos institucionais. Nesse sentido, identificou duas funções para os arquivos: </w:t>
      </w:r>
      <w:r w:rsidRPr="00B125DC">
        <w:rPr>
          <w:rFonts w:ascii="Times New Roman" w:hAnsi="Times New Roman" w:cs="Times New Roman"/>
          <w:i/>
          <w:iCs/>
          <w:sz w:val="24"/>
          <w:szCs w:val="24"/>
        </w:rPr>
        <w:t>systems approach</w:t>
      </w:r>
      <w:r w:rsidRPr="00B125DC">
        <w:rPr>
          <w:rFonts w:ascii="Times New Roman" w:hAnsi="Times New Roman" w:cs="Times New Roman"/>
          <w:sz w:val="24"/>
          <w:szCs w:val="24"/>
        </w:rPr>
        <w:t xml:space="preserve"> e </w:t>
      </w:r>
      <w:r w:rsidRPr="00B125DC">
        <w:rPr>
          <w:rFonts w:ascii="Times New Roman" w:hAnsi="Times New Roman" w:cs="Times New Roman"/>
          <w:i/>
          <w:iCs/>
          <w:sz w:val="24"/>
          <w:szCs w:val="24"/>
        </w:rPr>
        <w:t>solicitation</w:t>
      </w:r>
      <w:r w:rsidRPr="00B125DC">
        <w:rPr>
          <w:rFonts w:ascii="Times New Roman" w:hAnsi="Times New Roman" w:cs="Times New Roman"/>
          <w:sz w:val="24"/>
          <w:szCs w:val="24"/>
        </w:rPr>
        <w:t xml:space="preserve">. A primeira utiliza inventário e tabela de temporalidade como maneira de selecionar os documentos para serem transferidos para o arquivo permanente, ou seja, trata-se do arquivo da própria instituição – </w:t>
      </w:r>
      <w:r w:rsidRPr="00B125DC">
        <w:rPr>
          <w:rFonts w:ascii="Times New Roman" w:hAnsi="Times New Roman" w:cs="Times New Roman"/>
          <w:i/>
          <w:iCs/>
          <w:sz w:val="24"/>
          <w:szCs w:val="24"/>
        </w:rPr>
        <w:t>institutional repositories</w:t>
      </w:r>
      <w:r w:rsidRPr="00B125DC">
        <w:rPr>
          <w:rFonts w:ascii="Times New Roman" w:hAnsi="Times New Roman" w:cs="Times New Roman"/>
          <w:sz w:val="24"/>
          <w:szCs w:val="24"/>
        </w:rPr>
        <w:t xml:space="preserve">. Também conhecido como </w:t>
      </w:r>
      <w:r w:rsidRPr="00B125DC">
        <w:rPr>
          <w:rFonts w:ascii="Times New Roman" w:hAnsi="Times New Roman" w:cs="Times New Roman"/>
          <w:i/>
          <w:iCs/>
          <w:sz w:val="24"/>
          <w:szCs w:val="24"/>
        </w:rPr>
        <w:t>in-house archives</w:t>
      </w:r>
      <w:r w:rsidRPr="00B125DC">
        <w:rPr>
          <w:rFonts w:ascii="Times New Roman" w:hAnsi="Times New Roman" w:cs="Times New Roman"/>
          <w:sz w:val="24"/>
          <w:szCs w:val="24"/>
        </w:rPr>
        <w:t xml:space="preserve">. </w:t>
      </w:r>
      <w:r w:rsidR="00F7213F" w:rsidRPr="00B125DC">
        <w:rPr>
          <w:rFonts w:ascii="Times New Roman" w:hAnsi="Times New Roman" w:cs="Times New Roman"/>
          <w:sz w:val="24"/>
          <w:szCs w:val="24"/>
        </w:rPr>
        <w:t>Enquanto</w:t>
      </w:r>
      <w:r w:rsidRPr="00B125DC">
        <w:rPr>
          <w:rFonts w:ascii="Times New Roman" w:hAnsi="Times New Roman" w:cs="Times New Roman"/>
          <w:sz w:val="24"/>
          <w:szCs w:val="24"/>
        </w:rPr>
        <w:t xml:space="preserve"> a segunda utiliza o </w:t>
      </w:r>
      <w:r w:rsidRPr="00B125DC">
        <w:rPr>
          <w:rFonts w:ascii="Times New Roman" w:hAnsi="Times New Roman" w:cs="Times New Roman"/>
          <w:i/>
          <w:iCs/>
          <w:sz w:val="24"/>
          <w:szCs w:val="24"/>
        </w:rPr>
        <w:t>archive field collecting</w:t>
      </w:r>
      <w:r w:rsidRPr="00B125DC">
        <w:rPr>
          <w:rFonts w:ascii="Times New Roman" w:hAnsi="Times New Roman" w:cs="Times New Roman"/>
          <w:sz w:val="24"/>
          <w:szCs w:val="24"/>
        </w:rPr>
        <w:t xml:space="preserve"> </w:t>
      </w:r>
      <w:r w:rsidRPr="00B125DC">
        <w:rPr>
          <w:rFonts w:ascii="Times New Roman" w:hAnsi="Times New Roman" w:cs="Times New Roman"/>
          <w:i/>
          <w:iCs/>
          <w:sz w:val="24"/>
          <w:szCs w:val="24"/>
        </w:rPr>
        <w:t>program</w:t>
      </w:r>
      <w:r w:rsidRPr="00B125DC">
        <w:rPr>
          <w:rFonts w:ascii="Times New Roman" w:hAnsi="Times New Roman" w:cs="Times New Roman"/>
          <w:sz w:val="24"/>
          <w:szCs w:val="24"/>
        </w:rPr>
        <w:t xml:space="preserve"> para selecionar arquivos históricos (pessoais e privados) – </w:t>
      </w:r>
      <w:r w:rsidRPr="00B125DC">
        <w:rPr>
          <w:rFonts w:ascii="Times New Roman" w:hAnsi="Times New Roman" w:cs="Times New Roman"/>
          <w:i/>
          <w:iCs/>
          <w:sz w:val="24"/>
          <w:szCs w:val="24"/>
        </w:rPr>
        <w:t>collecting repositories</w:t>
      </w:r>
      <w:r w:rsidRPr="00B125DC">
        <w:rPr>
          <w:rFonts w:ascii="Times New Roman" w:hAnsi="Times New Roman" w:cs="Times New Roman"/>
          <w:sz w:val="24"/>
          <w:szCs w:val="24"/>
        </w:rPr>
        <w:t xml:space="preserve">, que não estão incluídos no </w:t>
      </w:r>
      <w:r w:rsidRPr="00B125DC">
        <w:rPr>
          <w:rFonts w:ascii="Times New Roman" w:hAnsi="Times New Roman" w:cs="Times New Roman"/>
          <w:i/>
          <w:iCs/>
          <w:sz w:val="24"/>
          <w:szCs w:val="24"/>
        </w:rPr>
        <w:t>systems approach</w:t>
      </w:r>
      <w:r w:rsidRPr="00B125DC">
        <w:rPr>
          <w:rFonts w:ascii="Times New Roman" w:hAnsi="Times New Roman" w:cs="Times New Roman"/>
          <w:sz w:val="24"/>
          <w:szCs w:val="24"/>
        </w:rPr>
        <w:t xml:space="preserve">. Assim, a diferença entre eles é que os </w:t>
      </w:r>
      <w:r w:rsidRPr="00B125DC">
        <w:rPr>
          <w:rFonts w:ascii="Times New Roman" w:hAnsi="Times New Roman" w:cs="Times New Roman"/>
          <w:i/>
          <w:iCs/>
          <w:sz w:val="24"/>
          <w:szCs w:val="24"/>
        </w:rPr>
        <w:t>systems approach</w:t>
      </w:r>
      <w:r w:rsidRPr="00B125DC">
        <w:rPr>
          <w:rFonts w:ascii="Times New Roman" w:hAnsi="Times New Roman" w:cs="Times New Roman"/>
          <w:sz w:val="24"/>
          <w:szCs w:val="24"/>
        </w:rPr>
        <w:t xml:space="preserve"> formariam o arquivo institucional, por meio da avaliação e transferência dos documentos institucionais. Por sua vez, o </w:t>
      </w:r>
      <w:r w:rsidRPr="00B125DC">
        <w:rPr>
          <w:rFonts w:ascii="Times New Roman" w:hAnsi="Times New Roman" w:cs="Times New Roman"/>
          <w:i/>
          <w:iCs/>
          <w:sz w:val="24"/>
          <w:szCs w:val="24"/>
        </w:rPr>
        <w:t>solicitation</w:t>
      </w:r>
      <w:r w:rsidRPr="00B125DC">
        <w:rPr>
          <w:rFonts w:ascii="Times New Roman" w:hAnsi="Times New Roman" w:cs="Times New Roman"/>
          <w:sz w:val="24"/>
          <w:szCs w:val="24"/>
        </w:rPr>
        <w:t xml:space="preserve"> constituiria o </w:t>
      </w:r>
      <w:r w:rsidRPr="00B125DC">
        <w:rPr>
          <w:rFonts w:ascii="Times New Roman" w:hAnsi="Times New Roman" w:cs="Times New Roman"/>
          <w:i/>
          <w:iCs/>
          <w:sz w:val="24"/>
          <w:szCs w:val="24"/>
        </w:rPr>
        <w:t>collecting archives</w:t>
      </w:r>
      <w:r w:rsidRPr="00B125DC">
        <w:rPr>
          <w:rFonts w:ascii="Times New Roman" w:hAnsi="Times New Roman" w:cs="Times New Roman"/>
          <w:sz w:val="24"/>
          <w:szCs w:val="24"/>
        </w:rPr>
        <w:t xml:space="preserve">, por meio da solicitação e aquisição dos arquivos pessoais e privados.  </w:t>
      </w:r>
    </w:p>
    <w:p w14:paraId="1EA04028" w14:textId="58B8C728" w:rsidR="00B125DC" w:rsidRPr="00B125DC" w:rsidRDefault="00B125DC" w:rsidP="00B125DC">
      <w:pPr>
        <w:spacing w:after="0" w:line="360" w:lineRule="auto"/>
        <w:ind w:firstLine="720"/>
        <w:jc w:val="both"/>
        <w:rPr>
          <w:rFonts w:ascii="Times New Roman" w:hAnsi="Times New Roman" w:cs="Times New Roman"/>
          <w:sz w:val="24"/>
          <w:szCs w:val="24"/>
        </w:rPr>
      </w:pPr>
      <w:bookmarkStart w:id="45" w:name="_Hlk130117863"/>
      <w:bookmarkEnd w:id="44"/>
      <w:r w:rsidRPr="001F55DE">
        <w:rPr>
          <w:rFonts w:ascii="Times New Roman" w:hAnsi="Times New Roman" w:cs="Times New Roman"/>
          <w:sz w:val="24"/>
          <w:szCs w:val="24"/>
        </w:rPr>
        <w:t xml:space="preserve">Ham (1993) elencou os mesmos assuntos que </w:t>
      </w:r>
      <w:r w:rsidRPr="001F55DE">
        <w:rPr>
          <w:rFonts w:ascii="Times New Roman" w:hAnsi="Times New Roman" w:cs="Times New Roman"/>
          <w:i/>
          <w:iCs/>
          <w:sz w:val="24"/>
          <w:szCs w:val="24"/>
        </w:rPr>
        <w:t>A Modern Archives Reader</w:t>
      </w:r>
      <w:r w:rsidRPr="001F55DE">
        <w:rPr>
          <w:rFonts w:ascii="Times New Roman" w:hAnsi="Times New Roman" w:cs="Times New Roman"/>
          <w:sz w:val="24"/>
          <w:szCs w:val="24"/>
        </w:rPr>
        <w:t xml:space="preserve"> (1984) para a aquisição de arquivos pessoais e privados. </w:t>
      </w:r>
      <w:r w:rsidRPr="00B125DC">
        <w:rPr>
          <w:rFonts w:ascii="Times New Roman" w:hAnsi="Times New Roman" w:cs="Times New Roman"/>
          <w:sz w:val="24"/>
          <w:szCs w:val="24"/>
        </w:rPr>
        <w:t xml:space="preserve">A diferença é que Ham (1993) considerou como aquisição a transferência, compra e doação, </w:t>
      </w:r>
      <w:r w:rsidR="00F7213F" w:rsidRPr="00B125DC">
        <w:rPr>
          <w:rFonts w:ascii="Times New Roman" w:hAnsi="Times New Roman" w:cs="Times New Roman"/>
          <w:sz w:val="24"/>
          <w:szCs w:val="24"/>
        </w:rPr>
        <w:t>enquanto</w:t>
      </w:r>
      <w:r w:rsidRPr="00B125DC">
        <w:rPr>
          <w:rFonts w:ascii="Times New Roman" w:hAnsi="Times New Roman" w:cs="Times New Roman"/>
          <w:sz w:val="24"/>
          <w:szCs w:val="24"/>
        </w:rPr>
        <w:t xml:space="preserve"> </w:t>
      </w:r>
      <w:r w:rsidRPr="00B125DC">
        <w:rPr>
          <w:rFonts w:ascii="Times New Roman" w:hAnsi="Times New Roman" w:cs="Times New Roman"/>
          <w:i/>
          <w:iCs/>
          <w:sz w:val="24"/>
          <w:szCs w:val="24"/>
        </w:rPr>
        <w:t>A Modern Archives Reader</w:t>
      </w:r>
      <w:r w:rsidRPr="00B125DC">
        <w:rPr>
          <w:rFonts w:ascii="Times New Roman" w:hAnsi="Times New Roman" w:cs="Times New Roman"/>
          <w:sz w:val="24"/>
          <w:szCs w:val="24"/>
        </w:rPr>
        <w:t xml:space="preserve"> apenas mencionou compra e doação.</w:t>
      </w:r>
    </w:p>
    <w:p w14:paraId="04C9FDD9" w14:textId="43BD2060" w:rsidR="00B125DC" w:rsidRPr="00B125DC" w:rsidRDefault="00B125DC" w:rsidP="00B125DC">
      <w:pPr>
        <w:spacing w:after="0" w:line="360" w:lineRule="auto"/>
        <w:ind w:firstLine="720"/>
        <w:jc w:val="both"/>
        <w:rPr>
          <w:rFonts w:ascii="Times New Roman" w:hAnsi="Times New Roman" w:cs="Times New Roman"/>
          <w:sz w:val="24"/>
          <w:szCs w:val="24"/>
        </w:rPr>
      </w:pPr>
      <w:bookmarkStart w:id="46" w:name="_Hlk130117873"/>
      <w:bookmarkEnd w:id="45"/>
      <w:r w:rsidRPr="001F55DE">
        <w:rPr>
          <w:rFonts w:ascii="Times New Roman" w:hAnsi="Times New Roman" w:cs="Times New Roman"/>
          <w:sz w:val="24"/>
          <w:szCs w:val="24"/>
        </w:rPr>
        <w:t xml:space="preserve">Observa-se, desde a publicação do </w:t>
      </w:r>
      <w:r w:rsidRPr="001F55DE">
        <w:rPr>
          <w:rFonts w:ascii="Times New Roman" w:hAnsi="Times New Roman" w:cs="Times New Roman"/>
          <w:i/>
          <w:iCs/>
          <w:sz w:val="24"/>
          <w:szCs w:val="24"/>
        </w:rPr>
        <w:t>A Modern Archives Reader</w:t>
      </w:r>
      <w:r w:rsidRPr="001F55DE">
        <w:rPr>
          <w:rFonts w:ascii="Times New Roman" w:hAnsi="Times New Roman" w:cs="Times New Roman"/>
          <w:sz w:val="24"/>
          <w:szCs w:val="24"/>
        </w:rPr>
        <w:t xml:space="preserve"> (1984), o início de uma alteração na Arquivologia sobre a inclusão dos arquivos pessoais no debate arquivístico e sua </w:t>
      </w:r>
      <w:r w:rsidRPr="001F55DE">
        <w:rPr>
          <w:rFonts w:ascii="Times New Roman" w:hAnsi="Times New Roman" w:cs="Times New Roman"/>
          <w:sz w:val="24"/>
          <w:szCs w:val="24"/>
        </w:rPr>
        <w:lastRenderedPageBreak/>
        <w:t xml:space="preserve">incorporação nos manuais especializados, a partir da perspectiva de aquisição. </w:t>
      </w:r>
      <w:r w:rsidRPr="00B125DC">
        <w:rPr>
          <w:rFonts w:ascii="Times New Roman" w:hAnsi="Times New Roman" w:cs="Times New Roman"/>
          <w:sz w:val="24"/>
          <w:szCs w:val="24"/>
        </w:rPr>
        <w:t>Ao lado disso, foi o início do estabelecimento de um entendimento sobre aquisição mais próximo do que compreendemos e praticamos na atualidade.</w:t>
      </w:r>
    </w:p>
    <w:p w14:paraId="541C33F7" w14:textId="2C52E9D7" w:rsidR="00B125DC" w:rsidRPr="001F55DE" w:rsidRDefault="00B125DC" w:rsidP="00B125DC">
      <w:pPr>
        <w:spacing w:after="0" w:line="360" w:lineRule="auto"/>
        <w:ind w:firstLine="720"/>
        <w:jc w:val="both"/>
        <w:rPr>
          <w:rFonts w:ascii="Times New Roman" w:hAnsi="Times New Roman" w:cs="Times New Roman"/>
          <w:sz w:val="24"/>
          <w:szCs w:val="24"/>
        </w:rPr>
      </w:pPr>
      <w:bookmarkStart w:id="47" w:name="_Hlk130117884"/>
      <w:bookmarkEnd w:id="46"/>
      <w:r w:rsidRPr="001F55DE">
        <w:rPr>
          <w:rFonts w:ascii="Times New Roman" w:hAnsi="Times New Roman" w:cs="Times New Roman"/>
          <w:sz w:val="24"/>
          <w:szCs w:val="24"/>
        </w:rPr>
        <w:t xml:space="preserve">Por </w:t>
      </w:r>
      <w:r w:rsidR="00F7213F" w:rsidRPr="001F55DE">
        <w:rPr>
          <w:rFonts w:ascii="Times New Roman" w:hAnsi="Times New Roman" w:cs="Times New Roman"/>
          <w:sz w:val="24"/>
          <w:szCs w:val="24"/>
        </w:rPr>
        <w:t>último</w:t>
      </w:r>
      <w:r w:rsidRPr="001F55DE">
        <w:rPr>
          <w:rFonts w:ascii="Times New Roman" w:hAnsi="Times New Roman" w:cs="Times New Roman"/>
          <w:sz w:val="24"/>
          <w:szCs w:val="24"/>
        </w:rPr>
        <w:t xml:space="preserve">, o manual </w:t>
      </w:r>
      <w:r w:rsidRPr="001F55DE">
        <w:rPr>
          <w:rFonts w:ascii="Times New Roman" w:hAnsi="Times New Roman" w:cs="Times New Roman"/>
          <w:i/>
          <w:iCs/>
          <w:sz w:val="24"/>
          <w:szCs w:val="24"/>
        </w:rPr>
        <w:t>Keeping Archives</w:t>
      </w:r>
      <w:r w:rsidRPr="001F55DE">
        <w:rPr>
          <w:rFonts w:ascii="Times New Roman" w:hAnsi="Times New Roman" w:cs="Times New Roman"/>
          <w:sz w:val="24"/>
          <w:szCs w:val="24"/>
        </w:rPr>
        <w:t xml:space="preserve"> (2008) de autoria de Peter J. Crush, assim, como o de Ham (1993) também dividiu as funções do arquivo em </w:t>
      </w:r>
      <w:r w:rsidRPr="001F55DE">
        <w:rPr>
          <w:rFonts w:ascii="Times New Roman" w:hAnsi="Times New Roman" w:cs="Times New Roman"/>
          <w:i/>
          <w:iCs/>
          <w:sz w:val="24"/>
          <w:szCs w:val="24"/>
        </w:rPr>
        <w:t xml:space="preserve">institutional repositories </w:t>
      </w:r>
      <w:r w:rsidRPr="001F55DE">
        <w:rPr>
          <w:rFonts w:ascii="Times New Roman" w:hAnsi="Times New Roman" w:cs="Times New Roman"/>
          <w:sz w:val="24"/>
          <w:szCs w:val="24"/>
        </w:rPr>
        <w:t>-</w:t>
      </w:r>
      <w:r w:rsidRPr="001F55DE">
        <w:rPr>
          <w:rFonts w:ascii="Times New Roman" w:hAnsi="Times New Roman" w:cs="Times New Roman"/>
          <w:i/>
          <w:iCs/>
          <w:sz w:val="24"/>
          <w:szCs w:val="24"/>
        </w:rPr>
        <w:t xml:space="preserve"> in-house archives</w:t>
      </w:r>
      <w:r w:rsidRPr="001F55DE">
        <w:rPr>
          <w:rFonts w:ascii="Times New Roman" w:hAnsi="Times New Roman" w:cs="Times New Roman"/>
          <w:sz w:val="24"/>
          <w:szCs w:val="24"/>
        </w:rPr>
        <w:t xml:space="preserve">, e </w:t>
      </w:r>
      <w:r w:rsidRPr="001F55DE">
        <w:rPr>
          <w:rFonts w:ascii="Times New Roman" w:hAnsi="Times New Roman" w:cs="Times New Roman"/>
          <w:i/>
          <w:iCs/>
          <w:sz w:val="24"/>
          <w:szCs w:val="24"/>
        </w:rPr>
        <w:t>collecting archives</w:t>
      </w:r>
      <w:r w:rsidRPr="001F55DE">
        <w:rPr>
          <w:rFonts w:ascii="Times New Roman" w:hAnsi="Times New Roman" w:cs="Times New Roman"/>
          <w:sz w:val="24"/>
          <w:szCs w:val="24"/>
        </w:rPr>
        <w:t xml:space="preserve">. Crush (2008) indicou que a aquisição deve ocorrer por doação, legado, compra, comodato para os </w:t>
      </w:r>
      <w:r w:rsidRPr="001F55DE">
        <w:rPr>
          <w:rFonts w:ascii="Times New Roman" w:hAnsi="Times New Roman" w:cs="Times New Roman"/>
          <w:i/>
          <w:iCs/>
          <w:sz w:val="24"/>
          <w:szCs w:val="24"/>
        </w:rPr>
        <w:t>collecting archives</w:t>
      </w:r>
      <w:r w:rsidRPr="001F55DE">
        <w:rPr>
          <w:rFonts w:ascii="Times New Roman" w:hAnsi="Times New Roman" w:cs="Times New Roman"/>
          <w:sz w:val="24"/>
          <w:szCs w:val="24"/>
        </w:rPr>
        <w:t xml:space="preserve"> e transferência para </w:t>
      </w:r>
      <w:r w:rsidRPr="001F55DE">
        <w:rPr>
          <w:rFonts w:ascii="Times New Roman" w:hAnsi="Times New Roman" w:cs="Times New Roman"/>
          <w:i/>
          <w:iCs/>
          <w:sz w:val="24"/>
          <w:szCs w:val="24"/>
        </w:rPr>
        <w:t>in-house archives</w:t>
      </w:r>
      <w:r w:rsidRPr="001F55DE">
        <w:rPr>
          <w:rFonts w:ascii="Times New Roman" w:hAnsi="Times New Roman" w:cs="Times New Roman"/>
          <w:sz w:val="24"/>
          <w:szCs w:val="24"/>
        </w:rPr>
        <w:t>.</w:t>
      </w:r>
    </w:p>
    <w:bookmarkEnd w:id="47"/>
    <w:p w14:paraId="5902652B" w14:textId="77777777" w:rsidR="00B125DC" w:rsidRPr="004835EA" w:rsidRDefault="00B125DC" w:rsidP="00B125DC">
      <w:pPr>
        <w:spacing w:after="0" w:line="360" w:lineRule="auto"/>
        <w:jc w:val="both"/>
        <w:rPr>
          <w:rFonts w:ascii="Times New Roman" w:hAnsi="Times New Roman" w:cs="Times New Roman"/>
          <w:sz w:val="24"/>
          <w:szCs w:val="24"/>
        </w:rPr>
      </w:pPr>
    </w:p>
    <w:bookmarkEnd w:id="30"/>
    <w:p w14:paraId="4BF005AD"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ANÁLISE E RESULTADOS</w:t>
      </w:r>
    </w:p>
    <w:p w14:paraId="52169CA2" w14:textId="77777777" w:rsidR="00B125DC" w:rsidRDefault="00B125DC" w:rsidP="00B125DC">
      <w:pPr>
        <w:spacing w:after="0" w:line="360" w:lineRule="auto"/>
        <w:jc w:val="both"/>
        <w:rPr>
          <w:rFonts w:ascii="Times New Roman" w:eastAsia="Times New Roman" w:hAnsi="Times New Roman" w:cs="Times New Roman"/>
          <w:sz w:val="24"/>
          <w:szCs w:val="24"/>
        </w:rPr>
      </w:pPr>
    </w:p>
    <w:p w14:paraId="4883C413" w14:textId="77777777" w:rsidR="00B125DC" w:rsidRPr="00B125DC" w:rsidRDefault="00B125DC" w:rsidP="00B125DC">
      <w:pPr>
        <w:spacing w:after="0" w:line="360" w:lineRule="auto"/>
        <w:ind w:firstLine="720"/>
        <w:jc w:val="both"/>
        <w:rPr>
          <w:rFonts w:ascii="Times New Roman" w:hAnsi="Times New Roman" w:cs="Times New Roman"/>
          <w:sz w:val="24"/>
          <w:szCs w:val="24"/>
        </w:rPr>
      </w:pPr>
      <w:bookmarkStart w:id="48" w:name="_Hlk130117896"/>
      <w:r w:rsidRPr="00B125DC">
        <w:rPr>
          <w:rFonts w:ascii="Times New Roman" w:hAnsi="Times New Roman" w:cs="Times New Roman"/>
          <w:sz w:val="24"/>
          <w:szCs w:val="24"/>
        </w:rPr>
        <w:t xml:space="preserve">Após o exame das definições de aquisição indicadas pelo </w:t>
      </w:r>
      <w:r w:rsidRPr="007342FA">
        <w:rPr>
          <w:rFonts w:ascii="Times New Roman" w:hAnsi="Times New Roman" w:cs="Times New Roman"/>
          <w:i/>
          <w:iCs/>
          <w:sz w:val="24"/>
          <w:szCs w:val="24"/>
        </w:rPr>
        <w:t>Dicionário brasileiro de terminologia arquivística</w:t>
      </w:r>
      <w:r w:rsidRPr="007342FA">
        <w:rPr>
          <w:rFonts w:ascii="Times New Roman" w:hAnsi="Times New Roman" w:cs="Times New Roman"/>
          <w:sz w:val="24"/>
          <w:szCs w:val="24"/>
        </w:rPr>
        <w:t xml:space="preserve"> (2005)</w:t>
      </w:r>
      <w:r>
        <w:rPr>
          <w:rFonts w:ascii="Times New Roman" w:hAnsi="Times New Roman" w:cs="Times New Roman"/>
          <w:sz w:val="24"/>
          <w:szCs w:val="24"/>
        </w:rPr>
        <w:t xml:space="preserve">, foi confirmado que as definições do termo em questão são diversas e dispersas. Essas duas características possibilitaram a classificação dos métodos aquisitivos de três maneiras: </w:t>
      </w:r>
      <w:r w:rsidRPr="00D0298F">
        <w:rPr>
          <w:rFonts w:ascii="Times New Roman" w:hAnsi="Times New Roman" w:cs="Times New Roman"/>
          <w:sz w:val="24"/>
          <w:szCs w:val="24"/>
        </w:rPr>
        <w:t>transferência formal de propriedade, transferência formal de posse e transferência oficial de documentos.</w:t>
      </w:r>
      <w:r>
        <w:rPr>
          <w:rFonts w:ascii="Times New Roman" w:hAnsi="Times New Roman" w:cs="Times New Roman"/>
          <w:sz w:val="24"/>
          <w:szCs w:val="24"/>
        </w:rPr>
        <w:t xml:space="preserve"> Com essa constatação, foi realizado o estudo dos manuais dos períodos clássico, moderno e contemporâneo da Arquivologia, de modo a entender como aquisição vem sendo compreendida pela área. </w:t>
      </w:r>
    </w:p>
    <w:p w14:paraId="0205E2D9" w14:textId="66CB0FD8" w:rsidR="00B125DC" w:rsidRPr="004835EA" w:rsidRDefault="00B125DC" w:rsidP="00B125DC">
      <w:pPr>
        <w:spacing w:after="0" w:line="360" w:lineRule="auto"/>
        <w:ind w:firstLine="720"/>
        <w:jc w:val="both"/>
        <w:rPr>
          <w:rFonts w:ascii="Times New Roman" w:hAnsi="Times New Roman" w:cs="Times New Roman"/>
          <w:sz w:val="24"/>
          <w:szCs w:val="24"/>
        </w:rPr>
      </w:pPr>
      <w:r w:rsidRPr="00B125DC">
        <w:rPr>
          <w:rFonts w:ascii="Times New Roman" w:hAnsi="Times New Roman" w:cs="Times New Roman"/>
          <w:sz w:val="24"/>
          <w:szCs w:val="24"/>
        </w:rPr>
        <w:t xml:space="preserve">Nesse sentido, verificamos que a </w:t>
      </w:r>
      <w:r w:rsidR="00F7213F" w:rsidRPr="00B125DC">
        <w:rPr>
          <w:rFonts w:ascii="Times New Roman" w:hAnsi="Times New Roman" w:cs="Times New Roman"/>
          <w:sz w:val="24"/>
          <w:szCs w:val="24"/>
        </w:rPr>
        <w:t>compreensão</w:t>
      </w:r>
      <w:r w:rsidRPr="00B125DC">
        <w:rPr>
          <w:rFonts w:ascii="Times New Roman" w:hAnsi="Times New Roman" w:cs="Times New Roman"/>
          <w:sz w:val="24"/>
          <w:szCs w:val="24"/>
        </w:rPr>
        <w:t xml:space="preserve"> sobre aquisição foi alterada ao longo dos períodos clássico, moderno e contemporâneo da Arquivologia. No período clássico, </w:t>
      </w:r>
      <w:r w:rsidRPr="004835EA">
        <w:rPr>
          <w:rFonts w:ascii="Times New Roman" w:hAnsi="Times New Roman" w:cs="Times New Roman"/>
          <w:sz w:val="24"/>
          <w:szCs w:val="24"/>
        </w:rPr>
        <w:t xml:space="preserve">o </w:t>
      </w:r>
      <w:r w:rsidRPr="00E110DB">
        <w:rPr>
          <w:rFonts w:ascii="Times New Roman" w:hAnsi="Times New Roman" w:cs="Times New Roman"/>
          <w:i/>
          <w:iCs/>
          <w:sz w:val="24"/>
          <w:szCs w:val="24"/>
        </w:rPr>
        <w:t>Manual de arranjo e descrição de arquivos</w:t>
      </w:r>
      <w:r w:rsidRPr="00B125DC">
        <w:rPr>
          <w:rFonts w:ascii="Times New Roman" w:hAnsi="Times New Roman" w:cs="Times New Roman"/>
          <w:sz w:val="24"/>
          <w:szCs w:val="24"/>
        </w:rPr>
        <w:t xml:space="preserve"> (1973) por mais que apresentasse os termos transferidos, doação, compra, reintegrar e recolhidas, e todos tivessem o sentido de adicionar novos arquivos ou itens documentais em um acervo, não foi possível afirmar que possuíam a mesma proposta dos dias de hoje. As demais quatro obras do </w:t>
      </w:r>
      <w:r w:rsidR="00F7213F" w:rsidRPr="00B125DC">
        <w:rPr>
          <w:rFonts w:ascii="Times New Roman" w:hAnsi="Times New Roman" w:cs="Times New Roman"/>
          <w:sz w:val="24"/>
          <w:szCs w:val="24"/>
        </w:rPr>
        <w:t>período</w:t>
      </w:r>
      <w:r w:rsidRPr="00B125DC">
        <w:rPr>
          <w:rFonts w:ascii="Times New Roman" w:hAnsi="Times New Roman" w:cs="Times New Roman"/>
          <w:sz w:val="24"/>
          <w:szCs w:val="24"/>
        </w:rPr>
        <w:t xml:space="preserve"> clássico - </w:t>
      </w:r>
      <w:r w:rsidRPr="00E110DB">
        <w:rPr>
          <w:rFonts w:ascii="Times New Roman" w:hAnsi="Times New Roman" w:cs="Times New Roman"/>
          <w:i/>
          <w:iCs/>
          <w:sz w:val="24"/>
          <w:szCs w:val="24"/>
        </w:rPr>
        <w:t>Manual de classificação e archivamento de papéis e documentos commerciaes e civis</w:t>
      </w:r>
      <w:r w:rsidRPr="00E110DB">
        <w:rPr>
          <w:rFonts w:ascii="Times New Roman" w:hAnsi="Times New Roman" w:cs="Times New Roman"/>
          <w:b/>
          <w:bCs/>
          <w:sz w:val="24"/>
          <w:szCs w:val="24"/>
        </w:rPr>
        <w:t xml:space="preserve"> </w:t>
      </w:r>
      <w:r w:rsidRPr="004835EA">
        <w:rPr>
          <w:rFonts w:ascii="Times New Roman" w:hAnsi="Times New Roman" w:cs="Times New Roman"/>
          <w:sz w:val="24"/>
          <w:szCs w:val="24"/>
        </w:rPr>
        <w:t xml:space="preserve">(CARVALHO, 1931); </w:t>
      </w:r>
      <w:r w:rsidRPr="00B125DC">
        <w:rPr>
          <w:rFonts w:ascii="Times New Roman" w:hAnsi="Times New Roman" w:cs="Times New Roman"/>
          <w:i/>
          <w:iCs/>
          <w:sz w:val="24"/>
          <w:szCs w:val="24"/>
        </w:rPr>
        <w:t>A Manual of Archive Administration</w:t>
      </w:r>
      <w:r w:rsidRPr="00B125DC">
        <w:rPr>
          <w:rFonts w:ascii="Times New Roman" w:hAnsi="Times New Roman" w:cs="Times New Roman"/>
          <w:sz w:val="24"/>
          <w:szCs w:val="24"/>
        </w:rPr>
        <w:t xml:space="preserve"> (</w:t>
      </w:r>
      <w:r w:rsidRPr="004835EA">
        <w:rPr>
          <w:rFonts w:ascii="Times New Roman" w:hAnsi="Times New Roman" w:cs="Times New Roman"/>
          <w:sz w:val="24"/>
          <w:szCs w:val="24"/>
        </w:rPr>
        <w:t>J</w:t>
      </w:r>
      <w:r w:rsidR="00F7213F" w:rsidRPr="004835EA">
        <w:rPr>
          <w:rFonts w:ascii="Times New Roman" w:hAnsi="Times New Roman" w:cs="Times New Roman"/>
          <w:sz w:val="24"/>
          <w:szCs w:val="24"/>
        </w:rPr>
        <w:t>enkinson</w:t>
      </w:r>
      <w:r w:rsidRPr="004835EA">
        <w:rPr>
          <w:rFonts w:ascii="Times New Roman" w:hAnsi="Times New Roman" w:cs="Times New Roman"/>
          <w:sz w:val="24"/>
          <w:szCs w:val="24"/>
        </w:rPr>
        <w:t>,</w:t>
      </w:r>
      <w:r w:rsidRPr="00B125DC">
        <w:rPr>
          <w:rFonts w:ascii="Times New Roman" w:hAnsi="Times New Roman" w:cs="Times New Roman"/>
          <w:sz w:val="24"/>
          <w:szCs w:val="24"/>
        </w:rPr>
        <w:t xml:space="preserve"> 1937); </w:t>
      </w:r>
      <w:r w:rsidRPr="00E110DB">
        <w:rPr>
          <w:rFonts w:ascii="Times New Roman" w:hAnsi="Times New Roman" w:cs="Times New Roman"/>
          <w:i/>
          <w:iCs/>
          <w:sz w:val="24"/>
          <w:szCs w:val="24"/>
        </w:rPr>
        <w:t>Arquivar e achar</w:t>
      </w:r>
      <w:r w:rsidRPr="004835EA">
        <w:rPr>
          <w:rFonts w:ascii="Times New Roman" w:hAnsi="Times New Roman" w:cs="Times New Roman"/>
          <w:sz w:val="24"/>
          <w:szCs w:val="24"/>
        </w:rPr>
        <w:t xml:space="preserve"> (WHITE, 1941) e; </w:t>
      </w:r>
      <w:r w:rsidRPr="00E110DB">
        <w:rPr>
          <w:rFonts w:ascii="Times New Roman" w:hAnsi="Times New Roman" w:cs="Times New Roman"/>
          <w:i/>
          <w:iCs/>
          <w:sz w:val="24"/>
          <w:szCs w:val="24"/>
        </w:rPr>
        <w:t>Vade-Mecum do arquivista</w:t>
      </w:r>
      <w:r w:rsidRPr="004835EA">
        <w:rPr>
          <w:rFonts w:ascii="Times New Roman" w:hAnsi="Times New Roman" w:cs="Times New Roman"/>
          <w:sz w:val="24"/>
          <w:szCs w:val="24"/>
        </w:rPr>
        <w:t xml:space="preserve"> (T</w:t>
      </w:r>
      <w:r w:rsidR="00F7213F" w:rsidRPr="004835EA">
        <w:rPr>
          <w:rFonts w:ascii="Times New Roman" w:hAnsi="Times New Roman" w:cs="Times New Roman"/>
          <w:sz w:val="24"/>
          <w:szCs w:val="24"/>
        </w:rPr>
        <w:t>orres</w:t>
      </w:r>
      <w:r w:rsidRPr="004835EA">
        <w:rPr>
          <w:rFonts w:ascii="Times New Roman" w:hAnsi="Times New Roman" w:cs="Times New Roman"/>
          <w:sz w:val="24"/>
          <w:szCs w:val="24"/>
        </w:rPr>
        <w:t>, 1944), por mais que não apresent</w:t>
      </w:r>
      <w:r>
        <w:rPr>
          <w:rFonts w:ascii="Times New Roman" w:hAnsi="Times New Roman" w:cs="Times New Roman"/>
          <w:sz w:val="24"/>
          <w:szCs w:val="24"/>
        </w:rPr>
        <w:t>em</w:t>
      </w:r>
      <w:r w:rsidRPr="004835EA">
        <w:rPr>
          <w:rFonts w:ascii="Times New Roman" w:hAnsi="Times New Roman" w:cs="Times New Roman"/>
          <w:sz w:val="24"/>
          <w:szCs w:val="24"/>
        </w:rPr>
        <w:t xml:space="preserve"> o termo aquisição, possu</w:t>
      </w:r>
      <w:r>
        <w:rPr>
          <w:rFonts w:ascii="Times New Roman" w:hAnsi="Times New Roman" w:cs="Times New Roman"/>
          <w:sz w:val="24"/>
          <w:szCs w:val="24"/>
        </w:rPr>
        <w:t>em</w:t>
      </w:r>
      <w:r w:rsidRPr="004835EA">
        <w:rPr>
          <w:rFonts w:ascii="Times New Roman" w:hAnsi="Times New Roman" w:cs="Times New Roman"/>
          <w:sz w:val="24"/>
          <w:szCs w:val="24"/>
        </w:rPr>
        <w:t xml:space="preserve"> capítulos que t</w:t>
      </w:r>
      <w:r>
        <w:rPr>
          <w:rFonts w:ascii="Times New Roman" w:hAnsi="Times New Roman" w:cs="Times New Roman"/>
          <w:sz w:val="24"/>
          <w:szCs w:val="24"/>
        </w:rPr>
        <w:t>êm</w:t>
      </w:r>
      <w:r w:rsidRPr="004835EA">
        <w:rPr>
          <w:rFonts w:ascii="Times New Roman" w:hAnsi="Times New Roman" w:cs="Times New Roman"/>
          <w:sz w:val="24"/>
          <w:szCs w:val="24"/>
        </w:rPr>
        <w:t xml:space="preserve"> como função adicionar novos documentos ou arquivos em um acervo. </w:t>
      </w:r>
    </w:p>
    <w:p w14:paraId="36DC5F6C" w14:textId="05C4546C" w:rsidR="00B125DC" w:rsidRPr="00B125DC" w:rsidRDefault="00B125DC" w:rsidP="00B125DC">
      <w:pPr>
        <w:spacing w:after="0" w:line="360" w:lineRule="auto"/>
        <w:ind w:firstLine="720"/>
        <w:jc w:val="both"/>
        <w:rPr>
          <w:rFonts w:ascii="Times New Roman" w:hAnsi="Times New Roman" w:cs="Times New Roman"/>
          <w:sz w:val="24"/>
          <w:szCs w:val="24"/>
        </w:rPr>
      </w:pPr>
      <w:bookmarkStart w:id="49" w:name="_Hlk130117907"/>
      <w:bookmarkEnd w:id="48"/>
      <w:r>
        <w:rPr>
          <w:rFonts w:ascii="Times New Roman" w:hAnsi="Times New Roman" w:cs="Times New Roman"/>
          <w:sz w:val="24"/>
          <w:szCs w:val="24"/>
        </w:rPr>
        <w:t>Já o</w:t>
      </w:r>
      <w:r w:rsidRPr="004835EA">
        <w:rPr>
          <w:rFonts w:ascii="Times New Roman" w:hAnsi="Times New Roman" w:cs="Times New Roman"/>
          <w:sz w:val="24"/>
          <w:szCs w:val="24"/>
        </w:rPr>
        <w:t xml:space="preserve"> período moderno foi representado pela obra </w:t>
      </w:r>
      <w:r w:rsidRPr="001F55DE">
        <w:rPr>
          <w:rFonts w:ascii="Times New Roman" w:hAnsi="Times New Roman" w:cs="Times New Roman"/>
          <w:i/>
          <w:iCs/>
          <w:sz w:val="24"/>
          <w:szCs w:val="24"/>
        </w:rPr>
        <w:t>Arquivos modernos: princípios e técnicas</w:t>
      </w:r>
      <w:r w:rsidRPr="001F55DE">
        <w:rPr>
          <w:rFonts w:ascii="Times New Roman" w:hAnsi="Times New Roman" w:cs="Times New Roman"/>
          <w:sz w:val="24"/>
          <w:szCs w:val="24"/>
        </w:rPr>
        <w:t xml:space="preserve">, de autoria de Schellenberg. Apesar de estar classificada em um outro momento para a Arquivologia, a postura deste autor em relação à aquisição foi a mesma que os autores do período anterior. O que se pode destacar é o posicionamento de Schellenberg em distinguir a aquisição, afirmando que sua prática é atribuída a bibliotecas, </w:t>
      </w:r>
      <w:r w:rsidR="00F7213F" w:rsidRPr="001F55DE">
        <w:rPr>
          <w:rFonts w:ascii="Times New Roman" w:hAnsi="Times New Roman" w:cs="Times New Roman"/>
          <w:sz w:val="24"/>
          <w:szCs w:val="24"/>
        </w:rPr>
        <w:t>enquanto</w:t>
      </w:r>
      <w:r w:rsidRPr="001F55DE">
        <w:rPr>
          <w:rFonts w:ascii="Times New Roman" w:hAnsi="Times New Roman" w:cs="Times New Roman"/>
          <w:sz w:val="24"/>
          <w:szCs w:val="24"/>
        </w:rPr>
        <w:t xml:space="preserve"> os arquivos recolhem documentos. </w:t>
      </w:r>
      <w:r w:rsidRPr="00B125DC">
        <w:rPr>
          <w:rFonts w:ascii="Times New Roman" w:hAnsi="Times New Roman" w:cs="Times New Roman"/>
          <w:sz w:val="24"/>
          <w:szCs w:val="24"/>
        </w:rPr>
        <w:t xml:space="preserve">O período clássico e moderno ficaram bem marcados tanto pelo não entendimento que arquivos pessoais não são arquivos, quanto pela não limitação das fronteiras entre aquivos, </w:t>
      </w:r>
      <w:r w:rsidRPr="00B125DC">
        <w:rPr>
          <w:rFonts w:ascii="Times New Roman" w:hAnsi="Times New Roman" w:cs="Times New Roman"/>
          <w:sz w:val="24"/>
          <w:szCs w:val="24"/>
        </w:rPr>
        <w:lastRenderedPageBreak/>
        <w:t xml:space="preserve">bibliotecas e museus em relação à qual tipo de documento a receber. Essas características estão refletidas nos manuais desses dois períodos. </w:t>
      </w:r>
    </w:p>
    <w:bookmarkEnd w:id="49"/>
    <w:p w14:paraId="3F457BBE" w14:textId="4C41AFD1" w:rsidR="00B125DC" w:rsidRPr="00B125DC" w:rsidRDefault="00B125DC" w:rsidP="00B125DC">
      <w:pPr>
        <w:spacing w:after="0" w:line="360" w:lineRule="auto"/>
        <w:ind w:firstLine="720"/>
        <w:jc w:val="both"/>
        <w:rPr>
          <w:rFonts w:ascii="Times New Roman" w:hAnsi="Times New Roman" w:cs="Times New Roman"/>
          <w:sz w:val="24"/>
          <w:szCs w:val="24"/>
        </w:rPr>
      </w:pPr>
      <w:r w:rsidRPr="00B125DC">
        <w:rPr>
          <w:rFonts w:ascii="Times New Roman" w:hAnsi="Times New Roman" w:cs="Times New Roman"/>
          <w:sz w:val="24"/>
          <w:szCs w:val="24"/>
        </w:rPr>
        <w:t xml:space="preserve">Por fim, o período contemporâneo trouxe para o centro do debate os arquivos pessoais e sua inclusão nos manuais que tratavam sobre aquisição, juntamente com os arquivos institucionais. Apesar disso, não problematizou a definição tradicional de arquivo. O significado de aquisição também foi modificado em relação aos dois </w:t>
      </w:r>
      <w:r w:rsidR="00F7213F" w:rsidRPr="00B125DC">
        <w:rPr>
          <w:rFonts w:ascii="Times New Roman" w:hAnsi="Times New Roman" w:cs="Times New Roman"/>
          <w:sz w:val="24"/>
          <w:szCs w:val="24"/>
        </w:rPr>
        <w:t>períodos</w:t>
      </w:r>
      <w:r w:rsidRPr="00B125DC">
        <w:rPr>
          <w:rFonts w:ascii="Times New Roman" w:hAnsi="Times New Roman" w:cs="Times New Roman"/>
          <w:sz w:val="24"/>
          <w:szCs w:val="24"/>
        </w:rPr>
        <w:t xml:space="preserve"> anteriores, passando a ser compreendida como comodato, compra, </w:t>
      </w:r>
      <w:r w:rsidR="00F7213F" w:rsidRPr="00B125DC">
        <w:rPr>
          <w:rFonts w:ascii="Times New Roman" w:hAnsi="Times New Roman" w:cs="Times New Roman"/>
          <w:sz w:val="24"/>
          <w:szCs w:val="24"/>
        </w:rPr>
        <w:t>doação</w:t>
      </w:r>
      <w:r w:rsidRPr="00B125DC">
        <w:rPr>
          <w:rFonts w:ascii="Times New Roman" w:hAnsi="Times New Roman" w:cs="Times New Roman"/>
          <w:sz w:val="24"/>
          <w:szCs w:val="24"/>
        </w:rPr>
        <w:t xml:space="preserve">, legado e transferência. Ao lado disso, por mais que durante o período clássico foram citados os métodos aquisitivos compra, doação, e transferidos, por exemplo, pelo </w:t>
      </w:r>
      <w:r w:rsidRPr="007C52E6">
        <w:rPr>
          <w:rFonts w:ascii="Times New Roman" w:hAnsi="Times New Roman" w:cs="Times New Roman"/>
          <w:i/>
          <w:iCs/>
          <w:sz w:val="24"/>
          <w:szCs w:val="24"/>
        </w:rPr>
        <w:t>Manual de arranjo e descrição de arquivos</w:t>
      </w:r>
      <w:r w:rsidRPr="00B125DC">
        <w:rPr>
          <w:rFonts w:ascii="Times New Roman" w:hAnsi="Times New Roman" w:cs="Times New Roman"/>
          <w:sz w:val="24"/>
          <w:szCs w:val="24"/>
        </w:rPr>
        <w:t xml:space="preserve"> (1973), não denotavam em seus significados uma relação com o termo aquisição. Ainda não existia o entendimento que uma compra ou doação de arquivos era uma atividade que poderia ser identificada como adições de novos itens em um arquivo e pudesse ser denominada como aquisição. Essa compreensão só foi ser estabelecida a partir do momento que os arquivos pessoais assumiram o protagonismo no debate manualístico, o que foi visto no período contemporâneo. </w:t>
      </w:r>
    </w:p>
    <w:p w14:paraId="67A8F9C5" w14:textId="77777777" w:rsidR="00B125DC" w:rsidRPr="001F55DE" w:rsidRDefault="00B125DC" w:rsidP="00B125DC">
      <w:pPr>
        <w:spacing w:after="0" w:line="360" w:lineRule="auto"/>
        <w:ind w:firstLine="720"/>
        <w:jc w:val="both"/>
        <w:rPr>
          <w:rFonts w:ascii="Times New Roman" w:hAnsi="Times New Roman" w:cs="Times New Roman"/>
          <w:sz w:val="24"/>
          <w:szCs w:val="24"/>
        </w:rPr>
      </w:pPr>
      <w:bookmarkStart w:id="50" w:name="_Hlk130117931"/>
      <w:r w:rsidRPr="001F55DE">
        <w:rPr>
          <w:rFonts w:ascii="Times New Roman" w:hAnsi="Times New Roman" w:cs="Times New Roman"/>
          <w:sz w:val="24"/>
          <w:szCs w:val="24"/>
        </w:rPr>
        <w:t xml:space="preserve">Assim, primeiramente foi apresentada a definição de aquisição e como podemos classificá-la. Posteriormente investigou-se como esse termo se apresentou nos manuais de Arquivologia nos três períodos da área em questão. Portanto, é possível afirmar que, na atualidade, identificada como período contemporâneo, o entendimento que se tem sobre aquisição é semelhante ao proposto pelo </w:t>
      </w:r>
      <w:r w:rsidRPr="00B83DBA">
        <w:rPr>
          <w:rFonts w:ascii="Times New Roman" w:hAnsi="Times New Roman" w:cs="Times New Roman"/>
          <w:i/>
          <w:iCs/>
          <w:sz w:val="24"/>
          <w:szCs w:val="24"/>
        </w:rPr>
        <w:t>Dicionário brasileiro de terminologia arquivística</w:t>
      </w:r>
      <w:r w:rsidRPr="004835EA">
        <w:rPr>
          <w:rFonts w:ascii="Times New Roman" w:hAnsi="Times New Roman" w:cs="Times New Roman"/>
          <w:sz w:val="24"/>
          <w:szCs w:val="24"/>
        </w:rPr>
        <w:t xml:space="preserve"> (2005</w:t>
      </w:r>
      <w:r>
        <w:rPr>
          <w:rFonts w:ascii="Times New Roman" w:hAnsi="Times New Roman" w:cs="Times New Roman"/>
          <w:sz w:val="24"/>
          <w:szCs w:val="24"/>
        </w:rPr>
        <w:t>)</w:t>
      </w:r>
      <w:r w:rsidRPr="001F55DE">
        <w:rPr>
          <w:rFonts w:ascii="Times New Roman" w:hAnsi="Times New Roman" w:cs="Times New Roman"/>
          <w:sz w:val="24"/>
          <w:szCs w:val="24"/>
        </w:rPr>
        <w:t xml:space="preserve">. Nesse sentido, a inclusão dos arquivos pessoais nos manuais de Arquivologia identificou a prática de colecionar arquivos por instituições arquivísticas como também por organismos que possuem como propósito formar acervos de acordo com suas linhas temáticas. </w:t>
      </w:r>
    </w:p>
    <w:bookmarkEnd w:id="50"/>
    <w:p w14:paraId="5882DAEC" w14:textId="77777777" w:rsidR="00B125DC" w:rsidRDefault="00B125DC" w:rsidP="00B125DC">
      <w:pPr>
        <w:spacing w:after="0" w:line="360" w:lineRule="auto"/>
        <w:jc w:val="both"/>
        <w:rPr>
          <w:rFonts w:ascii="Times New Roman" w:eastAsia="Times New Roman" w:hAnsi="Times New Roman" w:cs="Times New Roman"/>
          <w:sz w:val="24"/>
          <w:szCs w:val="24"/>
        </w:rPr>
      </w:pPr>
    </w:p>
    <w:p w14:paraId="2F158034"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CONSIDERAÇÕES FINAIS</w:t>
      </w:r>
    </w:p>
    <w:p w14:paraId="66E41704" w14:textId="77777777" w:rsidR="00B125DC" w:rsidRDefault="00B125DC" w:rsidP="00B125DC">
      <w:pPr>
        <w:spacing w:after="0" w:line="360" w:lineRule="auto"/>
        <w:jc w:val="both"/>
        <w:rPr>
          <w:rFonts w:ascii="Times New Roman" w:eastAsia="Times New Roman" w:hAnsi="Times New Roman" w:cs="Times New Roman"/>
          <w:b/>
          <w:sz w:val="24"/>
          <w:szCs w:val="24"/>
        </w:rPr>
      </w:pPr>
    </w:p>
    <w:p w14:paraId="5753E345" w14:textId="77777777" w:rsidR="00B125DC" w:rsidRPr="00B83DBA" w:rsidRDefault="00B125DC" w:rsidP="00B125DC">
      <w:pPr>
        <w:spacing w:after="0" w:line="360" w:lineRule="auto"/>
        <w:ind w:firstLine="720"/>
        <w:jc w:val="both"/>
        <w:rPr>
          <w:rFonts w:ascii="Times New Roman" w:hAnsi="Times New Roman" w:cs="Times New Roman"/>
          <w:sz w:val="24"/>
          <w:szCs w:val="24"/>
        </w:rPr>
      </w:pPr>
      <w:bookmarkStart w:id="51" w:name="_Hlk130118033"/>
      <w:r w:rsidRPr="00B83DBA">
        <w:rPr>
          <w:rFonts w:ascii="Times New Roman" w:hAnsi="Times New Roman" w:cs="Times New Roman"/>
          <w:sz w:val="24"/>
          <w:szCs w:val="24"/>
        </w:rPr>
        <w:t>A proposta deste artigo foi compreender e classificar cada método aquisitivo a partir das suas definições, para então identificar na literatura manualística dos períodos clássico, moderno e contemporânea da Arquivologia</w:t>
      </w:r>
      <w:r>
        <w:rPr>
          <w:rFonts w:ascii="Times New Roman" w:hAnsi="Times New Roman" w:cs="Times New Roman"/>
          <w:sz w:val="24"/>
          <w:szCs w:val="24"/>
        </w:rPr>
        <w:t>,</w:t>
      </w:r>
      <w:r w:rsidRPr="00B83DBA">
        <w:rPr>
          <w:rFonts w:ascii="Times New Roman" w:hAnsi="Times New Roman" w:cs="Times New Roman"/>
          <w:sz w:val="24"/>
          <w:szCs w:val="24"/>
        </w:rPr>
        <w:t xml:space="preserve"> como a aquisição vem sendo entendida. Em relação à compreensão dos métodos aquisitivos</w:t>
      </w:r>
      <w:r>
        <w:rPr>
          <w:rFonts w:ascii="Times New Roman" w:hAnsi="Times New Roman" w:cs="Times New Roman"/>
          <w:sz w:val="24"/>
          <w:szCs w:val="24"/>
        </w:rPr>
        <w:t>,</w:t>
      </w:r>
      <w:r w:rsidRPr="00B83DBA">
        <w:rPr>
          <w:rFonts w:ascii="Times New Roman" w:hAnsi="Times New Roman" w:cs="Times New Roman"/>
          <w:sz w:val="24"/>
          <w:szCs w:val="24"/>
        </w:rPr>
        <w:t xml:space="preserve"> </w:t>
      </w:r>
      <w:r>
        <w:rPr>
          <w:rFonts w:ascii="Times New Roman" w:hAnsi="Times New Roman" w:cs="Times New Roman"/>
          <w:sz w:val="24"/>
          <w:szCs w:val="24"/>
        </w:rPr>
        <w:t>constatou-se</w:t>
      </w:r>
      <w:r w:rsidRPr="00B83DBA">
        <w:rPr>
          <w:rFonts w:ascii="Times New Roman" w:hAnsi="Times New Roman" w:cs="Times New Roman"/>
          <w:sz w:val="24"/>
          <w:szCs w:val="24"/>
        </w:rPr>
        <w:t xml:space="preserve"> que os doze significados atribuídos ao termo em questão pelo </w:t>
      </w:r>
      <w:r w:rsidRPr="006762AF">
        <w:rPr>
          <w:rFonts w:ascii="Times New Roman" w:hAnsi="Times New Roman" w:cs="Times New Roman"/>
          <w:i/>
          <w:iCs/>
          <w:sz w:val="24"/>
          <w:szCs w:val="24"/>
        </w:rPr>
        <w:t>Dicionário brasileiro de terminologia arquivística</w:t>
      </w:r>
      <w:r w:rsidRPr="00B83DBA">
        <w:rPr>
          <w:rFonts w:ascii="Times New Roman" w:hAnsi="Times New Roman" w:cs="Times New Roman"/>
          <w:sz w:val="24"/>
          <w:szCs w:val="24"/>
        </w:rPr>
        <w:t xml:space="preserve"> (2005) podem ser classificados de três maneiras: transmissão formal de propriedade, transmissão formal de posse e transmissão oficial de documentos. Sendo assim, por mais que todos os significados de </w:t>
      </w:r>
      <w:r w:rsidRPr="00B83DBA">
        <w:rPr>
          <w:rFonts w:ascii="Times New Roman" w:hAnsi="Times New Roman" w:cs="Times New Roman"/>
          <w:sz w:val="24"/>
          <w:szCs w:val="24"/>
        </w:rPr>
        <w:lastRenderedPageBreak/>
        <w:t>aquisição estejam relacionados à adição de arquivos ou documentos de arquivos em um acervo, demandam atividades que envolvem capacidades de execução distintas.</w:t>
      </w:r>
    </w:p>
    <w:p w14:paraId="4842C0B5" w14:textId="777CD573" w:rsidR="00B125DC" w:rsidRPr="00B83DBA" w:rsidRDefault="00B125DC" w:rsidP="00B125DC">
      <w:pPr>
        <w:spacing w:after="0" w:line="360" w:lineRule="auto"/>
        <w:ind w:firstLine="720"/>
        <w:jc w:val="both"/>
        <w:rPr>
          <w:rFonts w:ascii="Times New Roman" w:hAnsi="Times New Roman" w:cs="Times New Roman"/>
          <w:sz w:val="24"/>
          <w:szCs w:val="24"/>
        </w:rPr>
      </w:pPr>
      <w:bookmarkStart w:id="52" w:name="_Hlk130118048"/>
      <w:bookmarkEnd w:id="51"/>
      <w:r w:rsidRPr="00B83DBA">
        <w:rPr>
          <w:rFonts w:ascii="Times New Roman" w:hAnsi="Times New Roman" w:cs="Times New Roman"/>
          <w:sz w:val="24"/>
          <w:szCs w:val="24"/>
        </w:rPr>
        <w:t xml:space="preserve">Em relação aos manuais de </w:t>
      </w:r>
      <w:r>
        <w:rPr>
          <w:rFonts w:ascii="Times New Roman" w:hAnsi="Times New Roman" w:cs="Times New Roman"/>
          <w:sz w:val="24"/>
          <w:szCs w:val="24"/>
        </w:rPr>
        <w:t>A</w:t>
      </w:r>
      <w:r w:rsidRPr="00B83DBA">
        <w:rPr>
          <w:rFonts w:ascii="Times New Roman" w:hAnsi="Times New Roman" w:cs="Times New Roman"/>
          <w:sz w:val="24"/>
          <w:szCs w:val="24"/>
        </w:rPr>
        <w:t>rquivologia selecionados para este artigo, publicados nos períodos clássico, moderno e contemporâneo</w:t>
      </w:r>
      <w:r>
        <w:rPr>
          <w:rFonts w:ascii="Times New Roman" w:hAnsi="Times New Roman" w:cs="Times New Roman"/>
          <w:sz w:val="24"/>
          <w:szCs w:val="24"/>
        </w:rPr>
        <w:t>,</w:t>
      </w:r>
      <w:r w:rsidRPr="00B83DBA">
        <w:rPr>
          <w:rFonts w:ascii="Times New Roman" w:hAnsi="Times New Roman" w:cs="Times New Roman"/>
          <w:sz w:val="24"/>
          <w:szCs w:val="24"/>
        </w:rPr>
        <w:t xml:space="preserve"> foi possível observar </w:t>
      </w:r>
      <w:r>
        <w:rPr>
          <w:rFonts w:ascii="Times New Roman" w:hAnsi="Times New Roman" w:cs="Times New Roman"/>
          <w:sz w:val="24"/>
          <w:szCs w:val="24"/>
        </w:rPr>
        <w:t>acerca da</w:t>
      </w:r>
      <w:r w:rsidRPr="00B83DBA">
        <w:rPr>
          <w:rFonts w:ascii="Times New Roman" w:hAnsi="Times New Roman" w:cs="Times New Roman"/>
          <w:sz w:val="24"/>
          <w:szCs w:val="24"/>
        </w:rPr>
        <w:t xml:space="preserve"> aquisição</w:t>
      </w:r>
      <w:r>
        <w:rPr>
          <w:rFonts w:ascii="Times New Roman" w:hAnsi="Times New Roman" w:cs="Times New Roman"/>
          <w:sz w:val="24"/>
          <w:szCs w:val="24"/>
        </w:rPr>
        <w:t xml:space="preserve"> que,</w:t>
      </w:r>
      <w:r w:rsidRPr="00B83DBA">
        <w:rPr>
          <w:rFonts w:ascii="Times New Roman" w:hAnsi="Times New Roman" w:cs="Times New Roman"/>
          <w:sz w:val="24"/>
          <w:szCs w:val="24"/>
        </w:rPr>
        <w:t xml:space="preserve"> por mais que estivesse presente nessas publicações durante os dois primeiros períodos, não existia a compreensão que  </w:t>
      </w:r>
      <w:r w:rsidR="00F7213F" w:rsidRPr="00B83DBA">
        <w:rPr>
          <w:rFonts w:ascii="Times New Roman" w:hAnsi="Times New Roman" w:cs="Times New Roman"/>
          <w:sz w:val="24"/>
          <w:szCs w:val="24"/>
        </w:rPr>
        <w:t>se tratava</w:t>
      </w:r>
      <w:r w:rsidRPr="00B83DBA">
        <w:rPr>
          <w:rFonts w:ascii="Times New Roman" w:hAnsi="Times New Roman" w:cs="Times New Roman"/>
          <w:sz w:val="24"/>
          <w:szCs w:val="24"/>
        </w:rPr>
        <w:t xml:space="preserve"> de uma atividade como a entendemos na atualidade, ainda menos que reunisse tantos significados. A partir do período contemporâneo, com a inserção dos arquivos pessoais nos manuais de </w:t>
      </w:r>
      <w:r>
        <w:rPr>
          <w:rFonts w:ascii="Times New Roman" w:hAnsi="Times New Roman" w:cs="Times New Roman"/>
          <w:sz w:val="24"/>
          <w:szCs w:val="24"/>
        </w:rPr>
        <w:t>A</w:t>
      </w:r>
      <w:r w:rsidRPr="00B83DBA">
        <w:rPr>
          <w:rFonts w:ascii="Times New Roman" w:hAnsi="Times New Roman" w:cs="Times New Roman"/>
          <w:sz w:val="24"/>
          <w:szCs w:val="24"/>
        </w:rPr>
        <w:t xml:space="preserve">rquivologia </w:t>
      </w:r>
      <w:r>
        <w:rPr>
          <w:rFonts w:ascii="Times New Roman" w:hAnsi="Times New Roman" w:cs="Times New Roman"/>
          <w:sz w:val="24"/>
          <w:szCs w:val="24"/>
        </w:rPr>
        <w:t xml:space="preserve">e </w:t>
      </w:r>
      <w:r w:rsidRPr="00B83DBA">
        <w:rPr>
          <w:rFonts w:ascii="Times New Roman" w:hAnsi="Times New Roman" w:cs="Times New Roman"/>
          <w:sz w:val="24"/>
          <w:szCs w:val="24"/>
        </w:rPr>
        <w:t>com a proposta de relacioná-los com práticas de aquisição arquivísticas, houve a ampliação da definição do termo em pauta e, consequentemente</w:t>
      </w:r>
      <w:r>
        <w:rPr>
          <w:rFonts w:ascii="Times New Roman" w:hAnsi="Times New Roman" w:cs="Times New Roman"/>
          <w:sz w:val="24"/>
          <w:szCs w:val="24"/>
        </w:rPr>
        <w:t>,</w:t>
      </w:r>
      <w:r w:rsidRPr="00B83DBA">
        <w:rPr>
          <w:rFonts w:ascii="Times New Roman" w:hAnsi="Times New Roman" w:cs="Times New Roman"/>
          <w:sz w:val="24"/>
          <w:szCs w:val="24"/>
        </w:rPr>
        <w:t xml:space="preserve"> o entendimento que possuímos dele hoje. Inicialmente, os manuais do período contemporâneo passaram a definir aquisição com</w:t>
      </w:r>
      <w:r>
        <w:rPr>
          <w:rFonts w:ascii="Times New Roman" w:hAnsi="Times New Roman" w:cs="Times New Roman"/>
          <w:sz w:val="24"/>
          <w:szCs w:val="24"/>
        </w:rPr>
        <w:t>o</w:t>
      </w:r>
      <w:r w:rsidRPr="00B83DBA">
        <w:rPr>
          <w:rFonts w:ascii="Times New Roman" w:hAnsi="Times New Roman" w:cs="Times New Roman"/>
          <w:sz w:val="24"/>
          <w:szCs w:val="24"/>
        </w:rPr>
        <w:t xml:space="preserve"> métodos que envolviam a transmissão formal de propriedade, como compra e doação e, posteriormente, como métodos caracterizados pela transmissão oficial de documentos, como transferência, como também pela transmissão formal de posse, como o comodato. </w:t>
      </w:r>
      <w:bookmarkEnd w:id="52"/>
    </w:p>
    <w:p w14:paraId="43E7B625" w14:textId="561787A8" w:rsidR="00B125DC" w:rsidRPr="00B83DBA" w:rsidRDefault="00B125DC" w:rsidP="00B125DC">
      <w:pPr>
        <w:spacing w:after="0" w:line="360" w:lineRule="auto"/>
        <w:ind w:firstLine="720"/>
        <w:jc w:val="both"/>
        <w:rPr>
          <w:rFonts w:ascii="Times New Roman" w:hAnsi="Times New Roman" w:cs="Times New Roman"/>
          <w:sz w:val="24"/>
          <w:szCs w:val="24"/>
        </w:rPr>
      </w:pPr>
      <w:bookmarkStart w:id="53" w:name="_Hlk130118061"/>
      <w:r w:rsidRPr="00B83DBA">
        <w:rPr>
          <w:rFonts w:ascii="Times New Roman" w:hAnsi="Times New Roman" w:cs="Times New Roman"/>
          <w:sz w:val="24"/>
          <w:szCs w:val="24"/>
        </w:rPr>
        <w:t>Como resultado foi possível constatar que aquisição possui significados diversos e divergentes que podem ser classificados em transmissão formal de propriedade, transmissão formal de posse e transmissão oficial de documentos. Em relação à produção manual</w:t>
      </w:r>
      <w:r w:rsidR="00F7213F">
        <w:rPr>
          <w:rFonts w:ascii="Times New Roman" w:hAnsi="Times New Roman" w:cs="Times New Roman"/>
          <w:sz w:val="24"/>
          <w:szCs w:val="24"/>
        </w:rPr>
        <w:t>í</w:t>
      </w:r>
      <w:r w:rsidRPr="00B83DBA">
        <w:rPr>
          <w:rFonts w:ascii="Times New Roman" w:hAnsi="Times New Roman" w:cs="Times New Roman"/>
          <w:sz w:val="24"/>
          <w:szCs w:val="24"/>
        </w:rPr>
        <w:t>stica</w:t>
      </w:r>
      <w:r>
        <w:rPr>
          <w:rFonts w:ascii="Times New Roman" w:hAnsi="Times New Roman" w:cs="Times New Roman"/>
          <w:sz w:val="24"/>
          <w:szCs w:val="24"/>
        </w:rPr>
        <w:t>,</w:t>
      </w:r>
      <w:r w:rsidRPr="00B83DBA">
        <w:rPr>
          <w:rFonts w:ascii="Times New Roman" w:hAnsi="Times New Roman" w:cs="Times New Roman"/>
          <w:sz w:val="24"/>
          <w:szCs w:val="24"/>
        </w:rPr>
        <w:t xml:space="preserve"> a aquisição passou a ser reconhecida como uma prática arquivística a partir do período contemporâneo. Foi nesse mesmo período que o termo em pauta ganhou uma diversidade de significados. Por tudo isso, é indicado um maior estudo do termo em questão com o intuito de evitar a </w:t>
      </w:r>
      <w:r>
        <w:rPr>
          <w:rFonts w:ascii="Times New Roman" w:hAnsi="Times New Roman" w:cs="Times New Roman"/>
          <w:sz w:val="24"/>
          <w:szCs w:val="24"/>
        </w:rPr>
        <w:t>sua generalização</w:t>
      </w:r>
      <w:r w:rsidRPr="00B83DBA">
        <w:rPr>
          <w:rFonts w:ascii="Times New Roman" w:hAnsi="Times New Roman" w:cs="Times New Roman"/>
          <w:sz w:val="24"/>
          <w:szCs w:val="24"/>
        </w:rPr>
        <w:t>.</w:t>
      </w:r>
    </w:p>
    <w:bookmarkEnd w:id="53"/>
    <w:p w14:paraId="2B4393D7" w14:textId="77777777" w:rsidR="00B125DC" w:rsidRPr="00B83DBA" w:rsidRDefault="00B125DC" w:rsidP="00B125DC">
      <w:pPr>
        <w:spacing w:after="0" w:line="360" w:lineRule="auto"/>
        <w:jc w:val="both"/>
        <w:rPr>
          <w:rFonts w:ascii="Times New Roman" w:eastAsia="Times New Roman" w:hAnsi="Times New Roman" w:cs="Times New Roman"/>
          <w:sz w:val="24"/>
          <w:szCs w:val="24"/>
        </w:rPr>
      </w:pPr>
    </w:p>
    <w:p w14:paraId="5A8B763F" w14:textId="77777777" w:rsidR="00B125DC" w:rsidRDefault="00B125DC" w:rsidP="00B125D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3344323E" w14:textId="77777777" w:rsidR="00B125DC" w:rsidRDefault="00B125DC" w:rsidP="00B125DC">
      <w:pPr>
        <w:spacing w:after="0" w:line="360" w:lineRule="auto"/>
        <w:jc w:val="both"/>
        <w:rPr>
          <w:rFonts w:ascii="Times New Roman" w:eastAsia="Times New Roman" w:hAnsi="Times New Roman" w:cs="Times New Roman"/>
          <w:b/>
          <w:sz w:val="24"/>
          <w:szCs w:val="24"/>
        </w:rPr>
      </w:pPr>
    </w:p>
    <w:p w14:paraId="5A4848D1" w14:textId="77777777" w:rsidR="00B125DC" w:rsidRDefault="00B125DC" w:rsidP="00F7213F">
      <w:pPr>
        <w:spacing w:after="0" w:line="240" w:lineRule="auto"/>
        <w:rPr>
          <w:rFonts w:ascii="Times New Roman" w:hAnsi="Times New Roman" w:cs="Times New Roman"/>
          <w:sz w:val="24"/>
          <w:szCs w:val="24"/>
        </w:rPr>
      </w:pPr>
      <w:r w:rsidRPr="000A4369">
        <w:rPr>
          <w:rFonts w:ascii="Times New Roman" w:hAnsi="Times New Roman" w:cs="Times New Roman"/>
          <w:sz w:val="24"/>
          <w:szCs w:val="24"/>
        </w:rPr>
        <w:t xml:space="preserve">ARQUIVO NACIONAL. </w:t>
      </w:r>
      <w:r w:rsidRPr="000A4369">
        <w:rPr>
          <w:rFonts w:ascii="Times New Roman" w:hAnsi="Times New Roman" w:cs="Times New Roman"/>
          <w:b/>
          <w:bCs/>
          <w:iCs/>
          <w:sz w:val="24"/>
          <w:szCs w:val="24"/>
        </w:rPr>
        <w:t>Dicionário brasileiro de terminologia arquivística</w:t>
      </w:r>
      <w:r w:rsidRPr="000A4369">
        <w:rPr>
          <w:rFonts w:ascii="Times New Roman" w:hAnsi="Times New Roman" w:cs="Times New Roman"/>
          <w:sz w:val="24"/>
          <w:szCs w:val="24"/>
        </w:rPr>
        <w:t>. Rio de Janeiro: Arquivo Nacional, 2005.</w:t>
      </w:r>
    </w:p>
    <w:p w14:paraId="509B606E" w14:textId="77777777" w:rsidR="00F7213F" w:rsidRDefault="00F7213F" w:rsidP="00F7213F">
      <w:pPr>
        <w:spacing w:after="0" w:line="360" w:lineRule="auto"/>
        <w:rPr>
          <w:rFonts w:ascii="Times New Roman" w:hAnsi="Times New Roman" w:cs="Times New Roman"/>
          <w:sz w:val="24"/>
          <w:szCs w:val="24"/>
        </w:rPr>
      </w:pPr>
    </w:p>
    <w:p w14:paraId="221E6107" w14:textId="5FBC29C5" w:rsidR="00B125DC" w:rsidRDefault="00B125DC" w:rsidP="00F7213F">
      <w:pPr>
        <w:spacing w:after="0" w:line="240" w:lineRule="auto"/>
        <w:rPr>
          <w:rFonts w:ascii="Times New Roman" w:hAnsi="Times New Roman" w:cs="Times New Roman"/>
          <w:sz w:val="24"/>
          <w:szCs w:val="24"/>
        </w:rPr>
      </w:pPr>
      <w:r w:rsidRPr="00A71E47">
        <w:rPr>
          <w:rFonts w:ascii="Times New Roman" w:hAnsi="Times New Roman" w:cs="Times New Roman"/>
          <w:sz w:val="24"/>
          <w:szCs w:val="24"/>
        </w:rPr>
        <w:t xml:space="preserve">ASSOCIAÇÃO DOS ARQUIVISTAS HOLANDESES. </w:t>
      </w:r>
      <w:r w:rsidRPr="00A71E47">
        <w:rPr>
          <w:rFonts w:ascii="Times New Roman" w:hAnsi="Times New Roman" w:cs="Times New Roman"/>
          <w:b/>
          <w:bCs/>
          <w:sz w:val="24"/>
          <w:szCs w:val="24"/>
        </w:rPr>
        <w:t>Manual de arranjo e descrição de arquivos</w:t>
      </w:r>
      <w:r w:rsidRPr="00A71E47">
        <w:rPr>
          <w:rFonts w:ascii="Times New Roman" w:hAnsi="Times New Roman" w:cs="Times New Roman"/>
          <w:sz w:val="24"/>
          <w:szCs w:val="24"/>
        </w:rPr>
        <w:t>. 2. ed. Rio de Janeiro: Arquivo Nacional, 1973.</w:t>
      </w:r>
    </w:p>
    <w:p w14:paraId="0B302F23" w14:textId="77777777" w:rsidR="00F7213F" w:rsidRPr="00A71E47" w:rsidRDefault="00F7213F" w:rsidP="00F7213F">
      <w:pPr>
        <w:spacing w:after="0" w:line="360" w:lineRule="auto"/>
        <w:rPr>
          <w:rFonts w:ascii="Times New Roman" w:hAnsi="Times New Roman" w:cs="Times New Roman"/>
          <w:sz w:val="24"/>
          <w:szCs w:val="24"/>
        </w:rPr>
      </w:pPr>
    </w:p>
    <w:p w14:paraId="027D20FD" w14:textId="77777777" w:rsidR="00B125DC" w:rsidRDefault="00B125DC" w:rsidP="00F7213F">
      <w:pPr>
        <w:spacing w:after="0" w:line="240" w:lineRule="auto"/>
        <w:rPr>
          <w:rFonts w:ascii="Times New Roman" w:hAnsi="Times New Roman" w:cs="Times New Roman"/>
          <w:sz w:val="24"/>
          <w:szCs w:val="24"/>
        </w:rPr>
      </w:pPr>
      <w:r w:rsidRPr="000A4369">
        <w:rPr>
          <w:rFonts w:ascii="Times New Roman" w:hAnsi="Times New Roman" w:cs="Times New Roman"/>
          <w:sz w:val="24"/>
          <w:szCs w:val="24"/>
        </w:rPr>
        <w:t xml:space="preserve">BRASIL. </w:t>
      </w:r>
      <w:r w:rsidRPr="000A4369">
        <w:rPr>
          <w:rFonts w:ascii="Times New Roman" w:hAnsi="Times New Roman" w:cs="Times New Roman"/>
          <w:b/>
          <w:bCs/>
          <w:sz w:val="24"/>
          <w:szCs w:val="24"/>
        </w:rPr>
        <w:t>Lei nº 10.406, de 10 de janeiro de 2002</w:t>
      </w:r>
      <w:r w:rsidRPr="000A4369">
        <w:rPr>
          <w:rFonts w:ascii="Times New Roman" w:hAnsi="Times New Roman" w:cs="Times New Roman"/>
          <w:sz w:val="24"/>
          <w:szCs w:val="24"/>
        </w:rPr>
        <w:t xml:space="preserve">. Institui o Código Civil. Brasília, DF: Presidência da República, 2022. </w:t>
      </w:r>
    </w:p>
    <w:p w14:paraId="09FE1898" w14:textId="77777777" w:rsidR="00F7213F" w:rsidRDefault="00F7213F" w:rsidP="00F7213F">
      <w:pPr>
        <w:spacing w:after="0" w:line="360" w:lineRule="auto"/>
        <w:rPr>
          <w:rFonts w:ascii="Times New Roman" w:hAnsi="Times New Roman" w:cs="Times New Roman"/>
          <w:sz w:val="24"/>
          <w:szCs w:val="24"/>
        </w:rPr>
      </w:pPr>
    </w:p>
    <w:p w14:paraId="15673C6A" w14:textId="77777777" w:rsidR="00B125DC" w:rsidRDefault="00B125DC" w:rsidP="00F7213F">
      <w:pPr>
        <w:spacing w:after="0" w:line="240" w:lineRule="auto"/>
        <w:rPr>
          <w:rFonts w:ascii="Times New Roman" w:hAnsi="Times New Roman" w:cs="Times New Roman"/>
          <w:sz w:val="24"/>
          <w:szCs w:val="24"/>
        </w:rPr>
      </w:pPr>
      <w:r w:rsidRPr="000A4369">
        <w:rPr>
          <w:rFonts w:ascii="Times New Roman" w:hAnsi="Times New Roman" w:cs="Times New Roman"/>
          <w:sz w:val="24"/>
          <w:szCs w:val="24"/>
        </w:rPr>
        <w:t xml:space="preserve">CARVALHO, Ernani Macedo de. </w:t>
      </w:r>
      <w:r w:rsidRPr="000A4369">
        <w:rPr>
          <w:rFonts w:ascii="Times New Roman" w:hAnsi="Times New Roman" w:cs="Times New Roman"/>
          <w:b/>
          <w:bCs/>
          <w:sz w:val="24"/>
          <w:szCs w:val="24"/>
        </w:rPr>
        <w:t>Manual de classificação e archivamento de papéis e documentos commerciaes e civis</w:t>
      </w:r>
      <w:r w:rsidRPr="000A4369">
        <w:rPr>
          <w:rFonts w:ascii="Times New Roman" w:hAnsi="Times New Roman" w:cs="Times New Roman"/>
          <w:sz w:val="24"/>
          <w:szCs w:val="24"/>
        </w:rPr>
        <w:t>. São Paulo: São Paulo Editora LTDA, 1931.</w:t>
      </w:r>
    </w:p>
    <w:p w14:paraId="1279B2AF" w14:textId="77777777" w:rsidR="00F7213F" w:rsidRDefault="00F7213F" w:rsidP="00F7213F">
      <w:pPr>
        <w:spacing w:after="0" w:line="360" w:lineRule="auto"/>
        <w:rPr>
          <w:rFonts w:ascii="Times New Roman" w:hAnsi="Times New Roman" w:cs="Times New Roman"/>
          <w:sz w:val="24"/>
          <w:szCs w:val="24"/>
        </w:rPr>
      </w:pPr>
    </w:p>
    <w:p w14:paraId="34857252" w14:textId="77777777" w:rsidR="00B125DC" w:rsidRDefault="00B125DC" w:rsidP="00F7213F">
      <w:pPr>
        <w:spacing w:after="0" w:line="240" w:lineRule="auto"/>
        <w:rPr>
          <w:rFonts w:ascii="Times New Roman" w:hAnsi="Times New Roman" w:cs="Times New Roman"/>
          <w:sz w:val="24"/>
          <w:szCs w:val="24"/>
          <w:lang w:val="en-US"/>
        </w:rPr>
      </w:pPr>
      <w:r w:rsidRPr="000F2BA7">
        <w:rPr>
          <w:rFonts w:ascii="Times New Roman" w:hAnsi="Times New Roman" w:cs="Times New Roman"/>
          <w:sz w:val="24"/>
          <w:szCs w:val="24"/>
        </w:rPr>
        <w:lastRenderedPageBreak/>
        <w:t xml:space="preserve">CRUSH, Peter J. Acquisition. </w:t>
      </w:r>
      <w:r w:rsidRPr="000F2BA7">
        <w:rPr>
          <w:rFonts w:ascii="Times New Roman" w:hAnsi="Times New Roman" w:cs="Times New Roman"/>
          <w:i/>
          <w:iCs/>
          <w:sz w:val="24"/>
          <w:szCs w:val="24"/>
          <w:lang w:val="en-US"/>
        </w:rPr>
        <w:t>In</w:t>
      </w:r>
      <w:r w:rsidRPr="000F2BA7">
        <w:rPr>
          <w:rFonts w:ascii="Times New Roman" w:hAnsi="Times New Roman" w:cs="Times New Roman"/>
          <w:sz w:val="24"/>
          <w:szCs w:val="24"/>
          <w:lang w:val="en-US"/>
        </w:rPr>
        <w:t>:</w:t>
      </w:r>
      <w:r w:rsidRPr="00B125DC">
        <w:rPr>
          <w:rFonts w:ascii="Times New Roman" w:hAnsi="Times New Roman" w:cs="Times New Roman"/>
          <w:sz w:val="24"/>
          <w:szCs w:val="24"/>
          <w:lang w:val="en-US"/>
        </w:rPr>
        <w:t xml:space="preserve"> </w:t>
      </w:r>
      <w:r w:rsidRPr="000F2BA7">
        <w:rPr>
          <w:rFonts w:ascii="Times New Roman" w:hAnsi="Times New Roman" w:cs="Times New Roman"/>
          <w:sz w:val="24"/>
          <w:szCs w:val="24"/>
          <w:lang w:val="en-US"/>
        </w:rPr>
        <w:t xml:space="preserve">BETTINGTON, Jackie; EBERHARD, Kim; LOO, Rowena; SMITH, Clive (org.). </w:t>
      </w:r>
      <w:r w:rsidRPr="000F2BA7">
        <w:rPr>
          <w:rFonts w:ascii="Times New Roman" w:hAnsi="Times New Roman" w:cs="Times New Roman"/>
          <w:b/>
          <w:bCs/>
          <w:iCs/>
          <w:sz w:val="24"/>
          <w:szCs w:val="24"/>
          <w:lang w:val="en-US"/>
        </w:rPr>
        <w:t>Keeping Archives</w:t>
      </w:r>
      <w:r w:rsidRPr="000F2BA7">
        <w:rPr>
          <w:rFonts w:ascii="Times New Roman" w:hAnsi="Times New Roman" w:cs="Times New Roman"/>
          <w:sz w:val="24"/>
          <w:szCs w:val="24"/>
          <w:lang w:val="en-US"/>
        </w:rPr>
        <w:t>. Canberra: Australian Society of Archivists, 2008. p. 206-225.</w:t>
      </w:r>
    </w:p>
    <w:p w14:paraId="7E7F8D06" w14:textId="77777777" w:rsidR="00B125DC" w:rsidRPr="000A4369" w:rsidRDefault="00B125DC" w:rsidP="00F7213F">
      <w:pPr>
        <w:spacing w:after="0" w:line="240" w:lineRule="auto"/>
        <w:jc w:val="both"/>
        <w:rPr>
          <w:rFonts w:ascii="Times New Roman" w:hAnsi="Times New Roman" w:cs="Times New Roman"/>
          <w:sz w:val="24"/>
          <w:szCs w:val="24"/>
          <w:lang w:val="en-US"/>
        </w:rPr>
      </w:pPr>
      <w:r w:rsidRPr="000A4369">
        <w:rPr>
          <w:rFonts w:ascii="Times New Roman" w:hAnsi="Times New Roman" w:cs="Times New Roman"/>
          <w:sz w:val="24"/>
          <w:szCs w:val="24"/>
          <w:lang w:val="en-US"/>
        </w:rPr>
        <w:t xml:space="preserve">FISHER, Robert. Acquisition. In: DURANTI, Luciana; FRANKS, Patricia. </w:t>
      </w:r>
      <w:r w:rsidRPr="000A4369">
        <w:rPr>
          <w:rFonts w:ascii="Times New Roman" w:hAnsi="Times New Roman" w:cs="Times New Roman"/>
          <w:b/>
          <w:bCs/>
          <w:sz w:val="24"/>
          <w:szCs w:val="24"/>
          <w:lang w:val="en-US"/>
        </w:rPr>
        <w:t>Encyclopedia of Archival Science</w:t>
      </w:r>
      <w:r w:rsidRPr="000A4369">
        <w:rPr>
          <w:rFonts w:ascii="Times New Roman" w:hAnsi="Times New Roman" w:cs="Times New Roman"/>
          <w:sz w:val="24"/>
          <w:szCs w:val="24"/>
          <w:lang w:val="en-US"/>
        </w:rPr>
        <w:t>. London: Rowman &amp; Littlefield. 2015.</w:t>
      </w:r>
    </w:p>
    <w:p w14:paraId="7E522C31" w14:textId="77777777" w:rsidR="00B125DC" w:rsidRPr="000A4369" w:rsidRDefault="00B125DC" w:rsidP="00F7213F">
      <w:pPr>
        <w:spacing w:after="0" w:line="360" w:lineRule="auto"/>
        <w:jc w:val="both"/>
        <w:rPr>
          <w:rFonts w:ascii="Times New Roman" w:hAnsi="Times New Roman" w:cs="Times New Roman"/>
          <w:sz w:val="24"/>
          <w:szCs w:val="24"/>
          <w:lang w:val="en-US"/>
        </w:rPr>
      </w:pPr>
    </w:p>
    <w:p w14:paraId="31764E4F" w14:textId="77777777" w:rsidR="00B125DC" w:rsidRPr="000A4369" w:rsidRDefault="00B125DC" w:rsidP="00F7213F">
      <w:pPr>
        <w:pStyle w:val="Textodenotaderodap"/>
        <w:rPr>
          <w:rFonts w:ascii="Times New Roman" w:hAnsi="Times New Roman" w:cs="Times New Roman"/>
          <w:sz w:val="24"/>
          <w:szCs w:val="24"/>
          <w:lang w:val="en-US"/>
        </w:rPr>
      </w:pPr>
      <w:r w:rsidRPr="000A4369">
        <w:rPr>
          <w:rFonts w:ascii="Times New Roman" w:hAnsi="Times New Roman" w:cs="Times New Roman"/>
          <w:sz w:val="24"/>
          <w:szCs w:val="24"/>
          <w:lang w:val="en-US"/>
        </w:rPr>
        <w:t xml:space="preserve">HAM, F. Gerald. </w:t>
      </w:r>
      <w:r w:rsidRPr="000A4369">
        <w:rPr>
          <w:rFonts w:ascii="Times New Roman" w:hAnsi="Times New Roman" w:cs="Times New Roman"/>
          <w:b/>
          <w:bCs/>
          <w:iCs/>
          <w:sz w:val="24"/>
          <w:szCs w:val="24"/>
          <w:lang w:val="en-US"/>
        </w:rPr>
        <w:t>Selecting and Appraising Archives and Manuscripts</w:t>
      </w:r>
      <w:r w:rsidRPr="000A4369">
        <w:rPr>
          <w:rFonts w:ascii="Times New Roman" w:hAnsi="Times New Roman" w:cs="Times New Roman"/>
          <w:sz w:val="24"/>
          <w:szCs w:val="24"/>
          <w:lang w:val="en-US"/>
        </w:rPr>
        <w:t>. Chicago: The Society of American Archivists, 1993.</w:t>
      </w:r>
    </w:p>
    <w:p w14:paraId="22A705F1" w14:textId="77777777" w:rsidR="00B125DC" w:rsidRPr="000A4369" w:rsidRDefault="00B125DC" w:rsidP="00F7213F">
      <w:pPr>
        <w:spacing w:after="0" w:line="360" w:lineRule="auto"/>
        <w:jc w:val="both"/>
        <w:rPr>
          <w:rFonts w:ascii="Times New Roman" w:hAnsi="Times New Roman" w:cs="Times New Roman"/>
          <w:sz w:val="24"/>
          <w:szCs w:val="24"/>
          <w:lang w:val="en-US"/>
        </w:rPr>
      </w:pPr>
    </w:p>
    <w:p w14:paraId="7C9BAED6" w14:textId="77777777" w:rsidR="00B125DC" w:rsidRDefault="00B125DC" w:rsidP="00F7213F">
      <w:pPr>
        <w:spacing w:after="0" w:line="240" w:lineRule="auto"/>
        <w:rPr>
          <w:rFonts w:ascii="Times New Roman" w:hAnsi="Times New Roman" w:cs="Times New Roman"/>
          <w:sz w:val="24"/>
          <w:szCs w:val="24"/>
          <w:lang w:val="es-419"/>
        </w:rPr>
      </w:pPr>
      <w:r w:rsidRPr="000A4369">
        <w:rPr>
          <w:rFonts w:ascii="Times New Roman" w:hAnsi="Times New Roman" w:cs="Times New Roman"/>
          <w:sz w:val="24"/>
          <w:szCs w:val="24"/>
          <w:lang w:val="es-419"/>
        </w:rPr>
        <w:t xml:space="preserve">JENKINSON, Hilary. </w:t>
      </w:r>
      <w:r w:rsidRPr="000A4369">
        <w:rPr>
          <w:rFonts w:ascii="Times New Roman" w:hAnsi="Times New Roman" w:cs="Times New Roman"/>
          <w:b/>
          <w:bCs/>
          <w:sz w:val="24"/>
          <w:szCs w:val="24"/>
          <w:lang w:val="es-419"/>
        </w:rPr>
        <w:t>A Manual of Archive Administration</w:t>
      </w:r>
      <w:r w:rsidRPr="000A4369">
        <w:rPr>
          <w:rFonts w:ascii="Times New Roman" w:hAnsi="Times New Roman" w:cs="Times New Roman"/>
          <w:sz w:val="24"/>
          <w:szCs w:val="24"/>
          <w:lang w:val="es-419"/>
        </w:rPr>
        <w:t>. Londres: Oxford, 1937.</w:t>
      </w:r>
    </w:p>
    <w:p w14:paraId="5047DEF2" w14:textId="77777777" w:rsidR="00F7213F" w:rsidRPr="000A4369" w:rsidRDefault="00F7213F" w:rsidP="00F7213F">
      <w:pPr>
        <w:spacing w:after="0" w:line="360" w:lineRule="auto"/>
        <w:rPr>
          <w:rFonts w:ascii="Times New Roman" w:hAnsi="Times New Roman" w:cs="Times New Roman"/>
          <w:sz w:val="24"/>
          <w:szCs w:val="24"/>
          <w:lang w:val="es-419"/>
        </w:rPr>
      </w:pPr>
    </w:p>
    <w:p w14:paraId="7B8F4219" w14:textId="77777777" w:rsidR="00B125DC" w:rsidRDefault="00B125DC" w:rsidP="00F7213F">
      <w:pPr>
        <w:spacing w:after="0" w:line="240" w:lineRule="auto"/>
        <w:rPr>
          <w:rFonts w:ascii="Times New Roman" w:hAnsi="Times New Roman" w:cs="Times New Roman"/>
          <w:sz w:val="24"/>
          <w:szCs w:val="24"/>
          <w:lang w:val="es-419"/>
        </w:rPr>
      </w:pPr>
      <w:r w:rsidRPr="00B125DC">
        <w:rPr>
          <w:rFonts w:ascii="Times New Roman" w:hAnsi="Times New Roman" w:cs="Times New Roman"/>
          <w:sz w:val="24"/>
          <w:szCs w:val="24"/>
          <w:lang w:val="en-US"/>
        </w:rPr>
        <w:t xml:space="preserve">KESNER. Richard M. Archival collection development: building a successful acquisitions program. </w:t>
      </w:r>
      <w:r w:rsidRPr="00B125DC">
        <w:rPr>
          <w:rFonts w:ascii="Times New Roman" w:hAnsi="Times New Roman" w:cs="Times New Roman"/>
          <w:i/>
          <w:iCs/>
          <w:sz w:val="24"/>
          <w:szCs w:val="24"/>
          <w:lang w:val="en-US"/>
        </w:rPr>
        <w:t>In</w:t>
      </w:r>
      <w:r w:rsidRPr="00B125DC">
        <w:rPr>
          <w:rFonts w:ascii="Times New Roman" w:hAnsi="Times New Roman" w:cs="Times New Roman"/>
          <w:sz w:val="24"/>
          <w:szCs w:val="24"/>
          <w:lang w:val="en-US"/>
        </w:rPr>
        <w:t xml:space="preserve">: DANIELS, Maygene; WALCH, Timothy (org.). </w:t>
      </w:r>
      <w:r w:rsidRPr="000A4369">
        <w:rPr>
          <w:rFonts w:ascii="Times New Roman" w:hAnsi="Times New Roman" w:cs="Times New Roman"/>
          <w:b/>
          <w:bCs/>
          <w:sz w:val="24"/>
          <w:szCs w:val="24"/>
          <w:lang w:val="es-419"/>
        </w:rPr>
        <w:t>A modern archives reader</w:t>
      </w:r>
      <w:r w:rsidRPr="000A4369">
        <w:rPr>
          <w:rFonts w:ascii="Times New Roman" w:hAnsi="Times New Roman" w:cs="Times New Roman"/>
          <w:sz w:val="24"/>
          <w:szCs w:val="24"/>
          <w:lang w:val="es-419"/>
        </w:rPr>
        <w:t>: basics Readings in archival theory and practice. Washington D.C.: National Archives and Records Service, 1984. p. 114-123.</w:t>
      </w:r>
    </w:p>
    <w:p w14:paraId="12C48714" w14:textId="77777777" w:rsidR="00F7213F" w:rsidRDefault="00F7213F" w:rsidP="00F7213F">
      <w:pPr>
        <w:spacing w:after="0" w:line="360" w:lineRule="auto"/>
        <w:rPr>
          <w:rFonts w:ascii="Times New Roman" w:hAnsi="Times New Roman" w:cs="Times New Roman"/>
          <w:sz w:val="24"/>
          <w:szCs w:val="24"/>
          <w:lang w:val="es-419"/>
        </w:rPr>
      </w:pPr>
    </w:p>
    <w:p w14:paraId="41E7AAC0" w14:textId="77777777" w:rsidR="00B125DC" w:rsidRDefault="00B125DC" w:rsidP="00F7213F">
      <w:pPr>
        <w:autoSpaceDE w:val="0"/>
        <w:autoSpaceDN w:val="0"/>
        <w:adjustRightInd w:val="0"/>
        <w:spacing w:after="0" w:line="240" w:lineRule="auto"/>
        <w:rPr>
          <w:rFonts w:ascii="Times New Roman" w:hAnsi="Times New Roman" w:cs="Times New Roman"/>
          <w:iCs/>
          <w:sz w:val="24"/>
          <w:szCs w:val="24"/>
        </w:rPr>
      </w:pPr>
      <w:r w:rsidRPr="00B125DC">
        <w:rPr>
          <w:rFonts w:ascii="Times New Roman" w:hAnsi="Times New Roman" w:cs="Times New Roman"/>
          <w:iCs/>
          <w:sz w:val="24"/>
          <w:szCs w:val="24"/>
        </w:rPr>
        <w:t xml:space="preserve">SCHELLENBERG, Theodore R. </w:t>
      </w:r>
      <w:r w:rsidRPr="00B125DC">
        <w:rPr>
          <w:rFonts w:ascii="Times New Roman" w:hAnsi="Times New Roman" w:cs="Times New Roman"/>
          <w:b/>
          <w:bCs/>
          <w:iCs/>
          <w:sz w:val="24"/>
          <w:szCs w:val="24"/>
        </w:rPr>
        <w:t>Arquivos modernos: princípios e técnicas</w:t>
      </w:r>
      <w:r w:rsidRPr="00B125DC">
        <w:rPr>
          <w:rFonts w:ascii="Times New Roman" w:hAnsi="Times New Roman" w:cs="Times New Roman"/>
          <w:iCs/>
          <w:sz w:val="24"/>
          <w:szCs w:val="24"/>
        </w:rPr>
        <w:t>. 6. ed. Rio de Janeiro: Editora FGV, 2006.</w:t>
      </w:r>
    </w:p>
    <w:p w14:paraId="018E1EAD" w14:textId="77777777" w:rsidR="00F7213F" w:rsidRPr="00B125DC" w:rsidRDefault="00F7213F" w:rsidP="00F7213F">
      <w:pPr>
        <w:autoSpaceDE w:val="0"/>
        <w:autoSpaceDN w:val="0"/>
        <w:adjustRightInd w:val="0"/>
        <w:spacing w:after="0" w:line="360" w:lineRule="auto"/>
        <w:rPr>
          <w:rFonts w:ascii="Times New Roman" w:hAnsi="Times New Roman" w:cs="Times New Roman"/>
          <w:iCs/>
          <w:sz w:val="24"/>
          <w:szCs w:val="24"/>
        </w:rPr>
      </w:pPr>
    </w:p>
    <w:p w14:paraId="6F8E505A" w14:textId="77777777" w:rsidR="00B125DC" w:rsidRDefault="00B125DC" w:rsidP="00F7213F">
      <w:pPr>
        <w:autoSpaceDE w:val="0"/>
        <w:autoSpaceDN w:val="0"/>
        <w:adjustRightInd w:val="0"/>
        <w:spacing w:after="0" w:line="240" w:lineRule="auto"/>
        <w:rPr>
          <w:rFonts w:ascii="Times New Roman" w:hAnsi="Times New Roman" w:cs="Times New Roman"/>
          <w:iCs/>
          <w:sz w:val="24"/>
          <w:szCs w:val="24"/>
        </w:rPr>
      </w:pPr>
      <w:r w:rsidRPr="00B125DC">
        <w:rPr>
          <w:rFonts w:ascii="Times New Roman" w:hAnsi="Times New Roman" w:cs="Times New Roman"/>
          <w:iCs/>
          <w:sz w:val="24"/>
          <w:szCs w:val="24"/>
        </w:rPr>
        <w:t xml:space="preserve">SCHMIDT, Clarissa Moreira dos Santos. </w:t>
      </w:r>
      <w:r w:rsidRPr="00B125DC">
        <w:rPr>
          <w:rFonts w:ascii="Times New Roman" w:hAnsi="Times New Roman" w:cs="Times New Roman"/>
          <w:b/>
          <w:bCs/>
          <w:iCs/>
          <w:sz w:val="24"/>
          <w:szCs w:val="24"/>
        </w:rPr>
        <w:t>A construção do objeto científico na trajetória histórico-epistemológica da Arquivologia</w:t>
      </w:r>
      <w:r w:rsidRPr="00B125DC">
        <w:rPr>
          <w:rFonts w:ascii="Times New Roman" w:hAnsi="Times New Roman" w:cs="Times New Roman"/>
          <w:iCs/>
          <w:sz w:val="24"/>
          <w:szCs w:val="24"/>
        </w:rPr>
        <w:t>. São Paulo: Associação de Arquivistas de São Paulo, 2015.</w:t>
      </w:r>
    </w:p>
    <w:p w14:paraId="386F48EA" w14:textId="77777777" w:rsidR="00F7213F" w:rsidRPr="00B125DC" w:rsidRDefault="00F7213F" w:rsidP="00F7213F">
      <w:pPr>
        <w:autoSpaceDE w:val="0"/>
        <w:autoSpaceDN w:val="0"/>
        <w:adjustRightInd w:val="0"/>
        <w:spacing w:after="0" w:line="360" w:lineRule="auto"/>
        <w:rPr>
          <w:rFonts w:ascii="Times New Roman" w:hAnsi="Times New Roman" w:cs="Times New Roman"/>
          <w:iCs/>
          <w:sz w:val="24"/>
          <w:szCs w:val="24"/>
        </w:rPr>
      </w:pPr>
    </w:p>
    <w:p w14:paraId="41AD8D46" w14:textId="77777777" w:rsidR="00B125DC" w:rsidRDefault="00B125DC" w:rsidP="00F7213F">
      <w:pPr>
        <w:autoSpaceDE w:val="0"/>
        <w:autoSpaceDN w:val="0"/>
        <w:adjustRightInd w:val="0"/>
        <w:spacing w:after="0" w:line="240" w:lineRule="auto"/>
        <w:rPr>
          <w:rFonts w:ascii="Times New Roman" w:hAnsi="Times New Roman" w:cs="Times New Roman"/>
          <w:iCs/>
          <w:sz w:val="24"/>
          <w:szCs w:val="24"/>
          <w:lang w:val="en-US"/>
        </w:rPr>
      </w:pPr>
      <w:r w:rsidRPr="00B125DC">
        <w:rPr>
          <w:rFonts w:ascii="Times New Roman" w:hAnsi="Times New Roman" w:cs="Times New Roman"/>
          <w:iCs/>
          <w:sz w:val="24"/>
          <w:szCs w:val="24"/>
        </w:rPr>
        <w:t xml:space="preserve">STEWART, Virginia R. A primer on manuscripts field work. </w:t>
      </w:r>
      <w:r w:rsidRPr="000A4369">
        <w:rPr>
          <w:rFonts w:ascii="Times New Roman" w:hAnsi="Times New Roman" w:cs="Times New Roman"/>
          <w:i/>
          <w:sz w:val="24"/>
          <w:szCs w:val="24"/>
          <w:lang w:val="en-US"/>
        </w:rPr>
        <w:t>In</w:t>
      </w:r>
      <w:r w:rsidRPr="000A4369">
        <w:rPr>
          <w:rFonts w:ascii="Times New Roman" w:hAnsi="Times New Roman" w:cs="Times New Roman"/>
          <w:iCs/>
          <w:sz w:val="24"/>
          <w:szCs w:val="24"/>
          <w:lang w:val="en-US"/>
        </w:rPr>
        <w:t xml:space="preserve">: DANIELS, Maygene; WALCH, Timothy. </w:t>
      </w:r>
      <w:r w:rsidRPr="000A4369">
        <w:rPr>
          <w:rFonts w:ascii="Times New Roman" w:hAnsi="Times New Roman" w:cs="Times New Roman"/>
          <w:b/>
          <w:bCs/>
          <w:iCs/>
          <w:sz w:val="24"/>
          <w:szCs w:val="24"/>
          <w:lang w:val="en-US"/>
        </w:rPr>
        <w:t>A Modern Archives Reader</w:t>
      </w:r>
      <w:r w:rsidRPr="000A4369">
        <w:rPr>
          <w:rFonts w:ascii="Times New Roman" w:hAnsi="Times New Roman" w:cs="Times New Roman"/>
          <w:iCs/>
          <w:sz w:val="24"/>
          <w:szCs w:val="24"/>
          <w:lang w:val="en-US"/>
        </w:rPr>
        <w:t>: Basics Readings in Archival Theory and Practice. Washington D.C.: National Archives and Records Service, 1984. p. 124-137.</w:t>
      </w:r>
    </w:p>
    <w:p w14:paraId="4893B819" w14:textId="77777777" w:rsidR="00F7213F" w:rsidRPr="000A4369" w:rsidRDefault="00F7213F" w:rsidP="00F7213F">
      <w:pPr>
        <w:autoSpaceDE w:val="0"/>
        <w:autoSpaceDN w:val="0"/>
        <w:adjustRightInd w:val="0"/>
        <w:spacing w:after="0" w:line="360" w:lineRule="auto"/>
        <w:rPr>
          <w:rFonts w:ascii="Times New Roman" w:hAnsi="Times New Roman" w:cs="Times New Roman"/>
          <w:iCs/>
          <w:sz w:val="24"/>
          <w:szCs w:val="24"/>
          <w:lang w:val="en-US"/>
        </w:rPr>
      </w:pPr>
    </w:p>
    <w:p w14:paraId="3A118495" w14:textId="77777777" w:rsidR="00B125DC" w:rsidRDefault="00B125DC" w:rsidP="00F7213F">
      <w:pPr>
        <w:autoSpaceDE w:val="0"/>
        <w:autoSpaceDN w:val="0"/>
        <w:adjustRightInd w:val="0"/>
        <w:spacing w:after="0" w:line="240" w:lineRule="auto"/>
        <w:rPr>
          <w:rFonts w:ascii="Times New Roman" w:hAnsi="Times New Roman" w:cs="Times New Roman"/>
          <w:iCs/>
          <w:sz w:val="24"/>
          <w:szCs w:val="24"/>
        </w:rPr>
      </w:pPr>
      <w:r w:rsidRPr="000A4369">
        <w:rPr>
          <w:rFonts w:ascii="Times New Roman" w:hAnsi="Times New Roman" w:cs="Times New Roman"/>
          <w:iCs/>
          <w:sz w:val="24"/>
          <w:szCs w:val="24"/>
          <w:lang w:val="en-US"/>
        </w:rPr>
        <w:t xml:space="preserve">TORRES, Marcílio Vaz. </w:t>
      </w:r>
      <w:r w:rsidRPr="00B125DC">
        <w:rPr>
          <w:rFonts w:ascii="Times New Roman" w:hAnsi="Times New Roman" w:cs="Times New Roman"/>
          <w:b/>
          <w:bCs/>
          <w:iCs/>
          <w:sz w:val="24"/>
          <w:szCs w:val="24"/>
        </w:rPr>
        <w:t>Vade-Mecum do arquivista</w:t>
      </w:r>
      <w:r w:rsidRPr="00B125DC">
        <w:rPr>
          <w:rFonts w:ascii="Times New Roman" w:hAnsi="Times New Roman" w:cs="Times New Roman"/>
          <w:iCs/>
          <w:sz w:val="24"/>
          <w:szCs w:val="24"/>
        </w:rPr>
        <w:t>. Rio de Janeiro: Imprensa Nacional; DASP, 1944.</w:t>
      </w:r>
    </w:p>
    <w:p w14:paraId="39A37F05" w14:textId="77777777" w:rsidR="00F7213F" w:rsidRPr="00B125DC" w:rsidRDefault="00F7213F" w:rsidP="00F7213F">
      <w:pPr>
        <w:autoSpaceDE w:val="0"/>
        <w:autoSpaceDN w:val="0"/>
        <w:adjustRightInd w:val="0"/>
        <w:spacing w:after="0" w:line="360" w:lineRule="auto"/>
        <w:rPr>
          <w:rFonts w:ascii="Times New Roman" w:hAnsi="Times New Roman" w:cs="Times New Roman"/>
          <w:iCs/>
          <w:sz w:val="24"/>
          <w:szCs w:val="24"/>
        </w:rPr>
      </w:pPr>
    </w:p>
    <w:p w14:paraId="4D180CEA" w14:textId="77777777" w:rsidR="00B125DC" w:rsidRDefault="00B125DC" w:rsidP="00F7213F">
      <w:pPr>
        <w:autoSpaceDE w:val="0"/>
        <w:autoSpaceDN w:val="0"/>
        <w:adjustRightInd w:val="0"/>
        <w:spacing w:after="0" w:line="240" w:lineRule="auto"/>
        <w:rPr>
          <w:rFonts w:ascii="Times New Roman" w:eastAsia="Times New Roman" w:hAnsi="Times New Roman" w:cs="Times New Roman"/>
          <w:sz w:val="24"/>
          <w:szCs w:val="24"/>
        </w:rPr>
      </w:pPr>
      <w:r w:rsidRPr="00B125DC">
        <w:rPr>
          <w:rFonts w:ascii="Times New Roman" w:hAnsi="Times New Roman" w:cs="Times New Roman"/>
          <w:iCs/>
          <w:sz w:val="24"/>
          <w:szCs w:val="24"/>
        </w:rPr>
        <w:t xml:space="preserve">WHITE, Eric Watson. </w:t>
      </w:r>
      <w:r w:rsidRPr="00B125DC">
        <w:rPr>
          <w:rFonts w:ascii="Times New Roman" w:hAnsi="Times New Roman" w:cs="Times New Roman"/>
          <w:b/>
          <w:bCs/>
          <w:iCs/>
          <w:sz w:val="24"/>
          <w:szCs w:val="24"/>
        </w:rPr>
        <w:t>Arquivar e achar</w:t>
      </w:r>
      <w:r w:rsidRPr="00B125DC">
        <w:rPr>
          <w:rFonts w:ascii="Times New Roman" w:hAnsi="Times New Roman" w:cs="Times New Roman"/>
          <w:iCs/>
          <w:sz w:val="24"/>
          <w:szCs w:val="24"/>
        </w:rPr>
        <w:t>. Rio de Janeiro: Gráficos Bloch, 1941.</w:t>
      </w:r>
    </w:p>
    <w:p w14:paraId="1D407F56" w14:textId="6F348F3A" w:rsidR="00B125DC" w:rsidRDefault="00B125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408A53C" w14:textId="77777777" w:rsidR="00456A9B" w:rsidRDefault="00456A9B" w:rsidP="00863B19">
      <w:pPr>
        <w:pStyle w:val="Standard"/>
        <w:jc w:val="center"/>
        <w:outlineLvl w:val="0"/>
        <w:rPr>
          <w:rFonts w:hint="eastAsia"/>
        </w:rPr>
      </w:pPr>
      <w:bookmarkStart w:id="54" w:name="_Toc146826500"/>
      <w:r>
        <w:rPr>
          <w:rFonts w:ascii="Times New Roman" w:hAnsi="Times New Roman"/>
          <w:b/>
          <w:bCs/>
        </w:rPr>
        <w:lastRenderedPageBreak/>
        <w:t xml:space="preserve">A NEODOCUMENTAÇÃO, SEUS ATORES E LUGARES: </w:t>
      </w:r>
      <w:r>
        <w:rPr>
          <w:rFonts w:ascii="Times New Roman" w:hAnsi="Times New Roman"/>
        </w:rPr>
        <w:t>Niels Lund e Michael Buckland, Dokvit e a Document Academy.</w:t>
      </w:r>
      <w:bookmarkEnd w:id="54"/>
    </w:p>
    <w:p w14:paraId="4AB7B4DB" w14:textId="77777777" w:rsidR="00456A9B" w:rsidRDefault="00456A9B" w:rsidP="00456A9B">
      <w:pPr>
        <w:pStyle w:val="Standard"/>
        <w:rPr>
          <w:rFonts w:ascii="Times New Roman" w:hAnsi="Times New Roman"/>
        </w:rPr>
      </w:pPr>
    </w:p>
    <w:p w14:paraId="04A20908" w14:textId="77777777" w:rsidR="00456A9B" w:rsidRDefault="00456A9B" w:rsidP="00456A9B">
      <w:pPr>
        <w:pStyle w:val="Standard"/>
        <w:rPr>
          <w:rFonts w:ascii="Times New Roman" w:hAnsi="Times New Roman"/>
        </w:rPr>
      </w:pPr>
    </w:p>
    <w:p w14:paraId="699FC8CE" w14:textId="77777777" w:rsidR="002C0098" w:rsidRPr="002C0098" w:rsidRDefault="002C0098" w:rsidP="002C0098">
      <w:pPr>
        <w:pStyle w:val="Standard"/>
        <w:spacing w:line="360" w:lineRule="auto"/>
        <w:rPr>
          <w:rFonts w:ascii="Times New Roman" w:hAnsi="Times New Roman"/>
          <w:b/>
          <w:bCs/>
        </w:rPr>
      </w:pPr>
      <w:r w:rsidRPr="002C0098">
        <w:rPr>
          <w:rFonts w:ascii="Times New Roman" w:hAnsi="Times New Roman"/>
          <w:b/>
          <w:bCs/>
        </w:rPr>
        <w:t>Asy Pepe Sanches Neto</w:t>
      </w:r>
    </w:p>
    <w:p w14:paraId="4131E900" w14:textId="77777777" w:rsidR="002C0098" w:rsidRDefault="002C0098" w:rsidP="002C0098">
      <w:pPr>
        <w:pStyle w:val="Standard"/>
        <w:spacing w:line="360" w:lineRule="auto"/>
        <w:rPr>
          <w:rFonts w:ascii="Times New Roman" w:hAnsi="Times New Roman"/>
        </w:rPr>
      </w:pPr>
      <w:r>
        <w:rPr>
          <w:rFonts w:ascii="Times New Roman" w:hAnsi="Times New Roman"/>
        </w:rPr>
        <w:t>Universidade Federal Fluminense</w:t>
      </w:r>
    </w:p>
    <w:p w14:paraId="380EE699" w14:textId="77777777" w:rsidR="002C0098" w:rsidRDefault="002C0098" w:rsidP="002C0098">
      <w:pPr>
        <w:pStyle w:val="Standard"/>
        <w:spacing w:line="360" w:lineRule="auto"/>
        <w:rPr>
          <w:rFonts w:ascii="Times New Roman" w:hAnsi="Times New Roman"/>
        </w:rPr>
      </w:pPr>
    </w:p>
    <w:p w14:paraId="62A6CD94" w14:textId="77777777" w:rsidR="002C0098" w:rsidRPr="002C0098" w:rsidRDefault="002C0098" w:rsidP="002C0098">
      <w:pPr>
        <w:pStyle w:val="Standard"/>
        <w:spacing w:line="360" w:lineRule="auto"/>
        <w:rPr>
          <w:rFonts w:ascii="Times New Roman" w:hAnsi="Times New Roman"/>
          <w:b/>
          <w:bCs/>
        </w:rPr>
      </w:pPr>
      <w:r w:rsidRPr="002C0098">
        <w:rPr>
          <w:rFonts w:ascii="Times New Roman" w:hAnsi="Times New Roman"/>
          <w:b/>
          <w:bCs/>
        </w:rPr>
        <w:t xml:space="preserve">Elisabete Gonçalves de Souza </w:t>
      </w:r>
    </w:p>
    <w:p w14:paraId="574138B8" w14:textId="45EEAA45" w:rsidR="00456A9B" w:rsidRDefault="002C0098" w:rsidP="002C0098">
      <w:pPr>
        <w:pStyle w:val="Standard"/>
        <w:spacing w:line="360" w:lineRule="auto"/>
        <w:rPr>
          <w:rFonts w:ascii="Times New Roman" w:hAnsi="Times New Roman"/>
        </w:rPr>
      </w:pPr>
      <w:r>
        <w:rPr>
          <w:rFonts w:ascii="Times New Roman" w:hAnsi="Times New Roman"/>
        </w:rPr>
        <w:t>Universidade Federal Fluminense</w:t>
      </w:r>
    </w:p>
    <w:p w14:paraId="4786FDC8" w14:textId="77777777" w:rsidR="002C0098" w:rsidRDefault="002C0098" w:rsidP="002C0098">
      <w:pPr>
        <w:pStyle w:val="Standard"/>
        <w:rPr>
          <w:rFonts w:ascii="Times New Roman" w:hAnsi="Times New Roman"/>
        </w:rPr>
      </w:pPr>
    </w:p>
    <w:p w14:paraId="248A05F8" w14:textId="4F774A64" w:rsidR="00456A9B" w:rsidRDefault="00F7213F" w:rsidP="00456A9B">
      <w:pPr>
        <w:pStyle w:val="Standard"/>
        <w:rPr>
          <w:rFonts w:ascii="Times New Roman" w:hAnsi="Times New Roman"/>
          <w:b/>
          <w:bCs/>
        </w:rPr>
      </w:pPr>
      <w:r w:rsidRPr="00863B19">
        <w:rPr>
          <w:rFonts w:ascii="Times New Roman" w:hAnsi="Times New Roman"/>
        </w:rPr>
        <w:t>1</w:t>
      </w:r>
      <w:r>
        <w:rPr>
          <w:rFonts w:ascii="Times New Roman" w:hAnsi="Times New Roman"/>
          <w:b/>
          <w:bCs/>
        </w:rPr>
        <w:t xml:space="preserve"> </w:t>
      </w:r>
      <w:r w:rsidR="00456A9B">
        <w:rPr>
          <w:rFonts w:ascii="Times New Roman" w:hAnsi="Times New Roman"/>
          <w:b/>
          <w:bCs/>
        </w:rPr>
        <w:t>APRESENTAÇÃO</w:t>
      </w:r>
    </w:p>
    <w:p w14:paraId="3EB9A23D" w14:textId="77777777" w:rsidR="00F7213F" w:rsidRDefault="00F7213F" w:rsidP="00456A9B">
      <w:pPr>
        <w:pStyle w:val="Standard"/>
        <w:rPr>
          <w:rFonts w:ascii="Times New Roman" w:hAnsi="Times New Roman"/>
          <w:b/>
          <w:bCs/>
        </w:rPr>
      </w:pPr>
    </w:p>
    <w:p w14:paraId="5E13D096" w14:textId="77777777" w:rsidR="00456A9B" w:rsidRDefault="00456A9B" w:rsidP="00456A9B">
      <w:pPr>
        <w:pStyle w:val="Standard"/>
        <w:rPr>
          <w:rFonts w:ascii="Times New Roman" w:hAnsi="Times New Roman"/>
        </w:rPr>
      </w:pPr>
    </w:p>
    <w:p w14:paraId="3935EDFF" w14:textId="77777777" w:rsidR="00456A9B" w:rsidRDefault="00456A9B" w:rsidP="00F7213F">
      <w:pPr>
        <w:pStyle w:val="NormalWeb"/>
        <w:spacing w:before="0" w:beforeAutospacing="0" w:after="0" w:afterAutospacing="0" w:line="360" w:lineRule="auto"/>
        <w:ind w:firstLine="862"/>
        <w:jc w:val="both"/>
      </w:pPr>
      <w:r>
        <w:t>Trata-se de relato sobre pesquisa de doutorado (Sanches Neto, 2022) que teve como objetivo conhecer o movimento denominado neodocumentação, hoje estabelecido como uma corrente de pensamento no campo das ciências documentais e da informação. Buscou-se, inicialmente, definir a expressão “neodocumentação”, mas, conforme avançávamos na investigação, identificamos que sua origem não estava em uma escola ou em um modelo teórico, nem tampouco em um método, mas sim, em uma rede colaborativa, cujas discussões centram-se em entender o documento como um fenômeno social, com implicações que envolvem aspectos técnicos e tecnológicos, além das representações semânticas e culturais. Aliás, como tentaremos demonstrar neste texto, houve (e há) um esforço de que a Neodocumentação se mantenha aberta às possibilidades teóricas, sociais e epistêmicas sobre o documento no</w:t>
      </w:r>
      <w:r>
        <w:rPr>
          <w:i/>
          <w:iCs/>
        </w:rPr>
        <w:t xml:space="preserve"> devir</w:t>
      </w:r>
      <w:r>
        <w:t xml:space="preserve"> das novas concepções de sociedade e diante das novas tecnologias desenvolvidas.</w:t>
      </w:r>
    </w:p>
    <w:p w14:paraId="64F831DE" w14:textId="77777777" w:rsidR="00456A9B" w:rsidRDefault="00456A9B" w:rsidP="00F7213F">
      <w:pPr>
        <w:pStyle w:val="NormalWeb"/>
        <w:spacing w:before="0" w:beforeAutospacing="0" w:after="0" w:afterAutospacing="0" w:line="360" w:lineRule="auto"/>
        <w:ind w:firstLine="862"/>
        <w:jc w:val="both"/>
      </w:pPr>
      <w:r>
        <w:t>Nesse sentido, quando dizemos que a neodocumentação é uma rede, estamos enfatizando um aspecto de sua própria gênese enquanto movimento teórico, cujas reflexões são atravessadas por conversas formais e informais em fóruns e congressos, nos quais destacamos d</w:t>
      </w:r>
      <w:r>
        <w:rPr>
          <w:b/>
          <w:bCs/>
        </w:rPr>
        <w:t>uas figuras centrais: Niels Lund e Michael Buckland</w:t>
      </w:r>
      <w:r>
        <w:t xml:space="preserve"> e </w:t>
      </w:r>
      <w:r>
        <w:rPr>
          <w:b/>
          <w:bCs/>
        </w:rPr>
        <w:t>duas instituições</w:t>
      </w:r>
      <w:r>
        <w:t xml:space="preserve"> organicamente relacionadas com esses autores - a Escola Norueguesa de Documentação </w:t>
      </w:r>
      <w:r>
        <w:rPr>
          <w:b/>
          <w:bCs/>
        </w:rPr>
        <w:t>(Dokvit</w:t>
      </w:r>
      <w:r>
        <w:t xml:space="preserve">) e a </w:t>
      </w:r>
      <w:r>
        <w:rPr>
          <w:b/>
          <w:bCs/>
        </w:rPr>
        <w:t>Document Academy (</w:t>
      </w:r>
      <w:r>
        <w:t>DOCAM).</w:t>
      </w:r>
    </w:p>
    <w:p w14:paraId="209DF083" w14:textId="77777777" w:rsidR="00456A9B" w:rsidRDefault="00456A9B" w:rsidP="00F7213F">
      <w:pPr>
        <w:pStyle w:val="NormalWeb"/>
        <w:spacing w:before="0" w:beforeAutospacing="0" w:after="0" w:afterAutospacing="0" w:line="360" w:lineRule="auto"/>
        <w:ind w:firstLine="860"/>
        <w:jc w:val="both"/>
      </w:pPr>
      <w:r>
        <w:t xml:space="preserve">Em seus estudos, os autores se ativeram em mostrar os relacionamentos entre múltiplos agentes (atores) humanos e não humanos, individuais e coletivos que cercam a produção, a circulação e o uso dos documentos, destacando as flutuações epistêmicas que cercam esta noção. Nesse exercício epistêmico aproximaram-se de teóricos clássicos da Documentação, como Otlet e Briet, tomando-os numa perspectiva reflexiva face às novas </w:t>
      </w:r>
      <w:r>
        <w:lastRenderedPageBreak/>
        <w:t>formas de expressão e manifestação dos documentos desencadeadas pelas mídias como o rádio, a televisão e, mais recentemente, a internet. Essas reflexões impactaram na forma de olhar o currículo das escolas de biblioteconomia e a formação dos profissionais.</w:t>
      </w:r>
    </w:p>
    <w:p w14:paraId="6620836A" w14:textId="77777777" w:rsidR="00456A9B" w:rsidRDefault="00456A9B" w:rsidP="00F7213F">
      <w:pPr>
        <w:pStyle w:val="NormalWeb"/>
        <w:spacing w:before="0" w:beforeAutospacing="0" w:after="0" w:afterAutospacing="0" w:line="360" w:lineRule="auto"/>
        <w:ind w:firstLine="860"/>
        <w:jc w:val="both"/>
      </w:pPr>
      <w:r>
        <w:t>Mapear a gênese desse encontro que aproximou Lund e Buckland e a criação da rede representou um grande desafio para a construção da tese: como capturar o que é a “neodocumentação”, como fazê-lo sem desfigurar a base livre de sua construção? Metodologicamente, buscou-se encontrar, nos próprios discursos dos autores analisados aquilo que indicavam como o ponto inicial da construção desta rede e como ela veio a se consolidar como uma corrente de pensamento para os estudos sobre os documentos e a informação.</w:t>
      </w:r>
    </w:p>
    <w:p w14:paraId="085E71B2" w14:textId="77777777" w:rsidR="00456A9B" w:rsidRDefault="00456A9B" w:rsidP="00F7213F">
      <w:pPr>
        <w:pStyle w:val="Standard"/>
        <w:spacing w:line="360" w:lineRule="auto"/>
        <w:ind w:firstLine="850"/>
        <w:jc w:val="both"/>
        <w:rPr>
          <w:rFonts w:hint="eastAsia"/>
        </w:rPr>
      </w:pPr>
      <w:r>
        <w:t>Neste trabalho, atemo-nos em demonstrar a importância desses dois autores, assim como demonstrar a importância das duas instituições. A bibliografia citada centra-se em suas obras, nas ideias que as motivaram e nas reflexões que delas resultaram, além de seus depoimentos e entrevistas, material registrado em vídeos pela DOCAM, entidade da qual foram fundadores.</w:t>
      </w:r>
    </w:p>
    <w:p w14:paraId="2A3C7AA1" w14:textId="77777777" w:rsidR="00456A9B" w:rsidRDefault="00456A9B" w:rsidP="00F7213F">
      <w:pPr>
        <w:pStyle w:val="Standard"/>
        <w:spacing w:line="360" w:lineRule="auto"/>
        <w:ind w:firstLine="850"/>
        <w:jc w:val="both"/>
        <w:rPr>
          <w:rFonts w:ascii="Times New Roman" w:hAnsi="Times New Roman"/>
        </w:rPr>
      </w:pPr>
    </w:p>
    <w:p w14:paraId="6D393878" w14:textId="1C62A28D" w:rsidR="00456A9B" w:rsidRDefault="00F7213F" w:rsidP="00F7213F">
      <w:pPr>
        <w:pStyle w:val="Standard"/>
        <w:tabs>
          <w:tab w:val="left" w:pos="0"/>
        </w:tabs>
        <w:spacing w:line="360" w:lineRule="auto"/>
        <w:jc w:val="both"/>
        <w:rPr>
          <w:rFonts w:hint="eastAsia"/>
        </w:rPr>
      </w:pPr>
      <w:r w:rsidRPr="002C0500">
        <w:rPr>
          <w:rFonts w:ascii="Times New Roman" w:hAnsi="Times New Roman" w:cs="Times New Roman"/>
        </w:rPr>
        <w:t>2</w:t>
      </w:r>
      <w:r>
        <w:rPr>
          <w:rFonts w:ascii="Times New Roman" w:hAnsi="Times New Roman" w:cs="Times New Roman"/>
          <w:b/>
          <w:bCs/>
        </w:rPr>
        <w:t xml:space="preserve"> </w:t>
      </w:r>
      <w:r w:rsidR="00456A9B">
        <w:rPr>
          <w:rFonts w:ascii="Times New Roman" w:hAnsi="Times New Roman" w:cs="Times New Roman"/>
          <w:b/>
          <w:bCs/>
        </w:rPr>
        <w:t xml:space="preserve">ENTRE DOKVIT E OS PÁSSAROS MORTOS:  novas questões sobre o documento em Niels Lund e Michael Buckland  </w:t>
      </w:r>
    </w:p>
    <w:p w14:paraId="47384675" w14:textId="77777777" w:rsidR="00456A9B" w:rsidRDefault="00456A9B" w:rsidP="00456A9B">
      <w:pPr>
        <w:pStyle w:val="Textbody"/>
        <w:spacing w:before="57" w:after="57"/>
        <w:rPr>
          <w:rFonts w:cs="Times New Roman" w:hint="eastAsia"/>
        </w:rPr>
      </w:pPr>
    </w:p>
    <w:p w14:paraId="54F3E1E0" w14:textId="3E1B46D9" w:rsidR="00456A9B" w:rsidRDefault="00456A9B" w:rsidP="00F7213F">
      <w:pPr>
        <w:pStyle w:val="Standard"/>
        <w:ind w:left="2268"/>
        <w:jc w:val="both"/>
        <w:rPr>
          <w:rFonts w:hint="eastAsia"/>
        </w:rPr>
      </w:pPr>
      <w:r>
        <w:rPr>
          <w:rStyle w:val="Fontepargpadro7"/>
          <w:rFonts w:ascii="Times New Roman" w:hAnsi="Times New Roman" w:cs="Times New Roman"/>
          <w:sz w:val="20"/>
          <w:szCs w:val="20"/>
        </w:rPr>
        <w:t>Documentar é, sem sombra de dúvidas, muito humano. Documentar humanos deve ser ainda mais humano ... (B</w:t>
      </w:r>
      <w:r w:rsidR="00F7213F">
        <w:rPr>
          <w:rStyle w:val="Fontepargpadro7"/>
          <w:rFonts w:ascii="Times New Roman" w:hAnsi="Times New Roman" w:cs="Times New Roman"/>
          <w:sz w:val="20"/>
          <w:szCs w:val="20"/>
        </w:rPr>
        <w:t>örjesson</w:t>
      </w:r>
      <w:r>
        <w:rPr>
          <w:rStyle w:val="Fontepargpadro7"/>
          <w:rFonts w:ascii="Times New Roman" w:hAnsi="Times New Roman" w:cs="Times New Roman"/>
          <w:sz w:val="20"/>
          <w:szCs w:val="20"/>
        </w:rPr>
        <w:t xml:space="preserve"> </w:t>
      </w:r>
      <w:r w:rsidRPr="00F7213F">
        <w:rPr>
          <w:rStyle w:val="Fontepargpadro7"/>
          <w:rFonts w:ascii="Times New Roman" w:hAnsi="Times New Roman" w:cs="Times New Roman"/>
          <w:i/>
          <w:iCs/>
          <w:sz w:val="20"/>
          <w:szCs w:val="20"/>
        </w:rPr>
        <w:t>et al</w:t>
      </w:r>
      <w:r>
        <w:rPr>
          <w:rStyle w:val="Fontepargpadro7"/>
          <w:rFonts w:ascii="Times New Roman" w:hAnsi="Times New Roman" w:cs="Times New Roman"/>
          <w:sz w:val="20"/>
          <w:szCs w:val="20"/>
        </w:rPr>
        <w:t>.</w:t>
      </w:r>
      <w:r w:rsidR="00F7213F">
        <w:rPr>
          <w:rStyle w:val="Fontepargpadro7"/>
          <w:rFonts w:ascii="Times New Roman" w:hAnsi="Times New Roman" w:cs="Times New Roman"/>
          <w:sz w:val="20"/>
          <w:szCs w:val="20"/>
        </w:rPr>
        <w:t>,</w:t>
      </w:r>
      <w:r>
        <w:rPr>
          <w:rStyle w:val="Fontepargpadro7"/>
          <w:rFonts w:ascii="Times New Roman" w:hAnsi="Times New Roman" w:cs="Times New Roman"/>
          <w:sz w:val="20"/>
          <w:szCs w:val="20"/>
        </w:rPr>
        <w:t xml:space="preserve"> 2016)</w:t>
      </w:r>
      <w:r>
        <w:rPr>
          <w:rStyle w:val="Refdenotaderodap"/>
          <w:rFonts w:ascii="Times New Roman" w:hAnsi="Times New Roman" w:cs="Times New Roman"/>
          <w:sz w:val="20"/>
          <w:szCs w:val="20"/>
        </w:rPr>
        <w:footnoteReference w:id="10"/>
      </w:r>
      <w:r>
        <w:rPr>
          <w:rStyle w:val="Fontepargpadro7"/>
          <w:rFonts w:ascii="Times New Roman" w:hAnsi="Times New Roman" w:cs="Times New Roman"/>
          <w:sz w:val="20"/>
          <w:szCs w:val="20"/>
        </w:rPr>
        <w:t xml:space="preserve"> [tradução nossa].</w:t>
      </w:r>
    </w:p>
    <w:p w14:paraId="2B2D3361" w14:textId="77777777" w:rsidR="00456A9B" w:rsidRDefault="00456A9B" w:rsidP="00456A9B">
      <w:pPr>
        <w:pStyle w:val="Standard"/>
        <w:spacing w:before="57" w:after="57"/>
        <w:ind w:left="5613"/>
        <w:jc w:val="both"/>
        <w:rPr>
          <w:rFonts w:ascii="Times New Roman" w:hAnsi="Times New Roman" w:cs="Times New Roman"/>
          <w:sz w:val="20"/>
          <w:szCs w:val="20"/>
        </w:rPr>
      </w:pPr>
    </w:p>
    <w:p w14:paraId="0018E463" w14:textId="77777777" w:rsidR="00456A9B" w:rsidRDefault="00456A9B" w:rsidP="00F7213F">
      <w:pPr>
        <w:pStyle w:val="Standard"/>
        <w:tabs>
          <w:tab w:val="left" w:pos="720"/>
        </w:tabs>
        <w:spacing w:line="360" w:lineRule="auto"/>
        <w:jc w:val="both"/>
        <w:rPr>
          <w:rFonts w:hint="eastAsia"/>
        </w:rPr>
      </w:pPr>
      <w:r>
        <w:rPr>
          <w:rStyle w:val="Fontepargpadro7"/>
          <w:rFonts w:ascii="Times New Roman" w:hAnsi="Times New Roman" w:cs="Times New Roman"/>
        </w:rPr>
        <w:tab/>
        <w:t xml:space="preserve">Como na epígrafe de Börjesson </w:t>
      </w:r>
      <w:r w:rsidRPr="00F7213F">
        <w:rPr>
          <w:rStyle w:val="Fontepargpadro7"/>
          <w:rFonts w:ascii="Times New Roman" w:hAnsi="Times New Roman" w:cs="Times New Roman"/>
          <w:i/>
          <w:iCs/>
        </w:rPr>
        <w:t>et al</w:t>
      </w:r>
      <w:r>
        <w:rPr>
          <w:rStyle w:val="Fontepargpadro7"/>
          <w:rFonts w:ascii="Times New Roman" w:hAnsi="Times New Roman" w:cs="Times New Roman"/>
        </w:rPr>
        <w:t>. (2016), a ideia de documentos e, mais precisamente, do ato de documentar desvela-se como uma atividade essencialmente humana; atividade essa que se dedica tanto à produção e manutenção de seus registros, quando aos próprios impactos desses registros sobre nossas formas de interlocução, socialização, produção de valores, de evidência etc. e, no que se refere à ciência, pelas formas de avaliação e validação desses documentos que, em alguma instância, representam e materializam uma série de jogos de linguagem e de procedimentos que movimentam nossas sociedades contemporâneas, embora evidentemente se remetam a fazeres e saberes precedentes.</w:t>
      </w:r>
    </w:p>
    <w:p w14:paraId="55FE5CC4" w14:textId="77777777" w:rsidR="00456A9B" w:rsidRPr="00F7213F" w:rsidRDefault="00456A9B" w:rsidP="00F7213F">
      <w:pPr>
        <w:pStyle w:val="Standard"/>
        <w:tabs>
          <w:tab w:val="left" w:pos="720"/>
        </w:tabs>
        <w:spacing w:line="360" w:lineRule="auto"/>
        <w:jc w:val="both"/>
        <w:rPr>
          <w:rFonts w:hint="eastAsia"/>
        </w:rPr>
      </w:pPr>
      <w:r>
        <w:rPr>
          <w:rFonts w:ascii="Times New Roman" w:hAnsi="Times New Roman" w:cs="Times New Roman"/>
        </w:rPr>
        <w:tab/>
        <w:t xml:space="preserve">Como sabemos, muitos são os saberes que derivam da atividade de Documentação, tanto no que se referem à produção de documentos, sejam documentos operacionais e de fluxo, sejam documentos sobre humanos, sejam documentos sobre os documentos. Interessa-nos especialmente este último ponto. Afinal, muitos são os saberes, as técnicas, a práxis, os labores </w:t>
      </w:r>
      <w:r>
        <w:rPr>
          <w:rFonts w:ascii="Times New Roman" w:hAnsi="Times New Roman" w:cs="Times New Roman"/>
        </w:rPr>
        <w:lastRenderedPageBreak/>
        <w:t xml:space="preserve">que deles derivam. Em termos epistêmicos mais propriamente ditos, muitas são as ciências que se estabelecem no Contemporâneo pela produção de documentos sobre os documentos.  Essa abordagem, foi durante muito tempo objeto predominante entre os pesquisadores em Biblioteconomia, Arquivologia, Ciência da Informação, Documentação e Museologia. Mas o </w:t>
      </w:r>
      <w:r w:rsidRPr="00F7213F">
        <w:rPr>
          <w:rFonts w:ascii="Times New Roman" w:hAnsi="Times New Roman" w:cs="Times New Roman"/>
        </w:rPr>
        <w:t>olhar sobre as dimensões sociais e históricas que envolvem a produção e o uso dos documentos, desde o final do século passado, vem mudando as abordagens dos teóricos da área.</w:t>
      </w:r>
    </w:p>
    <w:p w14:paraId="1A39AAE4" w14:textId="77777777" w:rsidR="00456A9B" w:rsidRPr="00F7213F" w:rsidRDefault="00456A9B" w:rsidP="00F7213F">
      <w:pPr>
        <w:pStyle w:val="Standard"/>
        <w:tabs>
          <w:tab w:val="left" w:pos="720"/>
        </w:tabs>
        <w:spacing w:line="360" w:lineRule="auto"/>
        <w:jc w:val="both"/>
        <w:rPr>
          <w:rFonts w:hint="eastAsia"/>
        </w:rPr>
      </w:pPr>
      <w:r w:rsidRPr="00F7213F">
        <w:rPr>
          <w:rFonts w:ascii="Times New Roman" w:hAnsi="Times New Roman" w:cs="Times New Roman"/>
        </w:rPr>
        <w:tab/>
        <w:t xml:space="preserve">A prevalência de estudos sobre os processos de organização da informação está alinhada à prática científica dessas áreas, cuja origem centra-se na geração de normas e procedimentos sobre criação, seleção, organização, recuperação e disposição de documentos nas instituições documentárias. Mas com todos os saberes, em um movimento de crítica aos seus marcos teórico e conceituais, seus teóricos revisam seus paradigmas e traçam outros. Com as ciências documentais e da informação não foi diferente.  Segundo Buckland, Lund entre outros, um dos motivos que levou a organização da Document Academy foi o de criar um fórum que ampliasse as discussões sobre o escopo das ações documentais para além de sua função </w:t>
      </w:r>
      <w:r w:rsidRPr="00F7213F">
        <w:rPr>
          <w:rFonts w:ascii="Times New Roman" w:eastAsia="Calibri" w:hAnsi="Times New Roman" w:cs="Times New Roman"/>
          <w:lang w:bidi="ar-SA"/>
        </w:rPr>
        <w:t>estritamente técnica ou operacional.</w:t>
      </w:r>
    </w:p>
    <w:p w14:paraId="315DAC38" w14:textId="77777777" w:rsidR="00456A9B" w:rsidRPr="00F7213F" w:rsidRDefault="00456A9B" w:rsidP="00F7213F">
      <w:pPr>
        <w:pStyle w:val="Standard"/>
        <w:tabs>
          <w:tab w:val="left" w:pos="720"/>
        </w:tabs>
        <w:spacing w:line="360" w:lineRule="auto"/>
        <w:jc w:val="both"/>
        <w:rPr>
          <w:rFonts w:hint="eastAsia"/>
        </w:rPr>
      </w:pPr>
      <w:r w:rsidRPr="00F7213F">
        <w:rPr>
          <w:rStyle w:val="Fontepargpadro7"/>
          <w:rFonts w:ascii="Times New Roman" w:hAnsi="Times New Roman" w:cs="Times New Roman"/>
        </w:rPr>
        <w:tab/>
        <w:t xml:space="preserve">De todo modo, múltiplos são os saberes que se baseiam na produção, ordenação e análise de documentos e que estão em um processo de renegociação de suas próprias questões diante de uma remodelação dos modos de produção e replicação de documentos, dentro de uma lógica própria que reavalia as configurações do Ato de Documentação (Collis, 1999 </w:t>
      </w:r>
      <w:r w:rsidRPr="00F7213F">
        <w:rPr>
          <w:rStyle w:val="Fontepargpadro7"/>
          <w:rFonts w:ascii="Times New Roman" w:hAnsi="Times New Roman" w:cs="Times New Roman"/>
          <w:i/>
          <w:iCs/>
        </w:rPr>
        <w:t xml:space="preserve">apud </w:t>
      </w:r>
      <w:r w:rsidRPr="00F7213F">
        <w:rPr>
          <w:rStyle w:val="Fontepargpadro7"/>
          <w:rFonts w:ascii="Times New Roman" w:hAnsi="Times New Roman" w:cs="Times New Roman"/>
        </w:rPr>
        <w:t xml:space="preserve">Börjesson </w:t>
      </w:r>
      <w:r w:rsidRPr="00F7213F">
        <w:rPr>
          <w:rStyle w:val="Fontepargpadro7"/>
          <w:rFonts w:ascii="Times New Roman" w:hAnsi="Times New Roman" w:cs="Times New Roman"/>
          <w:i/>
          <w:iCs/>
        </w:rPr>
        <w:t>et al</w:t>
      </w:r>
      <w:r w:rsidRPr="00F7213F">
        <w:rPr>
          <w:rStyle w:val="Fontepargpadro7"/>
          <w:rFonts w:ascii="Times New Roman" w:hAnsi="Times New Roman" w:cs="Times New Roman"/>
        </w:rPr>
        <w:t>., 2016), ou seja, os Construtos Documentares</w:t>
      </w:r>
      <w:r w:rsidRPr="00F7213F">
        <w:rPr>
          <w:rStyle w:val="Refdenotaderodap"/>
          <w:rFonts w:ascii="Times New Roman" w:hAnsi="Times New Roman" w:cs="Times New Roman"/>
        </w:rPr>
        <w:footnoteReference w:id="11"/>
      </w:r>
      <w:r w:rsidRPr="00F7213F">
        <w:rPr>
          <w:rStyle w:val="Fontepargpadro7"/>
          <w:rFonts w:ascii="Times New Roman" w:hAnsi="Times New Roman" w:cs="Times New Roman"/>
        </w:rPr>
        <w:t xml:space="preserve">  em nossa sociedade.</w:t>
      </w:r>
    </w:p>
    <w:p w14:paraId="71A4AD71" w14:textId="77777777" w:rsidR="00456A9B" w:rsidRDefault="00456A9B" w:rsidP="00F7213F">
      <w:pPr>
        <w:pStyle w:val="Standard"/>
        <w:tabs>
          <w:tab w:val="left" w:pos="720"/>
        </w:tabs>
        <w:spacing w:line="360" w:lineRule="auto"/>
        <w:jc w:val="both"/>
        <w:rPr>
          <w:rStyle w:val="Fontepargpadro7"/>
          <w:rFonts w:ascii="Times New Roman" w:hAnsi="Times New Roman" w:cs="Times New Roman"/>
        </w:rPr>
      </w:pPr>
      <w:r w:rsidRPr="00F7213F">
        <w:rPr>
          <w:rStyle w:val="Fontepargpadro7"/>
          <w:rFonts w:ascii="Times New Roman" w:hAnsi="Times New Roman" w:cs="Times New Roman"/>
        </w:rPr>
        <w:tab/>
        <w:t xml:space="preserve">Neste relato, buscamos reunir algumas fontes que discutem e tentam conceituar o movimento de retomada à Documentação que, como pôde-se acompanhar ao longo dos estudos da tese, exigiu desafios teóricos e epistemológicos dos pesquisadores, especialmente quando confrontados pelas demandas impostas pelo impacto dos movimentos de digitalização em nossa sociedade, ampliando as manifestações e os usos dos documentos.  É interessante notarmos que, em uma via de mão dupla, as imposições de novas dimensões tecnológicas, ao mesmo tempo em que apresentam desafios rumo ao “futuro” da discussão sobre o documento, levam-nos a questionar alguns prismas consolidados e mesmo o sentido que é atribuído à ideia de “Documentar”. Talvez esse movimento dialógico seja efetivamente o que nos leva a uma </w:t>
      </w:r>
      <w:r w:rsidRPr="00F7213F">
        <w:rPr>
          <w:rStyle w:val="Fontepargpadro7"/>
          <w:rFonts w:ascii="Times New Roman" w:hAnsi="Times New Roman" w:cs="Times New Roman"/>
        </w:rPr>
        <w:lastRenderedPageBreak/>
        <w:t>necessidade de instituir uma diferença, ou uma partição entre a Documentação (em um sentido clássico) e uma Nova ou Neodocumentação.</w:t>
      </w:r>
    </w:p>
    <w:p w14:paraId="4E804B72" w14:textId="77777777" w:rsidR="00F7213F" w:rsidRPr="00F7213F" w:rsidRDefault="00F7213F" w:rsidP="00F7213F">
      <w:pPr>
        <w:pStyle w:val="Standard"/>
        <w:tabs>
          <w:tab w:val="left" w:pos="720"/>
        </w:tabs>
        <w:spacing w:line="360" w:lineRule="auto"/>
        <w:jc w:val="both"/>
        <w:rPr>
          <w:rFonts w:hint="eastAsia"/>
        </w:rPr>
      </w:pPr>
    </w:p>
    <w:p w14:paraId="559EC4BB" w14:textId="77777777" w:rsidR="00456A9B" w:rsidRPr="00F7213F" w:rsidRDefault="00456A9B" w:rsidP="00F7213F">
      <w:pPr>
        <w:pStyle w:val="Standard"/>
        <w:tabs>
          <w:tab w:val="left" w:pos="2988"/>
        </w:tabs>
        <w:ind w:left="2268"/>
        <w:jc w:val="both"/>
        <w:rPr>
          <w:rFonts w:hint="eastAsia"/>
          <w:sz w:val="20"/>
          <w:szCs w:val="20"/>
        </w:rPr>
      </w:pPr>
      <w:r w:rsidRPr="00F7213F">
        <w:rPr>
          <w:rStyle w:val="Fontepargpadro7"/>
          <w:rFonts w:ascii="Times New Roman" w:hAnsi="Times New Roman" w:cs="Times New Roman"/>
          <w:sz w:val="20"/>
          <w:szCs w:val="20"/>
        </w:rPr>
        <w:t>A partir do final do século XIX, houve uma série de esforços para gerenciar a crescente onda de documentos e então, no início do século XX, o termo ''documentação'' substituiu ''bibliografia'' como o termo geral que se refere a criação, seleção, organização, recuperação e disposição de documentos. […] No entanto, estabelecer que o campo da documentação unificaria toda a gestão de documentos gerou uma dúvida sobre a extensão desse objeto. Dito de outra forma, para efeito de documentação, o que é ou o que poderia ser um documento? Se trabalhos impressos, então também manuscritos; se manuscritos, também mapas e imagens; se mapas, também globos; se diagramas, então também modelos; e assim por diante. (Lund; Buckland, 2008, p. 161, tradução nossa).</w:t>
      </w:r>
    </w:p>
    <w:p w14:paraId="1E0A9AFB" w14:textId="77777777" w:rsidR="00F7213F" w:rsidRDefault="00456A9B" w:rsidP="00F7213F">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46EE1D5D" w14:textId="272F9AF0" w:rsidR="00456A9B" w:rsidRDefault="00F7213F" w:rsidP="00F7213F">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Desde Paul Otlet e o início da Documentação, novos elementos (como as esculturas) começaram a ser compreendidos como documentos. No Tratado de Documentação</w:t>
      </w:r>
      <w:r w:rsidR="00456A9B">
        <w:rPr>
          <w:rStyle w:val="Refdenotaderodap"/>
          <w:rFonts w:ascii="Times New Roman" w:hAnsi="Times New Roman" w:cs="Times New Roman"/>
        </w:rPr>
        <w:footnoteReference w:id="12"/>
      </w:r>
      <w:r w:rsidR="00456A9B">
        <w:rPr>
          <w:rStyle w:val="Fontepargpadro7"/>
          <w:rFonts w:ascii="Times New Roman" w:hAnsi="Times New Roman" w:cs="Times New Roman"/>
        </w:rPr>
        <w:t xml:space="preserve"> Otlet diz que os elementos gráficos e textos escritos representam ideias, sendo, portanto, documentos, mas, ao mesmo tempo, diz que os próprios objetos que possuem a função de serem informativos são tipos de documentos. “Como exemplos, Otlet cita objetos naturais, artefatos, objetos com traços de atividade humana (como achados arqueológicos), modelos explicativos, jogos educacionais e obras de arte.” (</w:t>
      </w:r>
      <w:r>
        <w:rPr>
          <w:rStyle w:val="Fontepargpadro7"/>
          <w:rFonts w:ascii="Times New Roman" w:hAnsi="Times New Roman" w:cs="Times New Roman"/>
        </w:rPr>
        <w:t>Lund; Buckland</w:t>
      </w:r>
      <w:r w:rsidR="00456A9B">
        <w:rPr>
          <w:rStyle w:val="Fontepargpadro7"/>
          <w:rFonts w:ascii="Times New Roman" w:hAnsi="Times New Roman" w:cs="Times New Roman"/>
        </w:rPr>
        <w:t>, 2008, p. 162, tradução nossa).</w:t>
      </w:r>
    </w:p>
    <w:p w14:paraId="37E9540C" w14:textId="77777777" w:rsidR="00456A9B" w:rsidRDefault="00456A9B" w:rsidP="00F7213F">
      <w:pPr>
        <w:pStyle w:val="Standard"/>
        <w:tabs>
          <w:tab w:val="left" w:pos="720"/>
        </w:tabs>
        <w:spacing w:line="360" w:lineRule="auto"/>
        <w:jc w:val="both"/>
        <w:rPr>
          <w:rFonts w:hint="eastAsia"/>
        </w:rPr>
      </w:pPr>
      <w:r>
        <w:rPr>
          <w:rStyle w:val="Fontepargpadro7"/>
          <w:rFonts w:ascii="Times New Roman" w:hAnsi="Times New Roman" w:cs="Times New Roman"/>
        </w:rPr>
        <w:tab/>
        <w:t>Suzanne Briet, comumente compreendida como uma grande sucessora de Otlet no que se refere à Documentação, procurou desenvolver a ideia, ao explicar que esse “desenvolvimento” se dá a partir de uma percepção de que documentos são objetos que criam evidências (aqui cabe ressaltar que a autora se baseia na definição latina de “documento”), portanto a Documentação seria uma ciência preocupada com o acesso às evidências. Em Briet, o documento se estabelece a partir de uma intencionalidade de que um determinado ente ou objeto possua a valoração de ser fonte de evidência e, nesse sentido, compreende que documentos não somente são um tipo especial de objetos (ou um tipo de objeto designado como especial), mas também o caracteriza pelo lugar que ocupam em determinados tipos de instituições ou, mais precisamente, diz que documentos devem estar “preservados” em determinados tipos de lugares. Embora esse conceito em Briet mereça ser desenvolvido com maior acuidade</w:t>
      </w:r>
      <w:r>
        <w:rPr>
          <w:rStyle w:val="Refdenotaderodap"/>
          <w:rFonts w:ascii="Times New Roman" w:hAnsi="Times New Roman" w:cs="Times New Roman"/>
        </w:rPr>
        <w:footnoteReference w:id="13"/>
      </w:r>
      <w:r>
        <w:rPr>
          <w:rStyle w:val="Fontepargpadro7"/>
          <w:rFonts w:ascii="Times New Roman" w:hAnsi="Times New Roman" w:cs="Times New Roman"/>
        </w:rPr>
        <w:t xml:space="preserve">, ambas as posições, de Otlet e Briet, referem-se ao que é eventualmente é chamado de tradição documentalista europeia/francófona, com a qual os teóricos aqui analisados, Buckand e Lund, dialogam ao elaborarem suas reflexões sobre os documentos e a Documentação. São momentos em que discorrem sobre os limites e as possiblidades dessas </w:t>
      </w:r>
      <w:r>
        <w:rPr>
          <w:rStyle w:val="Fontepargpadro7"/>
          <w:rFonts w:ascii="Times New Roman" w:hAnsi="Times New Roman" w:cs="Times New Roman"/>
        </w:rPr>
        <w:lastRenderedPageBreak/>
        <w:t>aproximações e como revê-las, considerando as novas conjunturas e as tecnologias que as acercam.</w:t>
      </w:r>
    </w:p>
    <w:p w14:paraId="0D4A3358" w14:textId="77777777" w:rsidR="00456A9B" w:rsidRDefault="00456A9B" w:rsidP="00F7213F">
      <w:pPr>
        <w:pStyle w:val="Standard"/>
        <w:tabs>
          <w:tab w:val="left" w:pos="720"/>
        </w:tabs>
        <w:spacing w:line="360" w:lineRule="auto"/>
        <w:jc w:val="both"/>
        <w:rPr>
          <w:rFonts w:hint="eastAsia"/>
        </w:rPr>
      </w:pPr>
      <w:r>
        <w:rPr>
          <w:rStyle w:val="Fontepargpadro7"/>
          <w:rFonts w:ascii="Times New Roman" w:hAnsi="Times New Roman" w:cs="Times New Roman"/>
        </w:rPr>
        <w:tab/>
        <w:t>A seguir, apresentaremos estes dois teóricos sob o pano de fundo da construção que, como apontaremos, é muito consciente de uma agenda de retorno à Documentação tomando-a numa perspectiva crítica no sentido de construção da nova Documentação, mais alinhada com o pensamento das ciências sociais e humanas, procurando resgatar a dimensão sociológica dos documentos, os contextos que arrolam sua produção, circulação e uso.</w:t>
      </w:r>
    </w:p>
    <w:p w14:paraId="72A0686B" w14:textId="77777777" w:rsidR="00456A9B" w:rsidRDefault="00456A9B" w:rsidP="00456A9B">
      <w:pPr>
        <w:pStyle w:val="Standard"/>
        <w:tabs>
          <w:tab w:val="left" w:pos="720"/>
        </w:tabs>
        <w:spacing w:before="57" w:after="57" w:line="360" w:lineRule="auto"/>
        <w:jc w:val="both"/>
        <w:rPr>
          <w:rFonts w:ascii="Times New Roman" w:hAnsi="Times New Roman" w:cs="Times New Roman"/>
        </w:rPr>
      </w:pPr>
    </w:p>
    <w:p w14:paraId="0ED2CC95" w14:textId="61A671D4" w:rsidR="00456A9B" w:rsidRPr="00F7213F" w:rsidRDefault="00946C54" w:rsidP="00F7213F">
      <w:pPr>
        <w:rPr>
          <w:sz w:val="24"/>
          <w:szCs w:val="24"/>
        </w:rPr>
      </w:pPr>
      <w:bookmarkStart w:id="55" w:name="__RefHeading___Toc10525_875535364"/>
      <w:r w:rsidRPr="002C0500">
        <w:rPr>
          <w:rStyle w:val="Fontepargpadro7"/>
          <w:rFonts w:ascii="Times New Roman" w:hAnsi="Times New Roman" w:cs="Times New Roman"/>
          <w:bCs/>
          <w:sz w:val="24"/>
          <w:szCs w:val="28"/>
        </w:rPr>
        <w:t>3</w:t>
      </w:r>
      <w:r>
        <w:rPr>
          <w:rStyle w:val="Fontepargpadro7"/>
          <w:rFonts w:ascii="Times New Roman" w:hAnsi="Times New Roman" w:cs="Times New Roman"/>
          <w:b/>
          <w:sz w:val="24"/>
          <w:szCs w:val="28"/>
        </w:rPr>
        <w:t xml:space="preserve"> </w:t>
      </w:r>
      <w:r w:rsidR="00456A9B" w:rsidRPr="00F7213F">
        <w:rPr>
          <w:rStyle w:val="Fontepargpadro7"/>
          <w:rFonts w:ascii="Times New Roman" w:hAnsi="Times New Roman" w:cs="Times New Roman"/>
          <w:b/>
          <w:sz w:val="24"/>
          <w:szCs w:val="28"/>
        </w:rPr>
        <w:t>NIELS LUND E A JOVEM DOKVIT</w:t>
      </w:r>
      <w:bookmarkEnd w:id="55"/>
    </w:p>
    <w:p w14:paraId="47FF1F69" w14:textId="77777777" w:rsidR="00456A9B" w:rsidRDefault="00456A9B" w:rsidP="00456A9B">
      <w:pPr>
        <w:pStyle w:val="Standard"/>
        <w:tabs>
          <w:tab w:val="left" w:pos="720"/>
        </w:tabs>
        <w:spacing w:before="57" w:after="57" w:line="360" w:lineRule="auto"/>
        <w:jc w:val="both"/>
        <w:rPr>
          <w:rFonts w:ascii="Times New Roman" w:hAnsi="Times New Roman" w:cs="Times New Roman"/>
          <w:b/>
          <w:bCs/>
          <w:sz w:val="16"/>
          <w:szCs w:val="16"/>
        </w:rPr>
      </w:pPr>
    </w:p>
    <w:p w14:paraId="2164CA3A" w14:textId="7929FF04" w:rsidR="00456A9B" w:rsidRDefault="00456A9B" w:rsidP="00F7213F">
      <w:pPr>
        <w:pStyle w:val="Standard"/>
        <w:tabs>
          <w:tab w:val="left" w:pos="5199"/>
        </w:tabs>
        <w:ind w:left="2268"/>
        <w:jc w:val="both"/>
        <w:rPr>
          <w:rFonts w:hint="eastAsia"/>
        </w:rPr>
      </w:pPr>
      <w:r>
        <w:rPr>
          <w:rStyle w:val="Fontepargpadro7"/>
          <w:rFonts w:ascii="Times New Roman" w:hAnsi="Times New Roman" w:cs="Times New Roman"/>
          <w:sz w:val="20"/>
          <w:szCs w:val="20"/>
        </w:rPr>
        <w:t>Em vários períodos, as culturas ocidentais optaram por incorporar a escrita em vários modelos tecnológicos e essas escolhas, por sua vez, afetaram a organização, o estilo e os gêneros da escrita e nossas expectativas como autores e leitores. A unidade física de uma tecnologia de escrita ajuda a definir a unidade conceitual – o que passa a ser considerado como um volume escrito (B</w:t>
      </w:r>
      <w:r w:rsidR="00F7213F">
        <w:rPr>
          <w:rStyle w:val="Fontepargpadro7"/>
          <w:rFonts w:ascii="Times New Roman" w:hAnsi="Times New Roman" w:cs="Times New Roman"/>
          <w:sz w:val="20"/>
          <w:szCs w:val="20"/>
        </w:rPr>
        <w:t>olter</w:t>
      </w:r>
      <w:r>
        <w:rPr>
          <w:rStyle w:val="Fontepargpadro7"/>
          <w:rFonts w:ascii="Times New Roman" w:hAnsi="Times New Roman" w:cs="Times New Roman"/>
          <w:sz w:val="20"/>
          <w:szCs w:val="20"/>
        </w:rPr>
        <w:t>, 2001, p. 77, tradução nossa).</w:t>
      </w:r>
    </w:p>
    <w:p w14:paraId="32AEC6B2" w14:textId="77777777" w:rsidR="00456A9B" w:rsidRDefault="00456A9B" w:rsidP="00456A9B">
      <w:pPr>
        <w:pStyle w:val="Standard"/>
        <w:tabs>
          <w:tab w:val="left" w:pos="720"/>
        </w:tabs>
        <w:spacing w:before="57" w:after="57" w:line="360" w:lineRule="auto"/>
        <w:jc w:val="both"/>
        <w:rPr>
          <w:rFonts w:ascii="Times New Roman" w:hAnsi="Times New Roman" w:cs="Times New Roman"/>
        </w:rPr>
      </w:pPr>
    </w:p>
    <w:p w14:paraId="76097A45"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O dinamarquês Niels Windfeld Lund nasceu em 1949, em Copenhague. Sua relação com os documentos e centros de documentação remonta à sua infância, quando, já aos doze anos de idade, recorria aos arquivos e centros de documentação do município, assim como à Biblioteca Nacional para recuperar e compreender a história da comunidade local e de sua família</w:t>
      </w:r>
      <w:r>
        <w:rPr>
          <w:rStyle w:val="Refdenotaderodap"/>
          <w:rFonts w:ascii="Times New Roman" w:hAnsi="Times New Roman" w:cs="Times New Roman"/>
        </w:rPr>
        <w:footnoteReference w:id="14"/>
      </w:r>
      <w:r>
        <w:rPr>
          <w:rStyle w:val="Fontepargpadro7"/>
          <w:rFonts w:ascii="Times New Roman" w:hAnsi="Times New Roman" w:cs="Times New Roman"/>
        </w:rPr>
        <w:t xml:space="preserve"> (In: DOCAM’s footsteps, 2019, tradução nossa). É nesse contexto que desenvolve uma admiração pelos bibliotecários e arquivistas que já o “tratavam como um pesquisador adulto” (ib., tradução nossa).</w:t>
      </w:r>
    </w:p>
    <w:p w14:paraId="64A4A093"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 xml:space="preserve">Foi para Paris em 1979 por acreditar que o modo de fazer história da </w:t>
      </w:r>
      <w:r>
        <w:rPr>
          <w:rStyle w:val="Fontepargpadro7"/>
          <w:rFonts w:ascii="Times New Roman" w:hAnsi="Times New Roman" w:cs="Times New Roman"/>
          <w:i/>
          <w:iCs/>
        </w:rPr>
        <w:t>Escola dos Annales</w:t>
      </w:r>
      <w:r>
        <w:rPr>
          <w:rStyle w:val="Fontepargpadro7"/>
          <w:rFonts w:ascii="Times New Roman" w:hAnsi="Times New Roman" w:cs="Times New Roman"/>
        </w:rPr>
        <w:t xml:space="preserve"> era uma forma inspiradora de compreender as dimensões históricas dos acontecimentos. No caso de Lund, seu projeto tinha o objetivo de compreender a história de uma pequena comunidade local e descrever a vida de pessoas, em seus afazeres e vida cotidiana.</w:t>
      </w:r>
    </w:p>
    <w:p w14:paraId="1AB11CD1"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 xml:space="preserve">Parte da reportagem publicada no jornal </w:t>
      </w:r>
      <w:r>
        <w:rPr>
          <w:rStyle w:val="Fontepargpadro7"/>
          <w:rFonts w:ascii="Times New Roman" w:hAnsi="Times New Roman" w:cs="Times New Roman"/>
          <w:i/>
          <w:iCs/>
        </w:rPr>
        <w:t>Midtjyllands Avis</w:t>
      </w:r>
      <w:r>
        <w:rPr>
          <w:rStyle w:val="Fontepargpadro7"/>
          <w:rFonts w:ascii="Times New Roman" w:hAnsi="Times New Roman" w:cs="Times New Roman"/>
        </w:rPr>
        <w:t xml:space="preserve">, na edição de </w:t>
      </w:r>
      <w:r>
        <w:rPr>
          <w:rStyle w:val="Fontepargpadro7"/>
          <w:rFonts w:ascii="Times New Roman" w:hAnsi="Times New Roman" w:cs="Times New Roman"/>
          <w:i/>
          <w:iCs/>
        </w:rPr>
        <w:t>Ikast</w:t>
      </w:r>
      <w:r>
        <w:rPr>
          <w:rStyle w:val="Fontepargpadro7"/>
          <w:rFonts w:ascii="Times New Roman" w:hAnsi="Times New Roman" w:cs="Times New Roman"/>
        </w:rPr>
        <w:t xml:space="preserve"> do dia 19 de outubro de 1979, enfatizava a vertente histórica que o então professor da Biblioteca Escola de Álborg (</w:t>
      </w:r>
      <w:r>
        <w:rPr>
          <w:rStyle w:val="Fontepargpadro7"/>
          <w:rFonts w:ascii="Times New Roman" w:hAnsi="Times New Roman" w:cs="Times New Roman"/>
          <w:i/>
          <w:iCs/>
        </w:rPr>
        <w:t>Álborg Biblioteksskole</w:t>
      </w:r>
      <w:r>
        <w:rPr>
          <w:rStyle w:val="Fontepargpadro7"/>
          <w:rFonts w:ascii="Times New Roman" w:hAnsi="Times New Roman" w:cs="Times New Roman"/>
        </w:rPr>
        <w:t>) trazia ao seu projeto. Sob o título: “Jovem pesquisador quer aproximar a história”</w:t>
      </w:r>
      <w:r>
        <w:rPr>
          <w:rStyle w:val="Refdenotaderodap"/>
          <w:rFonts w:ascii="Times New Roman" w:hAnsi="Times New Roman" w:cs="Times New Roman"/>
        </w:rPr>
        <w:footnoteReference w:id="15"/>
      </w:r>
      <w:r>
        <w:rPr>
          <w:rStyle w:val="Fontepargpadro7"/>
          <w:rFonts w:ascii="Times New Roman" w:hAnsi="Times New Roman" w:cs="Times New Roman"/>
          <w:vertAlign w:val="superscript"/>
        </w:rPr>
        <w:t xml:space="preserve"> </w:t>
      </w:r>
      <w:r>
        <w:rPr>
          <w:rStyle w:val="Fontepargpadro7"/>
          <w:rFonts w:ascii="Times New Roman" w:hAnsi="Times New Roman" w:cs="Times New Roman"/>
          <w:position w:val="6"/>
        </w:rPr>
        <w:t>e</w:t>
      </w:r>
      <w:r>
        <w:rPr>
          <w:rStyle w:val="Fontepargpadro7"/>
          <w:rFonts w:ascii="Times New Roman" w:hAnsi="Times New Roman" w:cs="Times New Roman"/>
        </w:rPr>
        <w:t xml:space="preserve"> </w:t>
      </w:r>
      <w:r>
        <w:rPr>
          <w:rStyle w:val="Refdenotaderodap"/>
          <w:rFonts w:ascii="Times New Roman" w:hAnsi="Times New Roman" w:cs="Times New Roman"/>
        </w:rPr>
        <w:footnoteReference w:id="16"/>
      </w:r>
      <w:r>
        <w:rPr>
          <w:rStyle w:val="Fontepargpadro7"/>
          <w:rFonts w:ascii="Times New Roman" w:hAnsi="Times New Roman" w:cs="Times New Roman"/>
        </w:rPr>
        <w:t xml:space="preserve">, a reportagem enfatizava a abordagem em que se estruturavam </w:t>
      </w:r>
      <w:r>
        <w:rPr>
          <w:rStyle w:val="Fontepargpadro7"/>
          <w:rFonts w:ascii="Times New Roman" w:hAnsi="Times New Roman" w:cs="Times New Roman"/>
        </w:rPr>
        <w:lastRenderedPageBreak/>
        <w:t>mecanismos de aproximar a história (como saber) da cultura local. Como demonstração da relevância e vanguarda existente na proposta, podemos citar a frase abaixo da foto do jovem professor Lund que dizia: “Niels Windfeld Lund irá nos demonstrar que existem pessoas de carne e osso por trás dos áridos fatos históricos”</w:t>
      </w:r>
      <w:r>
        <w:rPr>
          <w:rStyle w:val="Refdenotaderodap"/>
          <w:rFonts w:ascii="Times New Roman" w:hAnsi="Times New Roman" w:cs="Times New Roman"/>
          <w:sz w:val="20"/>
          <w:szCs w:val="20"/>
        </w:rPr>
        <w:footnoteReference w:id="17"/>
      </w:r>
      <w:r>
        <w:rPr>
          <w:rStyle w:val="Fontepargpadro7"/>
          <w:rFonts w:ascii="Times New Roman" w:hAnsi="Times New Roman" w:cs="Times New Roman"/>
          <w:sz w:val="20"/>
          <w:szCs w:val="20"/>
          <w:vertAlign w:val="superscript"/>
        </w:rPr>
        <w:t>.</w:t>
      </w:r>
    </w:p>
    <w:p w14:paraId="17AB499B" w14:textId="77777777" w:rsidR="00456A9B" w:rsidRDefault="00456A9B" w:rsidP="00946C54">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t xml:space="preserve">Lund credita à </w:t>
      </w:r>
      <w:r>
        <w:rPr>
          <w:rStyle w:val="Fontepargpadro7"/>
          <w:rFonts w:ascii="Times New Roman" w:hAnsi="Times New Roman" w:cs="Times New Roman"/>
          <w:i/>
          <w:iCs/>
        </w:rPr>
        <w:t>École Des Hautes Études en Sciences Sociales – E.H.E.S.S</w:t>
      </w:r>
      <w:r>
        <w:rPr>
          <w:rStyle w:val="Fontepargpadro7"/>
          <w:rFonts w:ascii="Times New Roman" w:hAnsi="Times New Roman" w:cs="Times New Roman"/>
        </w:rPr>
        <w:t xml:space="preserve"> (Escola de Estudos Avançados em Ciências Sociais, em tradução livre) a elaboração de seu trabalho e enfatiza que essa relação se estabelece tanto na construção de suas bases históricas, quanto aos tipos de análise que empreende e diz que tanto os princípios teóricos quanto os princípios empíricos que constituiu durante sua passagem pela </w:t>
      </w:r>
      <w:r>
        <w:rPr>
          <w:rStyle w:val="Fontepargpadro7"/>
          <w:rFonts w:ascii="Times New Roman" w:hAnsi="Times New Roman" w:cs="Times New Roman"/>
          <w:i/>
          <w:iCs/>
        </w:rPr>
        <w:t>E.H.E.S.S.</w:t>
      </w:r>
      <w:r>
        <w:rPr>
          <w:rStyle w:val="Fontepargpadro7"/>
          <w:rFonts w:ascii="Times New Roman" w:hAnsi="Times New Roman" w:cs="Times New Roman"/>
        </w:rPr>
        <w:t xml:space="preserve"> impactam na consolidação de suas teorias. (In: DOCAM’s footsteps, 2019). Destaca as abordagens “profundamente radicais”, aulas que provocavam visões antagônicas, disputas e debates de ideias como parte da interlocução travada entre alunos e professores, um cenário em que se abria a todos os tipos de questões ao mesmo tempo em que erradicava a possibilidade de que se estabelecesse um determinado elemento ou discurso como “o verdadeiro”. (In: DOCAM’s footsteps, 2019).</w:t>
      </w:r>
    </w:p>
    <w:p w14:paraId="67FDAD17" w14:textId="77777777" w:rsidR="00946C54" w:rsidRPr="00946C54" w:rsidRDefault="00946C54" w:rsidP="00946C54">
      <w:pPr>
        <w:pStyle w:val="Standard"/>
        <w:tabs>
          <w:tab w:val="left" w:pos="720"/>
        </w:tabs>
        <w:spacing w:line="360" w:lineRule="auto"/>
        <w:jc w:val="both"/>
        <w:rPr>
          <w:rFonts w:ascii="Times New Roman" w:hAnsi="Times New Roman" w:cs="Times New Roman"/>
        </w:rPr>
      </w:pPr>
    </w:p>
    <w:p w14:paraId="21338452" w14:textId="77777777" w:rsidR="00456A9B" w:rsidRPr="00946C54" w:rsidRDefault="00456A9B" w:rsidP="00946C54">
      <w:pPr>
        <w:pStyle w:val="Standard"/>
        <w:tabs>
          <w:tab w:val="left" w:pos="2988"/>
        </w:tabs>
        <w:ind w:left="2268"/>
        <w:jc w:val="both"/>
        <w:rPr>
          <w:rFonts w:ascii="Times New Roman" w:hAnsi="Times New Roman" w:cs="Times New Roman"/>
          <w:sz w:val="20"/>
          <w:szCs w:val="20"/>
        </w:rPr>
      </w:pPr>
      <w:r w:rsidRPr="00946C54">
        <w:rPr>
          <w:rFonts w:ascii="Times New Roman" w:hAnsi="Times New Roman" w:cs="Times New Roman"/>
          <w:sz w:val="20"/>
          <w:szCs w:val="20"/>
        </w:rPr>
        <w:t>Tudo poderia ser questionado e discutido e eu acho que essa filosofia de manter a discussão, de continuar questionando os problemas foi muito importante [...] e acho que isso me ajudou muito a aprender a ensinar e foi isso mais ou menos isso o que eu depois tentei falar ou tentei treinar nos meus próprios alunos. Enquanto eles questionavam "o que é um documento?" não se tratava de que eles tivessem certeza de que obtiveram “a resposta”, mas que fosse mais interessante pensar “oh, wow” essa também poderia ser uma resposta possível à questão. (Lund. Entrevista In: DOCAM’s footsteps, 2019, tradução nossa).</w:t>
      </w:r>
    </w:p>
    <w:p w14:paraId="5067FC6E" w14:textId="77777777" w:rsidR="00456A9B" w:rsidRDefault="00456A9B" w:rsidP="00456A9B">
      <w:pPr>
        <w:pStyle w:val="Standard"/>
        <w:tabs>
          <w:tab w:val="left" w:pos="2988"/>
        </w:tabs>
        <w:spacing w:before="57" w:after="57"/>
        <w:ind w:left="2268"/>
        <w:jc w:val="both"/>
        <w:rPr>
          <w:rFonts w:ascii="Times New Roman" w:hAnsi="Times New Roman" w:cs="Times New Roman"/>
          <w:sz w:val="8"/>
          <w:szCs w:val="8"/>
        </w:rPr>
      </w:pPr>
    </w:p>
    <w:p w14:paraId="60A31900" w14:textId="77777777" w:rsidR="00946C54" w:rsidRDefault="00456A9B" w:rsidP="00946C54">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404BDC1B" w14:textId="6C031174" w:rsidR="00456A9B" w:rsidRDefault="00946C54" w:rsidP="00946C54">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Um ponto precedente parece importante à compreensão do motivo que cria a demanda para essa linha de orientações que se inseriam no escopo da pergunta: “o que é um documento?”, que o professor Niels Lund citou em sua entrevista.</w:t>
      </w:r>
    </w:p>
    <w:p w14:paraId="3947D0F9" w14:textId="77777777" w:rsidR="00456A9B" w:rsidRDefault="00456A9B" w:rsidP="00946C54">
      <w:pPr>
        <w:pStyle w:val="Standard"/>
        <w:tabs>
          <w:tab w:val="left" w:pos="720"/>
        </w:tabs>
        <w:spacing w:line="360" w:lineRule="auto"/>
        <w:jc w:val="both"/>
        <w:rPr>
          <w:rFonts w:hint="eastAsia"/>
        </w:rPr>
      </w:pPr>
      <w:r>
        <w:rPr>
          <w:rFonts w:ascii="Times New Roman" w:hAnsi="Times New Roman" w:cs="Times New Roman"/>
        </w:rPr>
        <w:tab/>
        <w:t>Esse ponto situa-se em 1989, quando a Noruega modificou sua legislação sobre o “depósito legal”. A questão do depósito legal tinha historicamente duas grandes motivações: a primeira delas, e que se liga mais fortemente a sua gênese na França de Henrique IV, era a de controlar as produções bibliográficas nacionais; secundariamente, a medida criava uma espécie de arquivo que compunha (já em termos mais recentes) a memória da produção de um país através do acúmulo legalmente depositado nas Bibliotecas Nacionais.</w:t>
      </w:r>
    </w:p>
    <w:p w14:paraId="1328C025" w14:textId="77777777" w:rsidR="00456A9B" w:rsidRDefault="00456A9B" w:rsidP="00946C54">
      <w:pPr>
        <w:pStyle w:val="Standard"/>
        <w:tabs>
          <w:tab w:val="left" w:pos="720"/>
        </w:tabs>
        <w:spacing w:line="360" w:lineRule="auto"/>
        <w:jc w:val="both"/>
        <w:rPr>
          <w:rFonts w:ascii="Times New Roman" w:hAnsi="Times New Roman" w:cs="Times New Roman"/>
        </w:rPr>
      </w:pPr>
      <w:r>
        <w:rPr>
          <w:rFonts w:ascii="Times New Roman" w:hAnsi="Times New Roman" w:cs="Times New Roman"/>
        </w:rPr>
        <w:lastRenderedPageBreak/>
        <w:tab/>
        <w:t>As mudanças tecnológicas que pulularam no século XX modificaram os serviços de bibliotecas e impactaram na questão do “depósito legal” promovendo um ordenamento ou, mais precisamente, uma atualização do conceito. Essa atualização exigia o:</w:t>
      </w:r>
    </w:p>
    <w:p w14:paraId="5C0661C4" w14:textId="77777777" w:rsidR="00946C54" w:rsidRDefault="00946C54" w:rsidP="00456A9B">
      <w:pPr>
        <w:pStyle w:val="Standard"/>
        <w:tabs>
          <w:tab w:val="left" w:pos="2988"/>
        </w:tabs>
        <w:spacing w:before="57" w:after="57"/>
        <w:ind w:left="2268"/>
        <w:jc w:val="both"/>
        <w:rPr>
          <w:rStyle w:val="Fontepargpadro7"/>
          <w:rFonts w:ascii="Times New Roman" w:hAnsi="Times New Roman" w:cs="Times New Roman"/>
          <w:sz w:val="22"/>
          <w:szCs w:val="22"/>
        </w:rPr>
      </w:pPr>
    </w:p>
    <w:p w14:paraId="1D5FFD32" w14:textId="2C553606" w:rsidR="00456A9B" w:rsidRPr="00946C54" w:rsidRDefault="00456A9B" w:rsidP="00946C54">
      <w:pPr>
        <w:pStyle w:val="Standard"/>
        <w:tabs>
          <w:tab w:val="left" w:pos="2988"/>
        </w:tabs>
        <w:ind w:left="2268"/>
        <w:jc w:val="both"/>
        <w:rPr>
          <w:rFonts w:hint="eastAsia"/>
          <w:sz w:val="22"/>
          <w:szCs w:val="22"/>
        </w:rPr>
      </w:pPr>
      <w:r w:rsidRPr="00946C54">
        <w:rPr>
          <w:rStyle w:val="Fontepargpadro7"/>
          <w:rFonts w:ascii="Times New Roman" w:hAnsi="Times New Roman" w:cs="Times New Roman"/>
          <w:sz w:val="20"/>
          <w:szCs w:val="20"/>
        </w:rPr>
        <w:t xml:space="preserve">[...] depósito na Biblioteca Nacional das </w:t>
      </w:r>
      <w:r w:rsidRPr="00946C54">
        <w:rPr>
          <w:rStyle w:val="Fontepargpadro7"/>
          <w:rFonts w:ascii="Times New Roman" w:hAnsi="Times New Roman" w:cs="Times New Roman"/>
          <w:b/>
          <w:bCs/>
          <w:sz w:val="20"/>
          <w:szCs w:val="20"/>
        </w:rPr>
        <w:t>novas publicações oriundas de todos os meios de comunicação</w:t>
      </w:r>
      <w:r w:rsidRPr="00946C54">
        <w:rPr>
          <w:rStyle w:val="Fontepargpadro7"/>
          <w:rFonts w:ascii="Times New Roman" w:hAnsi="Times New Roman" w:cs="Times New Roman"/>
          <w:sz w:val="20"/>
          <w:szCs w:val="20"/>
        </w:rPr>
        <w:t xml:space="preserve">, incluindo </w:t>
      </w:r>
      <w:r w:rsidRPr="00946C54">
        <w:rPr>
          <w:rStyle w:val="Fontepargpadro7"/>
          <w:rFonts w:ascii="Times New Roman" w:hAnsi="Times New Roman" w:cs="Times New Roman"/>
          <w:b/>
          <w:bCs/>
          <w:sz w:val="20"/>
          <w:szCs w:val="20"/>
        </w:rPr>
        <w:t>programas de televisão e rádio e filmes</w:t>
      </w:r>
      <w:r w:rsidRPr="00946C54">
        <w:rPr>
          <w:rStyle w:val="Fontepargpadro7"/>
          <w:rFonts w:ascii="Times New Roman" w:hAnsi="Times New Roman" w:cs="Times New Roman"/>
          <w:sz w:val="20"/>
          <w:szCs w:val="20"/>
        </w:rPr>
        <w:t xml:space="preserve">.  No entanto, a obrigatoriedade de preservar e prover acesso a essas publicações não impressas criou um desafio prático para o qual as bibliotecas não estavam preparadas. Em resposta, um novo instituto de estudos biblioteconômicos e informacionais foi estabelecido na Universidade de Tromsø, em 1996. Dada a necessidade que seria abordada, foi nomeado como </w:t>
      </w:r>
      <w:r w:rsidRPr="00946C54">
        <w:rPr>
          <w:rStyle w:val="Fontepargpadro7"/>
          <w:rFonts w:ascii="Times New Roman" w:hAnsi="Times New Roman" w:cs="Times New Roman"/>
          <w:i/>
          <w:iCs/>
          <w:sz w:val="20"/>
          <w:szCs w:val="20"/>
        </w:rPr>
        <w:t>Institute for Documentation Studies</w:t>
      </w:r>
      <w:r w:rsidRPr="00946C54">
        <w:rPr>
          <w:rStyle w:val="Fontepargpadro7"/>
          <w:rFonts w:ascii="Times New Roman" w:hAnsi="Times New Roman" w:cs="Times New Roman"/>
          <w:sz w:val="20"/>
          <w:szCs w:val="20"/>
        </w:rPr>
        <w:t xml:space="preserve"> [Instituto de Estudos de Documentação] e o Diretor fundador, Niels Windfeld Lund, desenvolveu um currículo centrado nos documentos e uma agenda de pesquisa que explorava a complementaridade entre as dimensões sociais, culturais e tecnológicas dos documentos. (Lund; Buckland, 2009, p. 162, tradução nossa).</w:t>
      </w:r>
    </w:p>
    <w:p w14:paraId="06813205" w14:textId="77777777" w:rsidR="00456A9B" w:rsidRDefault="00456A9B" w:rsidP="00456A9B">
      <w:pPr>
        <w:pStyle w:val="Standard"/>
        <w:tabs>
          <w:tab w:val="left" w:pos="2988"/>
        </w:tabs>
        <w:spacing w:before="57" w:after="57"/>
        <w:ind w:left="2268"/>
        <w:jc w:val="both"/>
        <w:rPr>
          <w:rFonts w:ascii="Times New Roman" w:hAnsi="Times New Roman" w:cs="Times New Roman"/>
          <w:sz w:val="8"/>
          <w:szCs w:val="8"/>
        </w:rPr>
      </w:pPr>
    </w:p>
    <w:p w14:paraId="16639B88" w14:textId="77777777" w:rsidR="002951F4" w:rsidRDefault="00456A9B" w:rsidP="00946C54">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2568AEE7" w14:textId="06525DE4" w:rsidR="00456A9B" w:rsidRDefault="002951F4" w:rsidP="00946C54">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 xml:space="preserve">Lund (2016) argumenta que havia outras questões que se somavam ao problema gerado pela atualização do conceito de depósito legal e que já polemizavam a discussão desde o final da década de 1980, pois existia uma falta de bibliotecários no Norte da Noruega. Diante desse cenário, a associação de bibliotecários da Noruega sugeriu que se criasse mais um programa de formação de bibliotecários no Norte do país, para que se somasse ao de Oslo, localizado no Sul. Outro ponto importante foi a criação de Tim Berners-Lee, a </w:t>
      </w:r>
      <w:r w:rsidR="00456A9B">
        <w:rPr>
          <w:rStyle w:val="Fontepargpadro7"/>
          <w:rFonts w:ascii="Times New Roman" w:hAnsi="Times New Roman" w:cs="Times New Roman"/>
          <w:i/>
          <w:iCs/>
        </w:rPr>
        <w:t xml:space="preserve">World Wide Web </w:t>
      </w:r>
      <w:r w:rsidR="00456A9B">
        <w:rPr>
          <w:rStyle w:val="Fontepargpadro7"/>
          <w:rFonts w:ascii="Times New Roman" w:hAnsi="Times New Roman" w:cs="Times New Roman"/>
        </w:rPr>
        <w:t>(W.W.W) em 1989, o que provocou múltiplas questões no que se refere aos documentos, desde a criação à disseminação. “Havia a necessidade de um programa educacional que auxiliasse no manejo dessas questões - e, além disso, uma disciplina acadêmica dedicada a lidar com esses novos desafios.” (Lund, 2016, tradução nossa).</w:t>
      </w:r>
    </w:p>
    <w:p w14:paraId="3C0A9987"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Dokvit é o nome em norueguês do Programa de Estudos em Documentação</w:t>
      </w:r>
      <w:r>
        <w:rPr>
          <w:rStyle w:val="Refdenotaderodap"/>
          <w:rFonts w:ascii="Times New Roman" w:hAnsi="Times New Roman" w:cs="Times New Roman"/>
        </w:rPr>
        <w:footnoteReference w:id="18"/>
      </w:r>
      <w:r>
        <w:rPr>
          <w:rStyle w:val="Fontepargpadro7"/>
          <w:rFonts w:ascii="Times New Roman" w:hAnsi="Times New Roman" w:cs="Times New Roman"/>
        </w:rPr>
        <w:t xml:space="preserve"> e completou 25 anos em 2021. O professor Niels Lund possui dois importantes artigos sobre Dokvit são eles:  “</w:t>
      </w:r>
      <w:r>
        <w:rPr>
          <w:rStyle w:val="Fontepargpadro7"/>
          <w:rFonts w:ascii="Times New Roman" w:hAnsi="Times New Roman" w:cs="Times New Roman"/>
          <w:i/>
          <w:iCs/>
        </w:rPr>
        <w:t>Construindo uma disciplina, criando uma profissão: um ensaio sobre a infância de “Dokvi</w:t>
      </w:r>
      <w:r>
        <w:rPr>
          <w:rStyle w:val="Fontepargpadro7"/>
          <w:rFonts w:ascii="Times New Roman" w:hAnsi="Times New Roman" w:cs="Times New Roman"/>
        </w:rPr>
        <w:t>” (Lund ,2007),</w:t>
      </w:r>
      <w:r>
        <w:rPr>
          <w:rStyle w:val="Refdenotaderodap"/>
          <w:rFonts w:ascii="Times New Roman" w:hAnsi="Times New Roman" w:cs="Times New Roman"/>
        </w:rPr>
        <w:footnoteReference w:id="19"/>
      </w:r>
      <w:r>
        <w:rPr>
          <w:rStyle w:val="Fontepargpadro7"/>
          <w:rFonts w:ascii="Times New Roman" w:hAnsi="Times New Roman" w:cs="Times New Roman"/>
        </w:rPr>
        <w:t xml:space="preserve"> escrito para a comemoração de 10 do programa; e “</w:t>
      </w:r>
      <w:r>
        <w:rPr>
          <w:rStyle w:val="Fontepargpadro7"/>
          <w:rFonts w:ascii="Times New Roman" w:hAnsi="Times New Roman" w:cs="Times New Roman"/>
          <w:i/>
          <w:iCs/>
        </w:rPr>
        <w:t>Como tudo começou: 1996, o primeiro ano de Dokvit</w:t>
      </w:r>
      <w:r>
        <w:rPr>
          <w:rStyle w:val="Fontepargpadro7"/>
          <w:rFonts w:ascii="Times New Roman" w:hAnsi="Times New Roman" w:cs="Times New Roman"/>
        </w:rPr>
        <w:t>” (Lund, 2016)</w:t>
      </w:r>
      <w:r>
        <w:rPr>
          <w:rStyle w:val="Refdenotaderodap"/>
          <w:rFonts w:ascii="Times New Roman" w:hAnsi="Times New Roman" w:cs="Times New Roman"/>
        </w:rPr>
        <w:footnoteReference w:id="20"/>
      </w:r>
      <w:r>
        <w:rPr>
          <w:rStyle w:val="Fontepargpadro7"/>
          <w:rFonts w:ascii="Times New Roman" w:hAnsi="Times New Roman" w:cs="Times New Roman"/>
        </w:rPr>
        <w:t xml:space="preserve"> para a comemoração dos 20 </w:t>
      </w:r>
      <w:r>
        <w:rPr>
          <w:rStyle w:val="Fontepargpadro7"/>
          <w:rFonts w:ascii="Times New Roman" w:hAnsi="Times New Roman" w:cs="Times New Roman"/>
        </w:rPr>
        <w:lastRenderedPageBreak/>
        <w:t>anos e, em ambos, ele reitera a importância de Dokvit e argumenta o sentido de estabelecê-la (no significado de estudos da Documentação) como uma linha de estudos científicos.</w:t>
      </w:r>
    </w:p>
    <w:p w14:paraId="7DB0A010"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A conclusão de Lund (2007) sugere que somente o tempo poderia responder se a Documentação ou, mais precisamente, os estudos de Documentação manter-se-iam vivos, pois isso só ocorreria caso estes se comprovassem importantes para a sociedade. A introdução do artigo (Lund, 2016, p.1) vem precisamente respondendo a isso: “Dokvit vive […] e ainda é relevante para a sociedade”, diz o professor, embora informe que desde o ano de 2013 o seu nome tenha sido alterado para Estudos em Mídia e Documentação (</w:t>
      </w:r>
      <w:r>
        <w:rPr>
          <w:rStyle w:val="Fontepargpadro7"/>
          <w:rFonts w:ascii="Times New Roman" w:hAnsi="Times New Roman" w:cs="Times New Roman"/>
          <w:i/>
          <w:iCs/>
        </w:rPr>
        <w:t>Media and Documentation Studies</w:t>
      </w:r>
      <w:r>
        <w:rPr>
          <w:rStyle w:val="Fontepargpadro7"/>
          <w:rFonts w:ascii="Times New Roman" w:hAnsi="Times New Roman" w:cs="Times New Roman"/>
        </w:rPr>
        <w:t>).</w:t>
      </w:r>
    </w:p>
    <w:p w14:paraId="7BF985B6"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Ainda sobre a construção de Dokvit, cabe ressaltar um importante argumento da professora Skare (2019), que salienta que a ideia de ligar integralmente o programa à questão dos documentos através da criação do nome “Estudos de Documentação” no lugar de tê-lo ligado à ideia de Biblioteca ou de Informação “como muitos esperavam [...] foi uma escolha muito consciente de Niels W. Lund.” (Skare, 2019, p. 458). A autora ainda diz que isso se refere tanto à tradição dos documentalistas europeus que buscavam incluir outros objetos (como os tridimensionais e animais) no escopo do que é documento.</w:t>
      </w:r>
    </w:p>
    <w:p w14:paraId="51E4378F" w14:textId="77777777" w:rsidR="00946C54" w:rsidRDefault="00946C54" w:rsidP="00946C54">
      <w:pPr>
        <w:pStyle w:val="Standard"/>
        <w:tabs>
          <w:tab w:val="left" w:pos="2988"/>
        </w:tabs>
        <w:ind w:left="2268"/>
        <w:jc w:val="both"/>
        <w:rPr>
          <w:rStyle w:val="Fontepargpadro7"/>
          <w:rFonts w:ascii="Times New Roman" w:hAnsi="Times New Roman" w:cs="Times New Roman"/>
          <w:sz w:val="22"/>
          <w:szCs w:val="22"/>
        </w:rPr>
      </w:pPr>
    </w:p>
    <w:p w14:paraId="2E8B99B8" w14:textId="7CD6A77C" w:rsidR="00456A9B" w:rsidRPr="00946C54" w:rsidRDefault="00456A9B" w:rsidP="00946C54">
      <w:pPr>
        <w:pStyle w:val="Standard"/>
        <w:tabs>
          <w:tab w:val="left" w:pos="2988"/>
        </w:tabs>
        <w:ind w:left="2268"/>
        <w:jc w:val="both"/>
        <w:rPr>
          <w:rFonts w:hint="eastAsia"/>
          <w:sz w:val="22"/>
          <w:szCs w:val="22"/>
        </w:rPr>
      </w:pPr>
      <w:r w:rsidRPr="00946C54">
        <w:rPr>
          <w:rStyle w:val="Fontepargpadro7"/>
          <w:rFonts w:ascii="Times New Roman" w:hAnsi="Times New Roman" w:cs="Times New Roman"/>
          <w:sz w:val="20"/>
          <w:szCs w:val="20"/>
        </w:rPr>
        <w:t xml:space="preserve">Por outro lado, o conceito de Lund [Estudos de Documentação] também pode ser entendido como uma reação ao que era usual em muitas disciplinas das humanidades, como nos estudos literários ou na história da arte, em que os acadêmicos utilizavam o conceito de ‘texto’ para se referir a todos os tipos de manifestações, dos livros impressos aos filmes, videogames e pinturas. Muitas vezes, eles focavam apenas no significado do objeto, </w:t>
      </w:r>
      <w:r w:rsidRPr="00946C54">
        <w:rPr>
          <w:rStyle w:val="Fontepargpadro7"/>
          <w:rFonts w:ascii="Times New Roman" w:hAnsi="Times New Roman" w:cs="Times New Roman"/>
          <w:b/>
          <w:bCs/>
          <w:sz w:val="20"/>
          <w:szCs w:val="20"/>
        </w:rPr>
        <w:t>ignorando ou negligenciando sua materialidade - ou, nas palavras de Lund: “o status inferior da noção de fisicalidade</w:t>
      </w:r>
      <w:r w:rsidRPr="00946C54">
        <w:rPr>
          <w:rStyle w:val="Refdenotaderodap"/>
          <w:rFonts w:ascii="Times New Roman" w:hAnsi="Times New Roman" w:cs="Times New Roman"/>
          <w:b/>
          <w:bCs/>
          <w:sz w:val="20"/>
          <w:szCs w:val="20"/>
        </w:rPr>
        <w:footnoteReference w:id="21"/>
      </w:r>
      <w:r w:rsidRPr="00946C54">
        <w:rPr>
          <w:rStyle w:val="Fontepargpadro7"/>
          <w:rFonts w:ascii="Times New Roman" w:hAnsi="Times New Roman" w:cs="Times New Roman"/>
          <w:sz w:val="20"/>
          <w:szCs w:val="20"/>
        </w:rPr>
        <w:t xml:space="preserve"> dentro da tradição hermenêutica e semiótica, sendo definida como um veículo físico ou a materialização de todo o texto” (Lund, 2010, </w:t>
      </w:r>
      <w:r w:rsidRPr="00946C54">
        <w:rPr>
          <w:rStyle w:val="Fontepargpadro7"/>
          <w:rFonts w:ascii="Times New Roman" w:hAnsi="Times New Roman" w:cs="Times New Roman"/>
          <w:i/>
          <w:iCs/>
          <w:sz w:val="20"/>
          <w:szCs w:val="20"/>
        </w:rPr>
        <w:t xml:space="preserve">apud </w:t>
      </w:r>
      <w:r w:rsidRPr="00946C54">
        <w:rPr>
          <w:rStyle w:val="Fontepargpadro7"/>
          <w:rFonts w:ascii="Times New Roman" w:hAnsi="Times New Roman" w:cs="Times New Roman"/>
          <w:sz w:val="20"/>
          <w:szCs w:val="20"/>
        </w:rPr>
        <w:t>Skare, 2019, p. 458, tradução e grifos nossos).</w:t>
      </w:r>
    </w:p>
    <w:p w14:paraId="3C94F266" w14:textId="77777777" w:rsidR="00456A9B" w:rsidRPr="00946C54" w:rsidRDefault="00456A9B" w:rsidP="00946C54">
      <w:pPr>
        <w:pStyle w:val="Standard"/>
        <w:tabs>
          <w:tab w:val="left" w:pos="2988"/>
        </w:tabs>
        <w:ind w:left="2268"/>
        <w:jc w:val="both"/>
        <w:rPr>
          <w:rFonts w:ascii="Times New Roman" w:hAnsi="Times New Roman" w:cs="Times New Roman"/>
          <w:sz w:val="14"/>
          <w:szCs w:val="14"/>
        </w:rPr>
      </w:pPr>
    </w:p>
    <w:p w14:paraId="7A35A19E" w14:textId="77777777" w:rsidR="002C0500" w:rsidRDefault="00456A9B" w:rsidP="00946C54">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392402A1" w14:textId="76863623" w:rsidR="00456A9B" w:rsidRDefault="002C0500" w:rsidP="00946C54">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Lund (2016) também enfatiza que se remontamos o cenário de 1989 verificaremos que muitos bibliotecários e arquivistas ainda consideravam que “filmes, gravações de música, fotografia e transmissão” seriam “novas mídias”, pois o comparativo se dava com as costumeiras coleções de livros e periódicos. Nesse sentido, o significado atribuído a tentativa de repensar o documento a partir de novos pressupostos era absolutamente necessário.</w:t>
      </w:r>
    </w:p>
    <w:p w14:paraId="3585B095"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 xml:space="preserve"> O que nos importa ressaltar é que a criação de Dokvit cumpre uma função fundamental no que se refere ao ingresso do professor Niels W. Lund nos estudos de Documentação. Como anteposto, o programa é, em muito, uma iniciativa dele e o resultado de seus esforços à incorporação das discussões teóricas e práticas sobre o documento e, de forma mais precisa, </w:t>
      </w:r>
      <w:r>
        <w:rPr>
          <w:rStyle w:val="Fontepargpadro7"/>
          <w:rFonts w:ascii="Times New Roman" w:hAnsi="Times New Roman" w:cs="Times New Roman"/>
        </w:rPr>
        <w:lastRenderedPageBreak/>
        <w:t>sobre as redefinições de documento que o advento de novas tecnologias e, com destaque, a internet e o W.W.W. impunham às bibliotecas, arquivos e centros de documentação.</w:t>
      </w:r>
    </w:p>
    <w:p w14:paraId="64D412A7" w14:textId="77777777" w:rsidR="00456A9B" w:rsidRDefault="00456A9B" w:rsidP="00946C54">
      <w:pPr>
        <w:pStyle w:val="Standard"/>
        <w:tabs>
          <w:tab w:val="left" w:pos="720"/>
        </w:tabs>
        <w:spacing w:line="360" w:lineRule="auto"/>
        <w:jc w:val="both"/>
        <w:rPr>
          <w:rFonts w:hint="eastAsia"/>
        </w:rPr>
      </w:pPr>
      <w:r>
        <w:rPr>
          <w:rStyle w:val="Fontepargpadro7"/>
          <w:rFonts w:ascii="Times New Roman" w:hAnsi="Times New Roman" w:cs="Times New Roman"/>
        </w:rPr>
        <w:tab/>
        <w:t>Se de um lado do mundo – na Noruega,  pudemos acompanhar como o ingresso de um novo dispositivo legal afetou a prática profissional e o desenvolvimento científico sobre essas questões, do outro lado do mundo - nos Estados Unidos, o professor Michael Buckland também tinha que lidar com os novos desafios impostos pelas novas tecnologias, desafios  estes que não vieram pela criação ou modificação substancial de alguma lei, mas pelas próprias práticas biblioteconômicas e necessidades impostas pelos usuários. Esse novo contexto sociocultural lhe fazia questionar se o objeto das bibliotecas era, por fim, mais amplo que elas; que outras habilidades os profissionais da Biblioteconomia e Ciência da Informação deveriam incorporar ao seu ofício? Que tipos de objetos os usuários necessitavam para suprir suas necessidades informacionais? Além disso, o que fazia uma sala cheia de pássaros mortos ocupando parte do espaço do campus que trabalhava?</w:t>
      </w:r>
    </w:p>
    <w:p w14:paraId="36DC784B" w14:textId="77777777" w:rsidR="00456A9B" w:rsidRDefault="00456A9B" w:rsidP="00946C54">
      <w:pPr>
        <w:pStyle w:val="Standard"/>
        <w:tabs>
          <w:tab w:val="left" w:pos="720"/>
        </w:tabs>
        <w:spacing w:line="360" w:lineRule="auto"/>
        <w:jc w:val="both"/>
        <w:rPr>
          <w:rFonts w:ascii="Times New Roman" w:hAnsi="Times New Roman" w:cs="Times New Roman"/>
          <w:sz w:val="16"/>
          <w:szCs w:val="16"/>
        </w:rPr>
      </w:pPr>
    </w:p>
    <w:p w14:paraId="42FFB71A" w14:textId="15D7D3C7" w:rsidR="00456A9B" w:rsidRPr="00946C54" w:rsidRDefault="00946C54" w:rsidP="00946C54">
      <w:pPr>
        <w:spacing w:after="0" w:line="360" w:lineRule="auto"/>
        <w:rPr>
          <w:sz w:val="24"/>
          <w:szCs w:val="24"/>
        </w:rPr>
      </w:pPr>
      <w:bookmarkStart w:id="56" w:name="__RefHeading___Toc10527_875535364"/>
      <w:r w:rsidRPr="002C0500">
        <w:rPr>
          <w:rStyle w:val="Fontepargpadro7"/>
          <w:rFonts w:ascii="Times New Roman" w:hAnsi="Times New Roman" w:cs="Times New Roman"/>
          <w:bCs/>
          <w:sz w:val="24"/>
          <w:szCs w:val="24"/>
        </w:rPr>
        <w:t>4</w:t>
      </w:r>
      <w:r>
        <w:rPr>
          <w:rStyle w:val="Fontepargpadro7"/>
          <w:rFonts w:ascii="Times New Roman" w:hAnsi="Times New Roman" w:cs="Times New Roman"/>
          <w:b/>
          <w:sz w:val="24"/>
          <w:szCs w:val="24"/>
        </w:rPr>
        <w:t xml:space="preserve"> </w:t>
      </w:r>
      <w:r w:rsidR="00456A9B" w:rsidRPr="00946C54">
        <w:rPr>
          <w:rStyle w:val="Fontepargpadro7"/>
          <w:rFonts w:ascii="Times New Roman" w:hAnsi="Times New Roman" w:cs="Times New Roman"/>
          <w:b/>
          <w:sz w:val="24"/>
          <w:szCs w:val="24"/>
        </w:rPr>
        <w:t>MICHAEL BUCKLAND, OS PÁSSAROS MORTOS E AS NOVAS DEMANDAS DOS USUÁRIOS DAS BIBLIOTECAS</w:t>
      </w:r>
      <w:bookmarkEnd w:id="56"/>
    </w:p>
    <w:p w14:paraId="672042D3" w14:textId="77777777" w:rsidR="00456A9B" w:rsidRDefault="00456A9B" w:rsidP="00946C54">
      <w:pPr>
        <w:pStyle w:val="Standard"/>
        <w:tabs>
          <w:tab w:val="left" w:pos="720"/>
        </w:tabs>
        <w:spacing w:line="360" w:lineRule="auto"/>
        <w:jc w:val="both"/>
        <w:rPr>
          <w:rFonts w:ascii="Times New Roman" w:hAnsi="Times New Roman" w:cs="Times New Roman"/>
          <w:sz w:val="16"/>
          <w:szCs w:val="16"/>
        </w:rPr>
      </w:pPr>
    </w:p>
    <w:p w14:paraId="5BB08572" w14:textId="77777777" w:rsidR="00456A9B" w:rsidRPr="00946C54" w:rsidRDefault="00456A9B" w:rsidP="00946C54">
      <w:pPr>
        <w:pStyle w:val="Standard"/>
        <w:tabs>
          <w:tab w:val="left" w:pos="709"/>
        </w:tabs>
        <w:spacing w:line="360" w:lineRule="auto"/>
        <w:jc w:val="both"/>
        <w:rPr>
          <w:rFonts w:hint="eastAsia"/>
        </w:rPr>
      </w:pPr>
      <w:r>
        <w:rPr>
          <w:rStyle w:val="Fontepargpadro7"/>
          <w:rFonts w:ascii="Times New Roman" w:hAnsi="Times New Roman" w:cs="Times New Roman"/>
        </w:rPr>
        <w:tab/>
      </w:r>
      <w:r w:rsidRPr="00946C54">
        <w:rPr>
          <w:rStyle w:val="Fontepargpadro7"/>
          <w:rFonts w:ascii="Times New Roman" w:hAnsi="Times New Roman" w:cs="Times New Roman"/>
        </w:rPr>
        <w:t xml:space="preserve">Michael Buckland é Professor Emérito na Escola de Ciência da Informação da Universidade da Califórnia, Berkeley e </w:t>
      </w:r>
      <w:r w:rsidRPr="00946C54">
        <w:rPr>
          <w:rStyle w:val="Fontepargpadro7"/>
          <w:rFonts w:ascii="Times New Roman" w:hAnsi="Times New Roman" w:cs="Times New Roman"/>
          <w:i/>
          <w:iCs/>
        </w:rPr>
        <w:t>Co-Diretor da Electronic Cultural Atlas Initiative</w:t>
      </w:r>
      <w:r w:rsidRPr="00946C54">
        <w:rPr>
          <w:rStyle w:val="Fontepargpadro7"/>
          <w:rFonts w:ascii="Times New Roman" w:hAnsi="Times New Roman" w:cs="Times New Roman"/>
        </w:rPr>
        <w:t>. Nascido em 1941 - completou 80 anos em 2021 - ainda muito produtivo e com ampla participação nas discussões da Ciência da Informação, com especial destaque à sua obra sobre documentos e Documentação.</w:t>
      </w:r>
    </w:p>
    <w:p w14:paraId="1DFC5CBA" w14:textId="77777777" w:rsidR="00456A9B" w:rsidRPr="00946C54" w:rsidRDefault="00456A9B" w:rsidP="00946C54">
      <w:pPr>
        <w:pStyle w:val="Standard"/>
        <w:tabs>
          <w:tab w:val="left" w:pos="709"/>
        </w:tabs>
        <w:spacing w:line="360" w:lineRule="auto"/>
        <w:jc w:val="both"/>
        <w:rPr>
          <w:rFonts w:hint="eastAsia"/>
        </w:rPr>
      </w:pPr>
      <w:r w:rsidRPr="00946C54">
        <w:rPr>
          <w:rStyle w:val="Fontepargpadro7"/>
          <w:rFonts w:ascii="Times New Roman" w:hAnsi="Times New Roman" w:cs="Times New Roman"/>
        </w:rPr>
        <w:tab/>
        <w:t>Cresceu na Inglaterra e se formou em História na Universidade de Oxford. Uma vez formado e sem saber como seguir sua carreira profissional decidiu atuar provisoriamente em bibliotecas</w:t>
      </w:r>
      <w:r w:rsidRPr="00946C54">
        <w:rPr>
          <w:rStyle w:val="Refdenotaderodap"/>
          <w:rFonts w:ascii="Times New Roman" w:hAnsi="Times New Roman" w:cs="Times New Roman"/>
        </w:rPr>
        <w:footnoteReference w:id="22"/>
      </w:r>
      <w:r w:rsidRPr="00946C54">
        <w:rPr>
          <w:rStyle w:val="Fontepargpadro7"/>
          <w:rFonts w:ascii="Times New Roman" w:hAnsi="Times New Roman" w:cs="Times New Roman"/>
        </w:rPr>
        <w:t>. Buckland acreditava que bibliotecas eram instituições socialmente benéficas e, por esse motivo, trabalhou por um ano como</w:t>
      </w:r>
      <w:r w:rsidRPr="00946C54">
        <w:rPr>
          <w:rStyle w:val="Fontepargpadro7"/>
          <w:rFonts w:ascii="Times New Roman" w:hAnsi="Times New Roman" w:cs="Times New Roman"/>
          <w:i/>
          <w:iCs/>
        </w:rPr>
        <w:t xml:space="preserve"> treinee</w:t>
      </w:r>
      <w:r w:rsidRPr="00946C54">
        <w:rPr>
          <w:rStyle w:val="Fontepargpadro7"/>
          <w:rFonts w:ascii="Times New Roman" w:hAnsi="Times New Roman" w:cs="Times New Roman"/>
        </w:rPr>
        <w:t xml:space="preserve"> na </w:t>
      </w:r>
      <w:r w:rsidRPr="00946C54">
        <w:rPr>
          <w:rStyle w:val="Fontepargpadro7"/>
          <w:rFonts w:ascii="Times New Roman" w:hAnsi="Times New Roman" w:cs="Times New Roman"/>
          <w:i/>
          <w:iCs/>
        </w:rPr>
        <w:t>Bodleian Library</w:t>
      </w:r>
      <w:r w:rsidRPr="00946C54">
        <w:rPr>
          <w:rStyle w:val="Fontepargpadro7"/>
          <w:rFonts w:ascii="Times New Roman" w:hAnsi="Times New Roman" w:cs="Times New Roman"/>
        </w:rPr>
        <w:t>, também em Oxford</w:t>
      </w:r>
      <w:r w:rsidRPr="00946C54">
        <w:rPr>
          <w:rStyle w:val="Refdenotaderodap"/>
          <w:rFonts w:ascii="Times New Roman" w:hAnsi="Times New Roman" w:cs="Times New Roman"/>
        </w:rPr>
        <w:footnoteReference w:id="23"/>
      </w:r>
      <w:r w:rsidRPr="00946C54">
        <w:rPr>
          <w:rStyle w:val="Fontepargpadro7"/>
          <w:rFonts w:ascii="Times New Roman" w:hAnsi="Times New Roman" w:cs="Times New Roman"/>
        </w:rPr>
        <w:t>. Alguns anos depois, em 1965, foi um dos primeiros alunos a se formar em Biblioteconomia e Ciência da Informação</w:t>
      </w:r>
      <w:r w:rsidRPr="00946C54">
        <w:rPr>
          <w:rStyle w:val="Refdenotaderodap"/>
          <w:rFonts w:ascii="Times New Roman" w:hAnsi="Times New Roman" w:cs="Times New Roman"/>
        </w:rPr>
        <w:footnoteReference w:id="24"/>
      </w:r>
      <w:r w:rsidRPr="00946C54">
        <w:rPr>
          <w:rStyle w:val="Fontepargpadro7"/>
          <w:rFonts w:ascii="Times New Roman" w:hAnsi="Times New Roman" w:cs="Times New Roman"/>
        </w:rPr>
        <w:t xml:space="preserve"> pela universidade de Sheffield e ingressou como bibliotecário na </w:t>
      </w:r>
      <w:r w:rsidRPr="00946C54">
        <w:rPr>
          <w:rStyle w:val="Fontepargpadro7"/>
          <w:rFonts w:ascii="Times New Roman" w:hAnsi="Times New Roman" w:cs="Times New Roman"/>
          <w:i/>
          <w:iCs/>
        </w:rPr>
        <w:t>University of Lancaster Library</w:t>
      </w:r>
      <w:r w:rsidRPr="00946C54">
        <w:rPr>
          <w:rStyle w:val="Fontepargpadro7"/>
          <w:rFonts w:ascii="Times New Roman" w:hAnsi="Times New Roman" w:cs="Times New Roman"/>
        </w:rPr>
        <w:t>, fundada no ano anterior. Uma vez que a biblioteca ainda estava em formação, o professor Buckland atuou em quase todas as atividades da biblioteca.</w:t>
      </w:r>
    </w:p>
    <w:p w14:paraId="757E1E23" w14:textId="77777777" w:rsidR="00456A9B" w:rsidRPr="00946C54" w:rsidRDefault="00456A9B" w:rsidP="00946C54">
      <w:pPr>
        <w:pStyle w:val="Standard"/>
        <w:tabs>
          <w:tab w:val="left" w:pos="709"/>
        </w:tabs>
        <w:spacing w:line="360" w:lineRule="auto"/>
        <w:jc w:val="both"/>
        <w:rPr>
          <w:rFonts w:hint="eastAsia"/>
        </w:rPr>
      </w:pPr>
      <w:r w:rsidRPr="00946C54">
        <w:rPr>
          <w:rStyle w:val="Fontepargpadro7"/>
          <w:rFonts w:ascii="Times New Roman" w:hAnsi="Times New Roman" w:cs="Times New Roman"/>
        </w:rPr>
        <w:lastRenderedPageBreak/>
        <w:tab/>
        <w:t xml:space="preserve">Antes de mudar-se para os Estados Unidos, em 1972, dedicou-se em tempo integral por cinco anos aos assuntos relacionados ao Uso e Avaliação de Livros e aos Jogos de Gerenciamento de Bibliotecas, </w:t>
      </w:r>
      <w:r w:rsidRPr="00946C54">
        <w:rPr>
          <w:rStyle w:val="Fontepargpadro7"/>
          <w:rFonts w:ascii="Times New Roman" w:hAnsi="Times New Roman" w:cs="Times New Roman"/>
          <w:vertAlign w:val="superscript"/>
        </w:rPr>
        <w:footnoteReference w:id="25"/>
      </w:r>
      <w:r w:rsidRPr="00946C54">
        <w:rPr>
          <w:rStyle w:val="Fontepargpadro7"/>
          <w:rFonts w:ascii="Times New Roman" w:hAnsi="Times New Roman" w:cs="Times New Roman"/>
        </w:rPr>
        <w:t xml:space="preserve"> e</w:t>
      </w:r>
      <w:r w:rsidRPr="00946C54">
        <w:rPr>
          <w:rStyle w:val="Fontepargpadro7"/>
          <w:rFonts w:ascii="Times New Roman" w:hAnsi="Times New Roman" w:cs="Times New Roman"/>
          <w:vertAlign w:val="superscript"/>
        </w:rPr>
        <w:t xml:space="preserve"> </w:t>
      </w:r>
      <w:r w:rsidRPr="00946C54">
        <w:rPr>
          <w:rStyle w:val="Fontepargpadro7"/>
          <w:rFonts w:ascii="Times New Roman" w:hAnsi="Times New Roman" w:cs="Times New Roman"/>
          <w:vertAlign w:val="superscript"/>
        </w:rPr>
        <w:footnoteReference w:id="26"/>
      </w:r>
      <w:r w:rsidRPr="00946C54">
        <w:rPr>
          <w:rStyle w:val="Fontepargpadro7"/>
          <w:rFonts w:ascii="Times New Roman" w:hAnsi="Times New Roman" w:cs="Times New Roman"/>
        </w:rPr>
        <w:t xml:space="preserve"> mais precisamente, buscava compreender, através de métricas e modelos quantitativos, como os serviços de bibliotecas deveriam ser melhorados. Ao pensar nos seus setores o autor iniciou uma série de reflexões, que veio a consolidar com uma tese, sobre como os serviços de uma biblioteca relacionavam-se uns com os outros.</w:t>
      </w:r>
    </w:p>
    <w:p w14:paraId="02572B5D" w14:textId="77777777" w:rsidR="00456A9B" w:rsidRPr="00946C54" w:rsidRDefault="00456A9B" w:rsidP="00946C54">
      <w:pPr>
        <w:pStyle w:val="Standard"/>
        <w:tabs>
          <w:tab w:val="left" w:pos="709"/>
        </w:tabs>
        <w:spacing w:line="360" w:lineRule="auto"/>
        <w:jc w:val="both"/>
        <w:rPr>
          <w:rFonts w:hint="eastAsia"/>
        </w:rPr>
      </w:pPr>
      <w:r w:rsidRPr="00946C54">
        <w:rPr>
          <w:rStyle w:val="Fontepargpadro7"/>
          <w:rFonts w:ascii="Times New Roman" w:hAnsi="Times New Roman" w:cs="Times New Roman"/>
        </w:rPr>
        <w:tab/>
        <w:t xml:space="preserve">A produção de sua tese demorou 6 anos, entre 1967-1972, e teve como título </w:t>
      </w:r>
      <w:r w:rsidRPr="00946C54">
        <w:rPr>
          <w:rStyle w:val="Fontepargpadro7"/>
          <w:rFonts w:ascii="Times New Roman" w:hAnsi="Times New Roman" w:cs="Times New Roman"/>
          <w:i/>
          <w:iCs/>
        </w:rPr>
        <w:t>Book Availability and the Library User,</w:t>
      </w:r>
      <w:r w:rsidRPr="00946C54">
        <w:rPr>
          <w:rStyle w:val="Fontepargpadro7"/>
          <w:rFonts w:ascii="Times New Roman" w:hAnsi="Times New Roman" w:cs="Times New Roman"/>
        </w:rPr>
        <w:t xml:space="preserve"> e foi publicada pela Pergamon Press, em 1975. A versão de impressão do trabalho possui 196 páginas. Ao fim da tese, Buckland mudou-se para os Estados Unidos e assumiu o cargo de Diretor Assistente da seção de “Serviços Técnicos de Biblioteca”</w:t>
      </w:r>
      <w:r w:rsidRPr="00946C54">
        <w:rPr>
          <w:rStyle w:val="Refdenotaderodap"/>
          <w:rFonts w:ascii="Times New Roman" w:hAnsi="Times New Roman" w:cs="Times New Roman"/>
        </w:rPr>
        <w:footnoteReference w:id="27"/>
      </w:r>
      <w:r w:rsidRPr="00946C54">
        <w:rPr>
          <w:rStyle w:val="Fontepargpadro7"/>
          <w:rFonts w:ascii="Times New Roman" w:hAnsi="Times New Roman" w:cs="Times New Roman"/>
          <w:vertAlign w:val="superscript"/>
        </w:rPr>
        <w:t xml:space="preserve"> </w:t>
      </w:r>
      <w:r w:rsidRPr="00946C54">
        <w:rPr>
          <w:rStyle w:val="Fontepargpadro7"/>
          <w:rFonts w:ascii="Times New Roman" w:hAnsi="Times New Roman" w:cs="Times New Roman"/>
        </w:rPr>
        <w:t xml:space="preserve">na </w:t>
      </w:r>
      <w:r w:rsidRPr="00946C54">
        <w:rPr>
          <w:rStyle w:val="Fontepargpadro7"/>
          <w:rFonts w:ascii="Times New Roman" w:hAnsi="Times New Roman" w:cs="Times New Roman"/>
          <w:i/>
          <w:iCs/>
        </w:rPr>
        <w:t>Purdue University</w:t>
      </w:r>
      <w:r w:rsidRPr="00946C54">
        <w:rPr>
          <w:rStyle w:val="Fontepargpadro7"/>
          <w:rFonts w:ascii="Times New Roman" w:hAnsi="Times New Roman" w:cs="Times New Roman"/>
        </w:rPr>
        <w:t>, localizada em Indiana. Nessa atividade permaneceu até 1976, quando se tornou o Reitor da Escola de Estudos Biblioteconômicos e Informacionais</w:t>
      </w:r>
      <w:r w:rsidRPr="00946C54">
        <w:rPr>
          <w:rStyle w:val="Refdenotaderodap"/>
          <w:rFonts w:ascii="Times New Roman" w:hAnsi="Times New Roman" w:cs="Times New Roman"/>
        </w:rPr>
        <w:footnoteReference w:id="28"/>
      </w:r>
      <w:r w:rsidRPr="00946C54">
        <w:rPr>
          <w:rStyle w:val="Fontepargpadro7"/>
          <w:rFonts w:ascii="Times New Roman" w:hAnsi="Times New Roman" w:cs="Times New Roman"/>
        </w:rPr>
        <w:t xml:space="preserve"> da Universidade da Califórnia, em Berkeley.</w:t>
      </w:r>
    </w:p>
    <w:p w14:paraId="652751FE" w14:textId="77777777" w:rsidR="00456A9B" w:rsidRDefault="00456A9B" w:rsidP="00946C54">
      <w:pPr>
        <w:pStyle w:val="Standard"/>
        <w:tabs>
          <w:tab w:val="left" w:pos="709"/>
        </w:tabs>
        <w:spacing w:line="360" w:lineRule="auto"/>
        <w:jc w:val="both"/>
        <w:rPr>
          <w:rFonts w:ascii="Times New Roman" w:hAnsi="Times New Roman" w:cs="Times New Roman"/>
        </w:rPr>
      </w:pPr>
      <w:r w:rsidRPr="00946C54">
        <w:rPr>
          <w:rFonts w:ascii="Times New Roman" w:hAnsi="Times New Roman" w:cs="Times New Roman"/>
        </w:rPr>
        <w:tab/>
        <w:t>Segundo o próprio autor, o grande motivo de seu ingresso na Universidade da California refere-se a uma decisão institucional de realizar uma série de mudanças. Essas mudanças baseavam- se em um aparente desgaste da ideia (ou tentativa de superação da ideia, mais precisamente) de que uma escola de biblioteconomia que treinava bibliotecários para atuar em bibliotecas não conseguiria lidar com os crescentes problemas relacionados aos documentos e aos dados produzidos fora das bibliotecas.</w:t>
      </w:r>
    </w:p>
    <w:p w14:paraId="6CA866C3" w14:textId="77777777" w:rsidR="00244F92" w:rsidRPr="00946C54" w:rsidRDefault="00244F92" w:rsidP="00946C54">
      <w:pPr>
        <w:pStyle w:val="Standard"/>
        <w:tabs>
          <w:tab w:val="left" w:pos="709"/>
        </w:tabs>
        <w:spacing w:line="360" w:lineRule="auto"/>
        <w:jc w:val="both"/>
        <w:rPr>
          <w:rFonts w:hint="eastAsia"/>
        </w:rPr>
      </w:pPr>
    </w:p>
    <w:p w14:paraId="30817ADB" w14:textId="77777777" w:rsidR="00456A9B" w:rsidRPr="00244F92" w:rsidRDefault="00456A9B" w:rsidP="00456A9B">
      <w:pPr>
        <w:pStyle w:val="Standard"/>
        <w:tabs>
          <w:tab w:val="left" w:pos="3034"/>
        </w:tabs>
        <w:spacing w:before="57" w:after="57"/>
        <w:ind w:left="2325"/>
        <w:jc w:val="both"/>
        <w:rPr>
          <w:rFonts w:hint="eastAsia"/>
          <w:sz w:val="22"/>
          <w:szCs w:val="22"/>
        </w:rPr>
      </w:pPr>
      <w:r w:rsidRPr="00244F92">
        <w:rPr>
          <w:rStyle w:val="Fontepargpadro7"/>
          <w:rFonts w:ascii="Times New Roman" w:hAnsi="Times New Roman" w:cs="Times New Roman"/>
          <w:sz w:val="20"/>
          <w:szCs w:val="20"/>
        </w:rPr>
        <w:t xml:space="preserve">E então eu vim para a Escola de Biblioteconomia da Universidade da Califórnia, Berkeley. Onde eles haviam decidido que era necessário realizar algumas mudanças. A ideia era a de que uma escola de biblioteconomia, treinando bibliotecário para atuar em bibliotecas era uma coisa muito boa.  Por outro lado, havia enormes e crescentes problemas relacionados aos documentos e aos dados que estavam fora das bibliotecas. Arquivos corporativos, bases de dados e todos os tipos de documentos e dados que deveriam </w:t>
      </w:r>
      <w:r w:rsidRPr="00244F92">
        <w:rPr>
          <w:rStyle w:val="Fontepargpadro7"/>
          <w:rFonts w:ascii="Times New Roman" w:hAnsi="Times New Roman" w:cs="Times New Roman"/>
          <w:i/>
          <w:iCs/>
          <w:sz w:val="20"/>
          <w:szCs w:val="20"/>
        </w:rPr>
        <w:t>ser guardados</w:t>
      </w:r>
      <w:r w:rsidRPr="00244F92">
        <w:rPr>
          <w:rStyle w:val="Refdenotaderodap"/>
          <w:rFonts w:ascii="Times New Roman" w:hAnsi="Times New Roman" w:cs="Times New Roman"/>
          <w:sz w:val="20"/>
          <w:szCs w:val="20"/>
        </w:rPr>
        <w:footnoteReference w:id="29"/>
      </w:r>
      <w:r w:rsidRPr="00244F92">
        <w:rPr>
          <w:rStyle w:val="Fontepargpadro7"/>
          <w:rFonts w:ascii="Times New Roman" w:hAnsi="Times New Roman" w:cs="Times New Roman"/>
          <w:sz w:val="20"/>
          <w:szCs w:val="20"/>
          <w:vertAlign w:val="superscript"/>
        </w:rPr>
        <w:t xml:space="preserve"> </w:t>
      </w:r>
      <w:r w:rsidRPr="00244F92">
        <w:rPr>
          <w:rStyle w:val="Fontepargpadro7"/>
          <w:rFonts w:ascii="Times New Roman" w:hAnsi="Times New Roman" w:cs="Times New Roman"/>
          <w:sz w:val="20"/>
          <w:szCs w:val="20"/>
        </w:rPr>
        <w:t xml:space="preserve">para que as pessoas pudessem utilizar e que provinham de muitos contextos diferentes. </w:t>
      </w:r>
      <w:r w:rsidRPr="00244F92">
        <w:rPr>
          <w:rStyle w:val="Fontepargpadro7"/>
          <w:rFonts w:ascii="Times New Roman" w:hAnsi="Times New Roman" w:cs="Times New Roman"/>
          <w:b/>
          <w:bCs/>
          <w:sz w:val="20"/>
          <w:szCs w:val="20"/>
        </w:rPr>
        <w:t xml:space="preserve">Isso não estava recebendo atenção e as pessoas não estavam sendo treinadas para lidar com essas questões. Então parecia ser uma boa ideia se a escola de Biblioteconomia de Berkeley pudesse diversificar os seus interesses. </w:t>
      </w:r>
      <w:r w:rsidRPr="00244F92">
        <w:rPr>
          <w:rStyle w:val="Fontepargpadro7"/>
          <w:rFonts w:ascii="Times New Roman" w:hAnsi="Times New Roman" w:cs="Times New Roman"/>
          <w:sz w:val="20"/>
          <w:szCs w:val="20"/>
        </w:rPr>
        <w:t xml:space="preserve">Então, seria um bom desafio tanto para a pesquisa, quanto para a teoria e para a educação se fosse oferecida uma educação profissional e realizadas pesquisas sobre esses contextos externos às bibliotecas que tenham relação com documentos. Então, eu vim para Berkeley para ajudar a executar esse </w:t>
      </w:r>
      <w:r w:rsidRPr="00244F92">
        <w:rPr>
          <w:rStyle w:val="Fontepargpadro7"/>
          <w:rFonts w:ascii="Times New Roman" w:hAnsi="Times New Roman" w:cs="Times New Roman"/>
          <w:sz w:val="20"/>
          <w:szCs w:val="20"/>
        </w:rPr>
        <w:lastRenderedPageBreak/>
        <w:t>objetivo. (Buckland. Entrevista In: DOCAM’s Footsteps, 2019). Tradução, grifos e adaptação para texto escrito nossas).</w:t>
      </w:r>
    </w:p>
    <w:p w14:paraId="7252FE85" w14:textId="77777777" w:rsidR="00456A9B" w:rsidRDefault="00456A9B" w:rsidP="00456A9B">
      <w:pPr>
        <w:pStyle w:val="Standard"/>
        <w:tabs>
          <w:tab w:val="left" w:pos="709"/>
        </w:tabs>
        <w:spacing w:before="57" w:after="57" w:line="360" w:lineRule="auto"/>
        <w:jc w:val="both"/>
        <w:rPr>
          <w:rFonts w:ascii="Times New Roman" w:hAnsi="Times New Roman" w:cs="Times New Roman"/>
          <w:sz w:val="4"/>
          <w:szCs w:val="4"/>
        </w:rPr>
      </w:pPr>
    </w:p>
    <w:p w14:paraId="22791502" w14:textId="77777777" w:rsidR="00244F92" w:rsidRDefault="00456A9B" w:rsidP="00456A9B">
      <w:pPr>
        <w:pStyle w:val="Standard"/>
        <w:tabs>
          <w:tab w:val="left" w:pos="709"/>
        </w:tabs>
        <w:spacing w:before="57" w:after="57"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74FB21C9" w14:textId="1A27A3E7" w:rsidR="00456A9B" w:rsidRPr="00023939" w:rsidRDefault="00244F92" w:rsidP="00456A9B">
      <w:pPr>
        <w:pStyle w:val="Standard"/>
        <w:tabs>
          <w:tab w:val="left" w:pos="709"/>
        </w:tabs>
        <w:spacing w:before="57" w:after="57" w:line="360" w:lineRule="auto"/>
        <w:jc w:val="both"/>
        <w:rPr>
          <w:rFonts w:hint="eastAsia"/>
          <w:lang w:val="en-US"/>
        </w:rPr>
      </w:pPr>
      <w:r>
        <w:rPr>
          <w:rStyle w:val="Fontepargpadro7"/>
          <w:rFonts w:ascii="Times New Roman" w:hAnsi="Times New Roman" w:cs="Times New Roman"/>
        </w:rPr>
        <w:tab/>
      </w:r>
      <w:r w:rsidR="00456A9B">
        <w:rPr>
          <w:rStyle w:val="Fontepargpadro7"/>
          <w:rFonts w:ascii="Times New Roman" w:hAnsi="Times New Roman" w:cs="Times New Roman"/>
        </w:rPr>
        <w:t>Sua gestão na função de reitor encerrou-se em 1984. Entre os anos de 1983 e 1987 atuou como Vice-presidente Assistente de Planos e Políticas de Bibliotecas (tradução livre)</w:t>
      </w:r>
      <w:r w:rsidR="00456A9B">
        <w:rPr>
          <w:rStyle w:val="Refdenotaderodap"/>
          <w:rFonts w:ascii="Times New Roman" w:hAnsi="Times New Roman" w:cs="Times New Roman"/>
        </w:rPr>
        <w:footnoteReference w:id="30"/>
      </w:r>
      <w:r w:rsidR="00456A9B">
        <w:rPr>
          <w:rStyle w:val="Fontepargpadro7"/>
          <w:rFonts w:ascii="Times New Roman" w:hAnsi="Times New Roman" w:cs="Times New Roman"/>
        </w:rPr>
        <w:t xml:space="preserve"> de nove campus da Universidade da Califórnia e foi professor visitante na Áustria e na Austrália. </w:t>
      </w:r>
      <w:r w:rsidR="00456A9B">
        <w:rPr>
          <w:rStyle w:val="Fontepargpadro7"/>
          <w:rFonts w:ascii="Times New Roman" w:hAnsi="Times New Roman" w:cs="Times New Roman"/>
          <w:lang w:val="en-US"/>
        </w:rPr>
        <w:t xml:space="preserve">Em 1998, foi presidente da </w:t>
      </w:r>
      <w:r w:rsidR="00456A9B">
        <w:rPr>
          <w:rStyle w:val="Fontepargpadro7"/>
          <w:rFonts w:ascii="Times New Roman" w:hAnsi="Times New Roman" w:cs="Times New Roman"/>
          <w:i/>
          <w:iCs/>
          <w:lang w:val="en-US"/>
        </w:rPr>
        <w:t>American Society for Information Science and Technolog</w:t>
      </w:r>
      <w:r w:rsidR="00456A9B">
        <w:rPr>
          <w:rStyle w:val="Fontepargpadro7"/>
          <w:rFonts w:ascii="Times New Roman" w:hAnsi="Times New Roman" w:cs="Times New Roman"/>
          <w:lang w:val="en-US"/>
        </w:rPr>
        <w:t xml:space="preserve"> (ASIS&amp;T)</w:t>
      </w:r>
      <w:r w:rsidR="00456A9B">
        <w:rPr>
          <w:rStyle w:val="Refdenotaderodap"/>
          <w:rFonts w:ascii="Times New Roman" w:hAnsi="Times New Roman" w:cs="Times New Roman"/>
        </w:rPr>
        <w:footnoteReference w:id="31"/>
      </w:r>
      <w:r w:rsidR="00456A9B">
        <w:rPr>
          <w:rStyle w:val="Fontepargpadro7"/>
          <w:rFonts w:ascii="Times New Roman" w:hAnsi="Times New Roman" w:cs="Times New Roman"/>
          <w:vertAlign w:val="superscript"/>
          <w:lang w:val="en-US"/>
        </w:rPr>
        <w:t>.</w:t>
      </w:r>
    </w:p>
    <w:p w14:paraId="614C0465" w14:textId="77777777" w:rsidR="00456A9B" w:rsidRDefault="00456A9B" w:rsidP="001532D7">
      <w:pPr>
        <w:pStyle w:val="Standard"/>
        <w:tabs>
          <w:tab w:val="left" w:pos="709"/>
        </w:tabs>
        <w:spacing w:line="360" w:lineRule="auto"/>
        <w:jc w:val="both"/>
        <w:rPr>
          <w:rFonts w:hint="eastAsia"/>
        </w:rPr>
      </w:pPr>
      <w:r>
        <w:rPr>
          <w:rStyle w:val="Fontepargpadro7"/>
          <w:rFonts w:ascii="Times New Roman" w:hAnsi="Times New Roman" w:cs="Times New Roman"/>
          <w:lang w:val="en-US"/>
        </w:rPr>
        <w:tab/>
        <w:t xml:space="preserve">Além da publicação da tese, o autor  publicou pela a mesma editora (Pergamon) a obra: </w:t>
      </w:r>
      <w:r>
        <w:rPr>
          <w:rStyle w:val="Fontepargpadro7"/>
          <w:rFonts w:ascii="Times New Roman" w:hAnsi="Times New Roman" w:cs="Times New Roman"/>
          <w:i/>
          <w:iCs/>
          <w:lang w:val="en-US"/>
        </w:rPr>
        <w:t>Library Services in Theory and Context,</w:t>
      </w:r>
      <w:r>
        <w:rPr>
          <w:rStyle w:val="Fontepargpadro7"/>
          <w:rFonts w:ascii="Times New Roman" w:hAnsi="Times New Roman" w:cs="Times New Roman"/>
          <w:lang w:val="en-US"/>
        </w:rPr>
        <w:t xml:space="preserve"> em 1983; </w:t>
      </w:r>
      <w:r>
        <w:rPr>
          <w:rStyle w:val="Fontepargpadro7"/>
          <w:rFonts w:ascii="Times New Roman" w:hAnsi="Times New Roman" w:cs="Times New Roman"/>
          <w:i/>
          <w:iCs/>
          <w:lang w:val="en-US"/>
        </w:rPr>
        <w:t>Information and Information Systems</w:t>
      </w:r>
      <w:r>
        <w:rPr>
          <w:rStyle w:val="Fontepargpadro7"/>
          <w:rFonts w:ascii="Times New Roman" w:hAnsi="Times New Roman" w:cs="Times New Roman"/>
          <w:lang w:val="en-US"/>
        </w:rPr>
        <w:t xml:space="preserve">, pela editora Greenwood Press, em 1991; </w:t>
      </w:r>
      <w:r>
        <w:rPr>
          <w:rStyle w:val="Fontepargpadro7"/>
          <w:rFonts w:ascii="Times New Roman" w:hAnsi="Times New Roman" w:cs="Times New Roman"/>
          <w:i/>
          <w:iCs/>
          <w:lang w:val="en-US"/>
        </w:rPr>
        <w:t>Redesigning Library Services</w:t>
      </w:r>
      <w:r>
        <w:rPr>
          <w:rStyle w:val="Fontepargpadro7"/>
          <w:rFonts w:ascii="Times New Roman" w:hAnsi="Times New Roman" w:cs="Times New Roman"/>
          <w:lang w:val="en-US"/>
        </w:rPr>
        <w:t xml:space="preserve"> pela American Library Association, em 1992. </w:t>
      </w:r>
      <w:r>
        <w:rPr>
          <w:rStyle w:val="Fontepargpadro7"/>
          <w:rFonts w:ascii="Times New Roman" w:hAnsi="Times New Roman" w:cs="Times New Roman"/>
        </w:rPr>
        <w:t>Suas mais recentes publicações foram a biografia de Emanuel Goldberg, intitulada Emanuel</w:t>
      </w:r>
      <w:r>
        <w:rPr>
          <w:rStyle w:val="Fontepargpadro7"/>
          <w:rFonts w:ascii="Times New Roman" w:hAnsi="Times New Roman" w:cs="Times New Roman"/>
          <w:i/>
          <w:iCs/>
        </w:rPr>
        <w:t xml:space="preserve"> Goldberg and his Knowledge Machine</w:t>
      </w:r>
      <w:r>
        <w:rPr>
          <w:rStyle w:val="Fontepargpadro7"/>
          <w:rFonts w:ascii="Times New Roman" w:hAnsi="Times New Roman" w:cs="Times New Roman"/>
        </w:rPr>
        <w:t xml:space="preserve"> publicada pela </w:t>
      </w:r>
      <w:r>
        <w:rPr>
          <w:rStyle w:val="Fontepargpadro7"/>
          <w:rFonts w:ascii="Times New Roman" w:hAnsi="Times New Roman" w:cs="Times New Roman"/>
          <w:i/>
          <w:iCs/>
        </w:rPr>
        <w:t>Libraries Unlimited,</w:t>
      </w:r>
      <w:r>
        <w:rPr>
          <w:rStyle w:val="Fontepargpadro7"/>
          <w:rFonts w:ascii="Times New Roman" w:hAnsi="Times New Roman" w:cs="Times New Roman"/>
        </w:rPr>
        <w:t xml:space="preserve"> em 2006 e o livro </w:t>
      </w:r>
      <w:r>
        <w:rPr>
          <w:rStyle w:val="Fontepargpadro7"/>
          <w:rFonts w:ascii="Times New Roman" w:hAnsi="Times New Roman" w:cs="Times New Roman"/>
          <w:i/>
          <w:iCs/>
        </w:rPr>
        <w:t>Information and Society</w:t>
      </w:r>
      <w:r>
        <w:rPr>
          <w:rStyle w:val="Fontepargpadro7"/>
          <w:rFonts w:ascii="Times New Roman" w:hAnsi="Times New Roman" w:cs="Times New Roman"/>
        </w:rPr>
        <w:t>, publicado pela MIT Press, em 2017. Este último, recebeu o prêmio de melhor livro de Ciência da Informação pela ASIS&amp;T em 2018 e será um dos livros de destaque na nossa próxima seção.</w:t>
      </w:r>
    </w:p>
    <w:p w14:paraId="3C517194" w14:textId="77777777" w:rsidR="00456A9B" w:rsidRDefault="00456A9B" w:rsidP="001532D7">
      <w:pPr>
        <w:pStyle w:val="Standard"/>
        <w:tabs>
          <w:tab w:val="left" w:pos="709"/>
        </w:tabs>
        <w:spacing w:line="360" w:lineRule="auto"/>
        <w:jc w:val="both"/>
        <w:rPr>
          <w:rFonts w:hint="eastAsia"/>
        </w:rPr>
      </w:pPr>
      <w:r>
        <w:rPr>
          <w:rStyle w:val="Fontepargpadro7"/>
          <w:rFonts w:ascii="Times New Roman" w:hAnsi="Times New Roman" w:cs="Times New Roman"/>
        </w:rPr>
        <w:tab/>
        <w:t>Na Universidade de Berkeley dedicou-se às atividades de docência na Escola de Informação (atual nome do programa de estudos em que atua) e foi professor das disciplinas Serviços de Bibliotecas e Catalogação. Além disso, nos últimos 20 anos ofereceu outras disciplinas e cursos</w:t>
      </w:r>
      <w:r>
        <w:rPr>
          <w:rStyle w:val="Refdenotaderodap"/>
          <w:rFonts w:ascii="Times New Roman" w:hAnsi="Times New Roman" w:cs="Times New Roman"/>
        </w:rPr>
        <w:footnoteReference w:id="32"/>
      </w:r>
      <w:r>
        <w:rPr>
          <w:rStyle w:val="Fontepargpadro7"/>
          <w:rFonts w:ascii="Times New Roman" w:hAnsi="Times New Roman" w:cs="Times New Roman"/>
          <w:vertAlign w:val="superscript"/>
        </w:rPr>
        <w:t>:</w:t>
      </w:r>
    </w:p>
    <w:p w14:paraId="1B7F2145"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Informação nas Sociedades, 1996;</w:t>
      </w:r>
    </w:p>
    <w:p w14:paraId="772C1A1F"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Sistemas de Informação, em 1997;</w:t>
      </w:r>
    </w:p>
    <w:p w14:paraId="71F31118"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Indexação e Vocabulários, 1998;</w:t>
      </w:r>
    </w:p>
    <w:p w14:paraId="14E3AD0C"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Conceitos de Gestão da Informação, 1999;</w:t>
      </w:r>
    </w:p>
    <w:p w14:paraId="7D726B6A"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Acesso ao Patrimônio Cultural Americano, 2003;</w:t>
      </w:r>
    </w:p>
    <w:p w14:paraId="298FBB58"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Organização da Informação em Coleções, 2004;</w:t>
      </w:r>
    </w:p>
    <w:p w14:paraId="0A12DFEF"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Design de Serviços de Bibliotecas, 2004;</w:t>
      </w:r>
    </w:p>
    <w:p w14:paraId="112599CF"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Classificação e Representações Bibliográficas, 2004;</w:t>
      </w:r>
    </w:p>
    <w:p w14:paraId="6A8A66B3"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Documentos na Sociedade, 2001;</w:t>
      </w:r>
    </w:p>
    <w:p w14:paraId="5A92CC53" w14:textId="77777777" w:rsidR="00456A9B" w:rsidRDefault="00456A9B" w:rsidP="001532D7">
      <w:pPr>
        <w:pStyle w:val="Standard"/>
        <w:tabs>
          <w:tab w:val="left" w:pos="709"/>
        </w:tabs>
        <w:spacing w:line="360" w:lineRule="auto"/>
        <w:jc w:val="both"/>
        <w:rPr>
          <w:rFonts w:ascii="Times New Roman" w:hAnsi="Times New Roman" w:cs="Times New Roman"/>
        </w:rPr>
      </w:pPr>
      <w:r>
        <w:rPr>
          <w:rFonts w:ascii="Times New Roman" w:hAnsi="Times New Roman" w:cs="Times New Roman"/>
        </w:rPr>
        <w:t>- Teoria do documento (Seminário), 2006.</w:t>
      </w:r>
    </w:p>
    <w:p w14:paraId="4CB56A30" w14:textId="77777777" w:rsidR="00456A9B" w:rsidRDefault="00456A9B" w:rsidP="001532D7">
      <w:pPr>
        <w:pStyle w:val="Standard"/>
        <w:tabs>
          <w:tab w:val="left" w:pos="709"/>
        </w:tabs>
        <w:spacing w:line="360" w:lineRule="auto"/>
        <w:jc w:val="both"/>
        <w:rPr>
          <w:rFonts w:hint="eastAsia"/>
        </w:rPr>
      </w:pPr>
      <w:r>
        <w:rPr>
          <w:rFonts w:ascii="Times New Roman" w:hAnsi="Times New Roman" w:cs="Times New Roman"/>
        </w:rPr>
        <w:lastRenderedPageBreak/>
        <w:tab/>
      </w:r>
      <w:r>
        <w:rPr>
          <w:rStyle w:val="Fontepargpadro7"/>
          <w:rFonts w:ascii="Times New Roman" w:hAnsi="Times New Roman" w:cs="Times New Roman"/>
        </w:rPr>
        <w:t xml:space="preserve">Importante dizer que </w:t>
      </w:r>
      <w:r>
        <w:rPr>
          <w:rStyle w:val="Fontepargpadro7"/>
          <w:rFonts w:ascii="Times New Roman" w:hAnsi="Times New Roman" w:cs="Times New Roman"/>
          <w:b/>
          <w:bCs/>
        </w:rPr>
        <w:t>os dois últimos cursos</w:t>
      </w:r>
      <w:r>
        <w:rPr>
          <w:rStyle w:val="Fontepargpadro7"/>
          <w:rFonts w:ascii="Times New Roman" w:hAnsi="Times New Roman" w:cs="Times New Roman"/>
        </w:rPr>
        <w:t xml:space="preserve"> foram oferecidos em </w:t>
      </w:r>
      <w:r>
        <w:rPr>
          <w:rStyle w:val="Fontepargpadro7"/>
          <w:rFonts w:ascii="Times New Roman" w:hAnsi="Times New Roman" w:cs="Times New Roman"/>
          <w:b/>
          <w:bCs/>
        </w:rPr>
        <w:t xml:space="preserve">parceria com Niels W. Lund. </w:t>
      </w:r>
      <w:r>
        <w:rPr>
          <w:rStyle w:val="Fontepargpadro7"/>
          <w:rFonts w:ascii="Times New Roman" w:hAnsi="Times New Roman" w:cs="Times New Roman"/>
        </w:rPr>
        <w:t>Olhando a lista acima, percebe-se a amplitude e a heterogeneidade dos tópicos, das discussões e das disciplinas ministradas pelo professor Buckland, por meio das quais dialoga com os múltiplos serviços das bibliotecas e com questões que se relacionam com os serviços e sistemas informacionais que ocorrem fora das bibliotecas.</w:t>
      </w:r>
    </w:p>
    <w:p w14:paraId="54CBE9E9" w14:textId="77777777" w:rsidR="001532D7" w:rsidRDefault="001532D7" w:rsidP="00456A9B">
      <w:pPr>
        <w:pStyle w:val="Standard"/>
        <w:tabs>
          <w:tab w:val="left" w:pos="2977"/>
        </w:tabs>
        <w:spacing w:before="57" w:after="57"/>
        <w:ind w:left="2268"/>
        <w:jc w:val="both"/>
        <w:rPr>
          <w:rStyle w:val="Fontepargpadro7"/>
          <w:rFonts w:ascii="Times New Roman" w:hAnsi="Times New Roman" w:cs="Times New Roman"/>
          <w:sz w:val="22"/>
          <w:szCs w:val="22"/>
        </w:rPr>
      </w:pPr>
    </w:p>
    <w:p w14:paraId="66B78BB3" w14:textId="5CE4E902" w:rsidR="00456A9B" w:rsidRPr="001532D7" w:rsidRDefault="00456A9B" w:rsidP="001532D7">
      <w:pPr>
        <w:pStyle w:val="Standard"/>
        <w:tabs>
          <w:tab w:val="left" w:pos="2977"/>
        </w:tabs>
        <w:ind w:left="2268"/>
        <w:jc w:val="both"/>
        <w:rPr>
          <w:rFonts w:hint="eastAsia"/>
          <w:sz w:val="22"/>
          <w:szCs w:val="22"/>
        </w:rPr>
      </w:pPr>
      <w:r w:rsidRPr="001532D7">
        <w:rPr>
          <w:rStyle w:val="Fontepargpadro7"/>
          <w:rFonts w:ascii="Times New Roman" w:hAnsi="Times New Roman" w:cs="Times New Roman"/>
          <w:sz w:val="20"/>
          <w:szCs w:val="20"/>
        </w:rPr>
        <w:t>Eu penso nessas questões em termos comparativos à anatomia. Se você pegar todos esses diferentes tipos de serviços que provêm informação e que são baseados em coleções, como você os organiza? Onde você encontra similaridades e onde estão as diferenças? Somente para compararmos à anatomia, você pode pegar diferentes mamíferos e olhar para as relações que se estabelecem entre eles. Agora, nessa tentativa de ampliação [...] eu quis incluir os museus e por “incluir museus” eu não estou me referindo aos registros do museu, me refiro aos objetos do museu. Eu queria incluir os museus como coleções de coisas informativas, mas na década de 1980… Eu diria que os conceitos e terminologias da Ciência da Informação não eram favoráveis à ideia de que objetos de museus são informações e eu não sabia como fazer isso. (BUCKLAND In: DOCAM’s Footsteps, 2019, tradução nossa).</w:t>
      </w:r>
    </w:p>
    <w:p w14:paraId="55E157D1" w14:textId="77777777" w:rsidR="001532D7" w:rsidRDefault="00456A9B" w:rsidP="001532D7">
      <w:pPr>
        <w:pStyle w:val="Standard"/>
        <w:tabs>
          <w:tab w:val="left" w:pos="709"/>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r>
        <w:rPr>
          <w:rStyle w:val="Fontepargpadro7"/>
          <w:rFonts w:ascii="Times New Roman" w:hAnsi="Times New Roman" w:cs="Times New Roman"/>
        </w:rPr>
        <w:tab/>
      </w:r>
    </w:p>
    <w:p w14:paraId="2A77512F" w14:textId="40F2E21D" w:rsidR="00456A9B" w:rsidRDefault="001532D7" w:rsidP="001532D7">
      <w:pPr>
        <w:pStyle w:val="Standard"/>
        <w:tabs>
          <w:tab w:val="left" w:pos="709"/>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Parte dessa angústia de Buckland e dessa tentativa de ampliação da ideia de objetos informativos e que, portanto, deveriam ser colecionados – o que inclui uma longa cadeia de esforços dentro do contexto da prática de desenvolvimento de coleções – tem relação com uma situação que ocorreu ainda no final da década de 1980, precisamente em 1988.</w:t>
      </w:r>
    </w:p>
    <w:p w14:paraId="3E7234EB" w14:textId="77777777" w:rsidR="00456A9B" w:rsidRDefault="00456A9B" w:rsidP="001532D7">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t>Na ocasião, durante uma visita aberta ao Museu Zoológico de Vertebrados</w:t>
      </w:r>
      <w:r>
        <w:rPr>
          <w:rStyle w:val="Refdenotaderodap"/>
          <w:rFonts w:ascii="Times New Roman" w:hAnsi="Times New Roman" w:cs="Times New Roman"/>
        </w:rPr>
        <w:footnoteReference w:id="33"/>
      </w:r>
      <w:r>
        <w:rPr>
          <w:rStyle w:val="Fontepargpadro7"/>
          <w:rFonts w:ascii="Times New Roman" w:hAnsi="Times New Roman" w:cs="Times New Roman"/>
        </w:rPr>
        <w:t xml:space="preserve"> o professor se deparou com um “lindo </w:t>
      </w:r>
      <w:r>
        <w:rPr>
          <w:rStyle w:val="Fontepargpadro7"/>
          <w:rFonts w:ascii="Times New Roman" w:hAnsi="Times New Roman" w:cs="Times New Roman"/>
          <w:i/>
          <w:iCs/>
        </w:rPr>
        <w:t>cabinet</w:t>
      </w:r>
      <w:r>
        <w:rPr>
          <w:rStyle w:val="Fontepargpadro7"/>
          <w:rFonts w:ascii="Times New Roman" w:hAnsi="Times New Roman" w:cs="Times New Roman"/>
        </w:rPr>
        <w:t xml:space="preserve"> repleto de espécies de pássaros mortos.” (In DOCAM’s Footsteps, 2019, tradução nossa), o professor descreve como achou absurdo que o Campus de Berkeley, que sofria com falta de espaço, dispusesse um espaço para guardar pássaros mortos.</w:t>
      </w:r>
    </w:p>
    <w:p w14:paraId="6BD24ADB" w14:textId="77777777" w:rsidR="001532D7" w:rsidRDefault="001532D7" w:rsidP="001532D7">
      <w:pPr>
        <w:pStyle w:val="Standard"/>
        <w:tabs>
          <w:tab w:val="left" w:pos="720"/>
        </w:tabs>
        <w:ind w:left="2268"/>
        <w:jc w:val="both"/>
        <w:rPr>
          <w:rFonts w:hint="eastAsia"/>
        </w:rPr>
      </w:pPr>
    </w:p>
    <w:p w14:paraId="3E64E1BB" w14:textId="77777777" w:rsidR="00456A9B" w:rsidRPr="001532D7" w:rsidRDefault="00456A9B" w:rsidP="001532D7">
      <w:pPr>
        <w:pStyle w:val="Standard"/>
        <w:tabs>
          <w:tab w:val="left" w:pos="3045"/>
        </w:tabs>
        <w:ind w:left="2268"/>
        <w:jc w:val="both"/>
        <w:rPr>
          <w:rFonts w:hint="eastAsia"/>
          <w:sz w:val="22"/>
          <w:szCs w:val="22"/>
        </w:rPr>
      </w:pPr>
      <w:r w:rsidRPr="001532D7">
        <w:rPr>
          <w:rStyle w:val="Fontepargpadro7"/>
          <w:rFonts w:ascii="Times New Roman" w:hAnsi="Times New Roman" w:cs="Times New Roman"/>
          <w:sz w:val="20"/>
          <w:szCs w:val="20"/>
        </w:rPr>
        <w:t>Então eu pensei: “deve haver algum motivo racional, qual seria?” Aqui é uma universidade e as universidades são responsáveis pelo ensino e pela pesquisa, então estes [pássaros] são presumivelmente recursos utilizados para o aprendizado, para o ensino, para pesquisa. Então, como bibliotecário, as coisas ficaram óbvias: a função... a função desses pássaros mortos é a mesma dos livros na prateleira das bibliotecas. Então... você poderia chamar esta coleção de: “coleção de pássaros mortos”; ou você poderia dizer: “Estes pássaros estão funcionando como documentos”. Não são documentos impressos, não estão no papel […] mas eles cumprem essa função. (Buckland In: DOCAM’s Footsteps, 2019, tradução nossa).</w:t>
      </w:r>
    </w:p>
    <w:p w14:paraId="3F348BEA" w14:textId="77777777" w:rsidR="00456A9B" w:rsidRDefault="00456A9B" w:rsidP="001532D7">
      <w:pPr>
        <w:pStyle w:val="Standard"/>
        <w:tabs>
          <w:tab w:val="left" w:pos="3044"/>
        </w:tabs>
        <w:ind w:left="2268"/>
        <w:jc w:val="both"/>
        <w:rPr>
          <w:rFonts w:ascii="Times New Roman" w:hAnsi="Times New Roman" w:cs="Times New Roman"/>
          <w:sz w:val="8"/>
          <w:szCs w:val="8"/>
        </w:rPr>
      </w:pPr>
    </w:p>
    <w:p w14:paraId="4C0309C5" w14:textId="77777777" w:rsidR="001532D7" w:rsidRDefault="00456A9B" w:rsidP="001532D7">
      <w:pPr>
        <w:pStyle w:val="Standard"/>
        <w:tabs>
          <w:tab w:val="left" w:pos="720"/>
        </w:tabs>
        <w:ind w:left="2268"/>
        <w:jc w:val="both"/>
        <w:rPr>
          <w:rStyle w:val="Fontepargpadro7"/>
          <w:rFonts w:ascii="Times New Roman" w:hAnsi="Times New Roman" w:cs="Times New Roman"/>
        </w:rPr>
      </w:pPr>
      <w:r>
        <w:rPr>
          <w:rStyle w:val="Fontepargpadro7"/>
          <w:rFonts w:ascii="Times New Roman" w:hAnsi="Times New Roman" w:cs="Times New Roman"/>
        </w:rPr>
        <w:tab/>
      </w:r>
    </w:p>
    <w:p w14:paraId="5DE866B3" w14:textId="2B9AB989" w:rsidR="00456A9B" w:rsidRDefault="001532D7" w:rsidP="001532D7">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Embora o autor narre esta história de forma mais descontraída durante um documentário disponibilizado pela DOCAM ele também o faz durante um artigo que escreveu com Lund em 2008 em que diz que este questionamento que se iniciou na visita ao Museu de Vertebrados o levou ao caminho que utilizaria para finalizar o seu livro da ocasião e que o ligou à Teoria do Documento. Retomando à discussão dos pássaros mortos dizem:</w:t>
      </w:r>
    </w:p>
    <w:p w14:paraId="46AF9510" w14:textId="77777777" w:rsidR="001532D7" w:rsidRDefault="001532D7" w:rsidP="00456A9B">
      <w:pPr>
        <w:pStyle w:val="Standard"/>
        <w:tabs>
          <w:tab w:val="left" w:pos="2988"/>
        </w:tabs>
        <w:spacing w:before="57" w:after="57"/>
        <w:ind w:left="2268"/>
        <w:jc w:val="both"/>
        <w:rPr>
          <w:rStyle w:val="Fontepargpadro7"/>
          <w:rFonts w:ascii="Times New Roman" w:hAnsi="Times New Roman" w:cs="Times New Roman"/>
          <w:sz w:val="22"/>
          <w:szCs w:val="22"/>
        </w:rPr>
      </w:pPr>
    </w:p>
    <w:p w14:paraId="37B8C0F0" w14:textId="3F69535B" w:rsidR="00456A9B" w:rsidRPr="001532D7" w:rsidRDefault="00456A9B" w:rsidP="001532D7">
      <w:pPr>
        <w:pStyle w:val="Standard"/>
        <w:tabs>
          <w:tab w:val="left" w:pos="2988"/>
        </w:tabs>
        <w:ind w:left="2268"/>
        <w:jc w:val="both"/>
        <w:rPr>
          <w:rFonts w:hint="eastAsia"/>
          <w:sz w:val="22"/>
          <w:szCs w:val="22"/>
        </w:rPr>
      </w:pPr>
      <w:r w:rsidRPr="001532D7">
        <w:rPr>
          <w:rStyle w:val="Fontepargpadro7"/>
          <w:rFonts w:ascii="Times New Roman" w:hAnsi="Times New Roman" w:cs="Times New Roman"/>
          <w:sz w:val="20"/>
          <w:szCs w:val="20"/>
        </w:rPr>
        <w:t xml:space="preserve">Por que eles estavam lá se não para apoiar o aprendizado, como evidência para pesquisadores e como um recurso educacional para alunos? E, sendo assim, eles eram, em princípio, comparáveis aos livros nas prateleiras das bibliotecas. Uma visão inclusiva dos sistemas de informação precisava ser capaz de incluir objetos de museu, assim como livros, periódicos e bancos de dados. </w:t>
      </w:r>
      <w:r w:rsidRPr="001532D7">
        <w:rPr>
          <w:rStyle w:val="Fontepargpadro7"/>
          <w:rFonts w:ascii="Times New Roman" w:hAnsi="Times New Roman" w:cs="Times New Roman"/>
          <w:b/>
          <w:bCs/>
          <w:sz w:val="20"/>
          <w:szCs w:val="20"/>
        </w:rPr>
        <w:t>Os arquivos ocasionalmente incluem objetos físicos, cujos quais os bibliotecários chamam pelo termo ‘‘</w:t>
      </w:r>
      <w:r w:rsidRPr="001532D7">
        <w:rPr>
          <w:rStyle w:val="Fontepargpadro7"/>
          <w:rFonts w:ascii="Times New Roman" w:hAnsi="Times New Roman" w:cs="Times New Roman"/>
          <w:b/>
          <w:bCs/>
          <w:i/>
          <w:iCs/>
          <w:sz w:val="20"/>
          <w:szCs w:val="20"/>
        </w:rPr>
        <w:t>realia</w:t>
      </w:r>
      <w:r w:rsidRPr="001532D7">
        <w:rPr>
          <w:rStyle w:val="Fontepargpadro7"/>
          <w:rFonts w:ascii="Times New Roman" w:hAnsi="Times New Roman" w:cs="Times New Roman"/>
          <w:b/>
          <w:bCs/>
          <w:sz w:val="20"/>
          <w:szCs w:val="20"/>
        </w:rPr>
        <w:t>’’, mas, no final dos anos 1980, nem a teoria e nem a terminologia dos estudos em Biblioteconomia e Informação eram adeptos a ideia de que pássaros mortos eram informação</w:t>
      </w:r>
      <w:r w:rsidRPr="001532D7">
        <w:rPr>
          <w:rStyle w:val="Fontepargpadro7"/>
          <w:rFonts w:ascii="Times New Roman" w:hAnsi="Times New Roman" w:cs="Times New Roman"/>
          <w:sz w:val="20"/>
          <w:szCs w:val="20"/>
        </w:rPr>
        <w:t>.</w:t>
      </w:r>
      <w:r w:rsidRPr="001532D7">
        <w:rPr>
          <w:rStyle w:val="Refdenotaderodap"/>
          <w:rFonts w:ascii="Times New Roman" w:hAnsi="Times New Roman" w:cs="Times New Roman"/>
          <w:sz w:val="20"/>
          <w:szCs w:val="20"/>
        </w:rPr>
        <w:footnoteReference w:id="34"/>
      </w:r>
      <w:r w:rsidRPr="001532D7">
        <w:rPr>
          <w:rStyle w:val="Fontepargpadro7"/>
          <w:rFonts w:ascii="Times New Roman" w:hAnsi="Times New Roman" w:cs="Times New Roman"/>
          <w:sz w:val="20"/>
          <w:szCs w:val="20"/>
        </w:rPr>
        <w:t xml:space="preserve"> (Lund; Buckland, 2008, p. 162, tradução e grifos nossos).</w:t>
      </w:r>
    </w:p>
    <w:p w14:paraId="45CE7DD8" w14:textId="77777777" w:rsidR="00456A9B" w:rsidRDefault="00456A9B" w:rsidP="00456A9B">
      <w:pPr>
        <w:pStyle w:val="Standard"/>
        <w:tabs>
          <w:tab w:val="left" w:pos="2988"/>
        </w:tabs>
        <w:spacing w:before="57" w:after="57"/>
        <w:ind w:left="2268"/>
        <w:jc w:val="both"/>
        <w:rPr>
          <w:rFonts w:ascii="Times New Roman" w:hAnsi="Times New Roman" w:cs="Times New Roman"/>
          <w:sz w:val="8"/>
          <w:szCs w:val="8"/>
        </w:rPr>
      </w:pPr>
    </w:p>
    <w:p w14:paraId="1DBEAC53" w14:textId="3349FB4B"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Ainda segundo Buckland, depois de ter construído este argumento ele começou a comentá-lo com outros pesquisadores da área. Foi durante uma visita à Austrália que o professor Boyd Rayward o informou que sua ideia não era nova e o apresentou à teoria de Suzanne Briet. Depois de ter lido o livro de Briet “O que é a Documentação?”</w:t>
      </w:r>
      <w:r>
        <w:rPr>
          <w:rStyle w:val="Refdenotaderodap"/>
          <w:rFonts w:ascii="Times New Roman" w:hAnsi="Times New Roman" w:cs="Times New Roman"/>
        </w:rPr>
        <w:footnoteReference w:id="35"/>
      </w:r>
      <w:r>
        <w:rPr>
          <w:rStyle w:val="Fontepargpadro7"/>
          <w:rFonts w:ascii="Times New Roman" w:hAnsi="Times New Roman" w:cs="Times New Roman"/>
          <w:vertAlign w:val="superscript"/>
        </w:rPr>
        <w:t>,</w:t>
      </w:r>
      <w:r>
        <w:rPr>
          <w:rStyle w:val="Fontepargpadro7"/>
          <w:rFonts w:ascii="Times New Roman" w:hAnsi="Times New Roman" w:cs="Times New Roman"/>
        </w:rPr>
        <w:t xml:space="preserve"> conseguiu finalizar o seu livro “</w:t>
      </w:r>
      <w:r>
        <w:rPr>
          <w:rStyle w:val="Fontepargpadro7"/>
          <w:rFonts w:ascii="Times New Roman" w:hAnsi="Times New Roman" w:cs="Times New Roman"/>
          <w:i/>
          <w:iCs/>
        </w:rPr>
        <w:t>Information and Information Systems</w:t>
      </w:r>
      <w:r>
        <w:rPr>
          <w:rStyle w:val="Fontepargpadro7"/>
          <w:rFonts w:ascii="Times New Roman" w:hAnsi="Times New Roman" w:cs="Times New Roman"/>
        </w:rPr>
        <w:t>” (1991b) com a discussão da ideia de que determinadas coisas e objetos eram informação, uma vez que possuíam a função de serem informativas. O exemplo dos pássaros mortos foi substituído pelo famoso Antílope de Briet, pois entendeu que o argumento dela e o dele eram o mesmo e que ela havia o produzido com a antecedência de aproximadamente 40 anos. Esse também foi o princípio da escrita de seu famoso artigo do “</w:t>
      </w:r>
      <w:r>
        <w:rPr>
          <w:rStyle w:val="Fontepargpadro7"/>
          <w:rFonts w:ascii="Times New Roman" w:hAnsi="Times New Roman" w:cs="Times New Roman"/>
          <w:i/>
          <w:iCs/>
        </w:rPr>
        <w:t>Information-as-thing</w:t>
      </w:r>
      <w:r>
        <w:rPr>
          <w:rStyle w:val="Fontepargpadro7"/>
          <w:rFonts w:ascii="Times New Roman" w:hAnsi="Times New Roman" w:cs="Times New Roman"/>
        </w:rPr>
        <w:t>” (Buckland, 1991).</w:t>
      </w:r>
    </w:p>
    <w:p w14:paraId="36E5B25C"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 xml:space="preserve">Depois de conhecer o trabalho de Briet, Buckland seguiu estudando os primeiros documentalistas europeus e apresentando argumentos sobre o valor informativo de outras coisas que não os livros e periódicos durante a década de 1990. Na edição de 1996 do </w:t>
      </w:r>
      <w:r>
        <w:rPr>
          <w:rStyle w:val="Fontepargpadro7"/>
          <w:rFonts w:ascii="Times New Roman" w:hAnsi="Times New Roman" w:cs="Times New Roman"/>
          <w:i/>
          <w:iCs/>
        </w:rPr>
        <w:t>Conceptions of Library and Information Science</w:t>
      </w:r>
      <w:r>
        <w:rPr>
          <w:rStyle w:val="Fontepargpadro7"/>
          <w:rFonts w:ascii="Times New Roman" w:hAnsi="Times New Roman" w:cs="Times New Roman"/>
        </w:rPr>
        <w:t xml:space="preserve"> (CoLIS2), foi convidado e decidiu falar de forma mais ampla sobre as possibilidades formativas oferecidas pelas escolas de biblioteconomia comumente conhecidas como </w:t>
      </w:r>
      <w:r>
        <w:rPr>
          <w:rStyle w:val="Fontepargpadro7"/>
          <w:rFonts w:ascii="Times New Roman" w:hAnsi="Times New Roman" w:cs="Times New Roman"/>
          <w:i/>
          <w:iCs/>
        </w:rPr>
        <w:t>Library and Information Science - LIS.</w:t>
      </w:r>
    </w:p>
    <w:p w14:paraId="24F854D5"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Resumidamente, Buckland (1996) argumenta no sentido de que as LIS deveriam ser compreendidas dentro do escopo das “Liberal Arts”, com isso, criticando a ideia de concebê-las como cursos técnicos, ligados às práticas das bibliotecas e serviços de informação, destacando a importância de aproximá-las dos estudos críticos e humanísticos e das questões transversais que afetam a sociedade em seus múltiplos aspectos.  Outro aspecto de destaque neste texto é que ele faz uma crítica à noção de informação e apresenta a sua abordagem centrada no documento.</w:t>
      </w:r>
    </w:p>
    <w:p w14:paraId="65DB27F3"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lastRenderedPageBreak/>
        <w:tab/>
        <w:t xml:space="preserve">Durante a Conferência CoLIS2, Buckland relata que o professor Lund ficou satisfeito em saber das proximidades entre suas reflexões e acrescenta: “Ele [Niels Lund] pensava que era a única pessoa a ter essas ideias, então ficou grato ao descobrir que eu as tinha também. Boyd Rayward também estava lá, então nós decidimos que formaríamos o movimento neodocumentalista” (In: DOCAM’s footsteps, 2019, tradução nossa). Lund e Buckland (2008) relatam que </w:t>
      </w:r>
      <w:r>
        <w:rPr>
          <w:rFonts w:ascii="Times New Roman" w:hAnsi="Times New Roman" w:cs="Times New Roman"/>
        </w:rPr>
        <w:t>conversaram durante a reunião da CoLIS2 de 1996 e a partir dali desenvolveram uma colaboração informal.  Então,</w:t>
      </w:r>
    </w:p>
    <w:p w14:paraId="48CA4495" w14:textId="77777777" w:rsidR="00EC2166" w:rsidRDefault="00EC2166" w:rsidP="00EC2166">
      <w:pPr>
        <w:pStyle w:val="Standard"/>
        <w:tabs>
          <w:tab w:val="left" w:pos="720"/>
        </w:tabs>
        <w:spacing w:line="360" w:lineRule="auto"/>
        <w:ind w:left="2268"/>
        <w:jc w:val="both"/>
        <w:rPr>
          <w:rFonts w:ascii="Times New Roman" w:hAnsi="Times New Roman" w:cs="Times New Roman"/>
          <w:sz w:val="22"/>
          <w:szCs w:val="22"/>
        </w:rPr>
      </w:pPr>
    </w:p>
    <w:p w14:paraId="23987470" w14:textId="44854C3B" w:rsidR="00456A9B" w:rsidRPr="00EC2166" w:rsidRDefault="00456A9B" w:rsidP="00EC2166">
      <w:pPr>
        <w:pStyle w:val="Standard"/>
        <w:tabs>
          <w:tab w:val="left" w:pos="720"/>
        </w:tabs>
        <w:ind w:left="2268"/>
        <w:jc w:val="both"/>
        <w:rPr>
          <w:rFonts w:ascii="Times New Roman" w:hAnsi="Times New Roman" w:cs="Times New Roman"/>
          <w:sz w:val="20"/>
          <w:szCs w:val="20"/>
        </w:rPr>
      </w:pPr>
      <w:r w:rsidRPr="00EC2166">
        <w:rPr>
          <w:rFonts w:ascii="Times New Roman" w:hAnsi="Times New Roman" w:cs="Times New Roman"/>
          <w:sz w:val="20"/>
          <w:szCs w:val="20"/>
        </w:rPr>
        <w:t>[...] Niels Lund iniciou uma série de visitas a Berkeley, inclusive foi nomeado professor visitante durante os anos de 2001 e 2005–2006. Com o objetivo de promoverem uma agenda “neodocumentalista”; ele e Buckland organizaram uma série de conferências da Document Academy em Berkeley, começando em 2003; e um curso de verão sobre documentação em Tromsø, em 2005. (Lund, Buckland, 2008, p. 163, tradução nossa).</w:t>
      </w:r>
    </w:p>
    <w:p w14:paraId="69ECA4EF" w14:textId="77777777" w:rsidR="00EC2166" w:rsidRDefault="00456A9B" w:rsidP="00EC2166">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2AB7BA64" w14:textId="36804D0D" w:rsidR="00456A9B" w:rsidRDefault="00EC2166" w:rsidP="00EC2166">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 xml:space="preserve">Todo esse processo narrado foi desencadeador da ideia da </w:t>
      </w:r>
      <w:r w:rsidR="00456A9B">
        <w:rPr>
          <w:rStyle w:val="Fontepargpadro7"/>
          <w:rFonts w:ascii="Times New Roman" w:hAnsi="Times New Roman" w:cs="Times New Roman"/>
          <w:i/>
          <w:iCs/>
        </w:rPr>
        <w:t>Document Academy</w:t>
      </w:r>
      <w:r w:rsidR="00456A9B">
        <w:rPr>
          <w:rStyle w:val="Fontepargpadro7"/>
          <w:rFonts w:ascii="Times New Roman" w:hAnsi="Times New Roman" w:cs="Times New Roman"/>
        </w:rPr>
        <w:t>, mais precisamente da construção de uma agenda para se pensar a neodocumentação. A seguir detemo-nos em apresentar algumas perspectivas dos resultados desse movimento, as formações de rede que se sucederam e o efeito dessas redes sobre a consolidação desse novo saber sobre a Documentação.</w:t>
      </w:r>
    </w:p>
    <w:p w14:paraId="65764FAA" w14:textId="77777777" w:rsidR="00456A9B" w:rsidRPr="00EC2166" w:rsidRDefault="00456A9B" w:rsidP="00EC2166">
      <w:pPr>
        <w:pStyle w:val="Standard"/>
        <w:tabs>
          <w:tab w:val="left" w:pos="720"/>
        </w:tabs>
        <w:spacing w:line="360" w:lineRule="auto"/>
        <w:jc w:val="both"/>
        <w:rPr>
          <w:rFonts w:ascii="Times New Roman" w:hAnsi="Times New Roman" w:cs="Times New Roman"/>
          <w:sz w:val="28"/>
          <w:szCs w:val="28"/>
        </w:rPr>
      </w:pPr>
    </w:p>
    <w:p w14:paraId="06DB1596" w14:textId="4DDDE918" w:rsidR="00456A9B" w:rsidRPr="002C0500" w:rsidRDefault="00EC2166" w:rsidP="00EC2166">
      <w:pPr>
        <w:spacing w:line="360" w:lineRule="auto"/>
        <w:jc w:val="both"/>
        <w:rPr>
          <w:bCs/>
          <w:sz w:val="24"/>
          <w:szCs w:val="24"/>
        </w:rPr>
      </w:pPr>
      <w:bookmarkStart w:id="57" w:name="__RefHeading___Toc10529_875535364"/>
      <w:r w:rsidRPr="002C0500">
        <w:rPr>
          <w:rStyle w:val="Fontepargpadro7"/>
          <w:rFonts w:ascii="Times New Roman" w:hAnsi="Times New Roman" w:cs="Times New Roman"/>
          <w:bCs/>
          <w:sz w:val="24"/>
          <w:szCs w:val="28"/>
        </w:rPr>
        <w:t>5</w:t>
      </w:r>
      <w:r>
        <w:rPr>
          <w:rStyle w:val="Fontepargpadro7"/>
          <w:rFonts w:ascii="Times New Roman" w:hAnsi="Times New Roman" w:cs="Times New Roman"/>
          <w:b/>
          <w:sz w:val="24"/>
          <w:szCs w:val="28"/>
        </w:rPr>
        <w:t xml:space="preserve"> </w:t>
      </w:r>
      <w:r w:rsidR="00456A9B" w:rsidRPr="00EC2166">
        <w:rPr>
          <w:rStyle w:val="Fontepargpadro7"/>
          <w:rFonts w:ascii="Times New Roman" w:hAnsi="Times New Roman" w:cs="Times New Roman"/>
          <w:b/>
          <w:sz w:val="24"/>
          <w:szCs w:val="28"/>
        </w:rPr>
        <w:t xml:space="preserve">NOVOS ATORES, NOVAS REDES, NOVA DOCUMENTAÇÃO: </w:t>
      </w:r>
      <w:r w:rsidR="00456A9B" w:rsidRPr="002C0500">
        <w:rPr>
          <w:rStyle w:val="Fontepargpadro7"/>
          <w:rFonts w:ascii="Times New Roman" w:hAnsi="Times New Roman" w:cs="Times New Roman"/>
          <w:bCs/>
          <w:sz w:val="24"/>
          <w:szCs w:val="28"/>
        </w:rPr>
        <w:t xml:space="preserve">a Document Academy </w:t>
      </w:r>
      <w:r w:rsidR="00456A9B" w:rsidRPr="002C0500">
        <w:rPr>
          <w:rStyle w:val="Fontepargpadro7"/>
          <w:rFonts w:ascii="Times New Roman" w:hAnsi="Times New Roman" w:cs="Times New Roman"/>
          <w:bCs/>
          <w:sz w:val="24"/>
          <w:szCs w:val="24"/>
        </w:rPr>
        <w:t>e o seu papel mobilizador</w:t>
      </w:r>
      <w:bookmarkEnd w:id="57"/>
    </w:p>
    <w:p w14:paraId="1DD7D364" w14:textId="77777777" w:rsidR="00456A9B" w:rsidRPr="00EC2166" w:rsidRDefault="00456A9B" w:rsidP="00456A9B">
      <w:pPr>
        <w:pStyle w:val="Standard"/>
        <w:tabs>
          <w:tab w:val="left" w:pos="5312"/>
        </w:tabs>
        <w:spacing w:before="57" w:after="57"/>
        <w:ind w:left="4592"/>
        <w:jc w:val="both"/>
        <w:rPr>
          <w:rFonts w:ascii="Times New Roman" w:hAnsi="Times New Roman" w:cs="Times New Roman"/>
          <w:sz w:val="20"/>
          <w:szCs w:val="20"/>
        </w:rPr>
      </w:pPr>
    </w:p>
    <w:p w14:paraId="7BD56A22" w14:textId="77777777" w:rsidR="00456A9B" w:rsidRPr="00EC2166" w:rsidRDefault="00456A9B" w:rsidP="00EC2166">
      <w:pPr>
        <w:pStyle w:val="Standard"/>
        <w:tabs>
          <w:tab w:val="left" w:pos="5115"/>
        </w:tabs>
        <w:ind w:left="2268"/>
        <w:jc w:val="both"/>
        <w:rPr>
          <w:rFonts w:ascii="Times New Roman" w:hAnsi="Times New Roman" w:cs="Times New Roman"/>
          <w:sz w:val="20"/>
          <w:szCs w:val="20"/>
        </w:rPr>
      </w:pPr>
      <w:r w:rsidRPr="00EC2166">
        <w:rPr>
          <w:rFonts w:ascii="Times New Roman" w:hAnsi="Times New Roman" w:cs="Times New Roman"/>
          <w:sz w:val="20"/>
          <w:szCs w:val="20"/>
        </w:rPr>
        <w:t>Sempre foi uma reunião pequena, com poucas pessoas. Mas sempre foi muito amigável, informal e interessante de uma forma que nem todas as conferências são. Eu penso que a ênfase que Niels deu sobre um universo Documento-Cêntrico, onde você começa com o conceito de documento e, então, se desenvolve para diferentes dimensões, ramificações que, é claro, são reflexo das mudanças técnicas e tecnológicas e da forma como nos adaptamos a elas. E então, é claro, temos o aspecto cognitivo ou intelectual; também temos os contextos sociais e culturais onde todas essas coisas se desenvolvem. Então, essa visão tridimensional do universo baseado em documentos foi muito útil para mim. Não existem apenas essas três diferentes dimensões, mas elas não podem ser realmente separadas umas das outras. Nesse sentido, são complementares e você não pode estudar uma com a ausência das outras. (Michael Buckland, In: DOCAM’s Footsteps, 2019, tradução e adaptação nossa).</w:t>
      </w:r>
    </w:p>
    <w:p w14:paraId="4CB51F14" w14:textId="77777777" w:rsidR="00EC2166" w:rsidRDefault="00456A9B" w:rsidP="00456A9B">
      <w:pPr>
        <w:pStyle w:val="Standard"/>
        <w:tabs>
          <w:tab w:val="left" w:pos="720"/>
        </w:tabs>
        <w:spacing w:before="57" w:after="57" w:line="360" w:lineRule="auto"/>
        <w:jc w:val="both"/>
        <w:rPr>
          <w:rFonts w:ascii="Times New Roman" w:hAnsi="Times New Roman" w:cs="Times New Roman"/>
          <w:b/>
          <w:bCs/>
        </w:rPr>
      </w:pPr>
      <w:r>
        <w:rPr>
          <w:rFonts w:ascii="Times New Roman" w:hAnsi="Times New Roman" w:cs="Times New Roman"/>
          <w:b/>
          <w:bCs/>
        </w:rPr>
        <w:tab/>
      </w:r>
    </w:p>
    <w:p w14:paraId="45558D24" w14:textId="5B76258B" w:rsidR="00456A9B" w:rsidRPr="00EC2166" w:rsidRDefault="00EC2166" w:rsidP="00EC2166">
      <w:pPr>
        <w:pStyle w:val="Standard"/>
        <w:tabs>
          <w:tab w:val="left" w:pos="720"/>
        </w:tabs>
        <w:spacing w:line="360" w:lineRule="auto"/>
        <w:jc w:val="both"/>
        <w:rPr>
          <w:rFonts w:ascii="Times New Roman" w:hAnsi="Times New Roman" w:cs="Times New Roman"/>
        </w:rPr>
      </w:pPr>
      <w:r>
        <w:rPr>
          <w:rFonts w:ascii="Times New Roman" w:hAnsi="Times New Roman" w:cs="Times New Roman"/>
          <w:b/>
          <w:bCs/>
        </w:rPr>
        <w:tab/>
      </w:r>
      <w:r w:rsidR="00456A9B" w:rsidRPr="00EC2166">
        <w:rPr>
          <w:rStyle w:val="Fontepargpadro7"/>
          <w:rFonts w:ascii="Times New Roman" w:hAnsi="Times New Roman" w:cs="Times New Roman"/>
        </w:rPr>
        <w:t>O “movimento neodocumentalista” foi um projeto bastante consciente que se inicia com o encontro entre Michael Buckland, Niels Lund e Boyd Rayward no CoLIS2 em 1996 e que envolveu duas ações: a</w:t>
      </w:r>
      <w:r w:rsidR="00456A9B" w:rsidRPr="00EC2166">
        <w:rPr>
          <w:rStyle w:val="Fontepargpadro7"/>
          <w:rFonts w:ascii="Times New Roman" w:eastAsia="Calibri" w:hAnsi="Times New Roman" w:cs="Times New Roman"/>
          <w:lang w:bidi="ar-SA"/>
        </w:rPr>
        <w:t xml:space="preserve"> primeira</w:t>
      </w:r>
      <w:r w:rsidR="00456A9B" w:rsidRPr="00EC2166">
        <w:rPr>
          <w:rStyle w:val="Fontepargpadro7"/>
          <w:rFonts w:ascii="Times New Roman" w:hAnsi="Times New Roman" w:cs="Times New Roman"/>
        </w:rPr>
        <w:t xml:space="preserve"> foi a criação da </w:t>
      </w:r>
      <w:r w:rsidR="00456A9B" w:rsidRPr="00EC2166">
        <w:rPr>
          <w:rStyle w:val="Fontepargpadro7"/>
          <w:rFonts w:ascii="Times New Roman" w:hAnsi="Times New Roman" w:cs="Times New Roman"/>
          <w:i/>
          <w:iCs/>
        </w:rPr>
        <w:t>Document Academy,</w:t>
      </w:r>
      <w:r w:rsidR="00456A9B" w:rsidRPr="00EC2166">
        <w:rPr>
          <w:rStyle w:val="Fontepargpadro7"/>
          <w:rFonts w:ascii="Times New Roman" w:hAnsi="Times New Roman" w:cs="Times New Roman"/>
        </w:rPr>
        <w:t xml:space="preserve"> sediada, entre os anos de </w:t>
      </w:r>
      <w:r w:rsidR="00456A9B" w:rsidRPr="00EC2166">
        <w:rPr>
          <w:rStyle w:val="Fontepargpadro7"/>
          <w:rFonts w:ascii="Times New Roman" w:hAnsi="Times New Roman" w:cs="Times New Roman"/>
        </w:rPr>
        <w:lastRenderedPageBreak/>
        <w:t>2003 e 2007 na Universidade da Califórnia, Berkeley; e a segunda a criação da Escola de Verão, realizada na Universidade de Tromsø, Noruega.</w:t>
      </w:r>
    </w:p>
    <w:p w14:paraId="7E148267" w14:textId="77777777" w:rsidR="00456A9B" w:rsidRPr="00EC2166" w:rsidRDefault="00456A9B" w:rsidP="00EC2166">
      <w:pPr>
        <w:pStyle w:val="Standard"/>
        <w:tabs>
          <w:tab w:val="left" w:pos="720"/>
        </w:tabs>
        <w:spacing w:line="360" w:lineRule="auto"/>
        <w:jc w:val="both"/>
        <w:rPr>
          <w:rFonts w:ascii="Times New Roman" w:hAnsi="Times New Roman" w:cs="Times New Roman"/>
        </w:rPr>
      </w:pPr>
      <w:r w:rsidRPr="00EC2166">
        <w:rPr>
          <w:rStyle w:val="Fontepargpadro7"/>
          <w:rFonts w:ascii="Times New Roman" w:hAnsi="Times New Roman" w:cs="Times New Roman"/>
        </w:rPr>
        <w:tab/>
        <w:t xml:space="preserve">Essas ações foram fortalecidas pelo programa de pesquisa em documentos liderado por </w:t>
      </w:r>
      <w:r w:rsidRPr="00EC2166">
        <w:rPr>
          <w:rStyle w:val="Fontepargpadro7"/>
          <w:rFonts w:ascii="Times New Roman" w:hAnsi="Times New Roman" w:cs="Times New Roman"/>
          <w:b/>
          <w:bCs/>
        </w:rPr>
        <w:t>Roger   T. Pédauque</w:t>
      </w:r>
      <w:r w:rsidRPr="00EC2166">
        <w:rPr>
          <w:rStyle w:val="Refdenotaderodap"/>
          <w:rFonts w:ascii="Times New Roman" w:hAnsi="Times New Roman" w:cs="Times New Roman"/>
        </w:rPr>
        <w:footnoteReference w:id="36"/>
      </w:r>
      <w:r w:rsidRPr="00EC2166">
        <w:rPr>
          <w:rStyle w:val="Fontepargpadro7"/>
          <w:rFonts w:ascii="Times New Roman" w:hAnsi="Times New Roman" w:cs="Times New Roman"/>
        </w:rPr>
        <w:t xml:space="preserve"> (Lund, Buckland, 2008, p. 163, tradução nossa), pseudônimo usado por um grupo de pesquisadores que se apresentavam como “Rede temática pluridisciplinar em documentos e conteúdos: criação, indexação, navegação”</w:t>
      </w:r>
      <w:r w:rsidRPr="00EC2166">
        <w:rPr>
          <w:rStyle w:val="Refdenotaderodap"/>
          <w:rFonts w:ascii="Times New Roman" w:hAnsi="Times New Roman" w:cs="Times New Roman"/>
        </w:rPr>
        <w:footnoteReference w:id="37"/>
      </w:r>
      <w:r w:rsidRPr="00EC2166">
        <w:rPr>
          <w:rStyle w:val="Fontepargpadro7"/>
          <w:rFonts w:ascii="Times New Roman" w:hAnsi="Times New Roman" w:cs="Times New Roman"/>
        </w:rPr>
        <w:t xml:space="preserve">  também conhecida através da sigla RTP-Doc (baseada em seu nome original, em francês). O grupo foi financiado pelo Centro Nacional de Investigação Cientifica da França entre os anos de 2002 e 2006 e tinha o objetivo compreender “[..] todos os aspectos da natureza e da consequência da substituição do papel pelas tecnologias digitais.” (Lund, Buckland, 2008, p. 163, tradução nossa). Processo definido pelo grupo como redeocumetarização. Na era digital explica Salaün (2007, p. 3, tradução nossa)</w:t>
      </w:r>
      <w:r w:rsidRPr="00EC2166">
        <w:rPr>
          <w:rStyle w:val="Refdenotaderodap"/>
          <w:rFonts w:ascii="Times New Roman" w:hAnsi="Times New Roman" w:cs="Times New Roman"/>
        </w:rPr>
        <w:t xml:space="preserve"> </w:t>
      </w:r>
      <w:r w:rsidRPr="00EC2166">
        <w:rPr>
          <w:rStyle w:val="Refdenotaderodap"/>
          <w:rFonts w:ascii="Times New Roman" w:hAnsi="Times New Roman" w:cs="Times New Roman"/>
        </w:rPr>
        <w:footnoteReference w:id="38"/>
      </w:r>
      <w:r w:rsidRPr="00EC2166">
        <w:rPr>
          <w:rFonts w:ascii="Times New Roman" w:hAnsi="Times New Roman" w:cs="Times New Roman"/>
          <w:vertAlign w:val="superscript"/>
        </w:rPr>
        <w:t xml:space="preserve">. </w:t>
      </w:r>
      <w:r w:rsidRPr="00EC2166">
        <w:rPr>
          <w:rStyle w:val="Fontepargpadro7"/>
          <w:rFonts w:ascii="Times New Roman" w:hAnsi="Times New Roman" w:cs="Times New Roman"/>
        </w:rPr>
        <w:t xml:space="preserve"> “</w:t>
      </w:r>
      <w:r w:rsidRPr="00EC2166">
        <w:rPr>
          <w:rFonts w:ascii="Times New Roman" w:hAnsi="Times New Roman" w:cs="Times New Roman"/>
        </w:rPr>
        <w:t>o documento participa do processo e desempenha um papel fundamental, mas evoluiu ao ponto de se perguntar se ainda é a mesma entidade”.</w:t>
      </w:r>
    </w:p>
    <w:p w14:paraId="73DBB1EF" w14:textId="77777777" w:rsidR="00456A9B" w:rsidRDefault="00456A9B" w:rsidP="00EC2166">
      <w:pPr>
        <w:pStyle w:val="Standard"/>
        <w:tabs>
          <w:tab w:val="left" w:pos="720"/>
        </w:tabs>
        <w:spacing w:line="360" w:lineRule="auto"/>
        <w:jc w:val="both"/>
        <w:rPr>
          <w:rStyle w:val="Fontepargpadro7"/>
          <w:rFonts w:ascii="Times New Roman" w:hAnsi="Times New Roman" w:cs="Times New Roman"/>
        </w:rPr>
      </w:pPr>
      <w:r w:rsidRPr="00EC2166">
        <w:rPr>
          <w:rStyle w:val="Fontepargpadro7"/>
          <w:rFonts w:ascii="Times New Roman" w:hAnsi="Times New Roman" w:cs="Times New Roman"/>
        </w:rPr>
        <w:tab/>
        <w:t xml:space="preserve">A atual apresentação do site da </w:t>
      </w:r>
      <w:r w:rsidRPr="00EC2166">
        <w:rPr>
          <w:rStyle w:val="Fontepargpadro7"/>
          <w:rFonts w:ascii="Times New Roman" w:hAnsi="Times New Roman" w:cs="Times New Roman"/>
          <w:i/>
          <w:iCs/>
        </w:rPr>
        <w:t>Document Academy</w:t>
      </w:r>
      <w:r w:rsidRPr="00EC2166">
        <w:rPr>
          <w:rStyle w:val="Fontepargpadro7"/>
          <w:rFonts w:ascii="Times New Roman" w:hAnsi="Times New Roman" w:cs="Times New Roman"/>
        </w:rPr>
        <w:t xml:space="preserve"> (DOCAM) a define como um “coletivo global que celebra a documentação e todos os tipos de documentos” (Site DOCAM, aba “</w:t>
      </w:r>
      <w:r w:rsidRPr="00EC2166">
        <w:rPr>
          <w:rStyle w:val="Fontepargpadro7"/>
          <w:rFonts w:ascii="Times New Roman" w:hAnsi="Times New Roman" w:cs="Times New Roman"/>
          <w:i/>
          <w:iCs/>
        </w:rPr>
        <w:t>about</w:t>
      </w:r>
      <w:r w:rsidRPr="00EC2166">
        <w:rPr>
          <w:rStyle w:val="Fontepargpadro7"/>
          <w:rFonts w:ascii="Times New Roman" w:hAnsi="Times New Roman" w:cs="Times New Roman"/>
        </w:rPr>
        <w:t>”</w:t>
      </w:r>
      <w:r w:rsidRPr="00EC2166">
        <w:rPr>
          <w:rStyle w:val="Refdenotaderodap"/>
          <w:rFonts w:ascii="Times New Roman" w:hAnsi="Times New Roman" w:cs="Times New Roman"/>
        </w:rPr>
        <w:footnoteReference w:id="39"/>
      </w:r>
      <w:r w:rsidRPr="00EC2166">
        <w:rPr>
          <w:rStyle w:val="Fontepargpadro7"/>
          <w:rFonts w:ascii="Times New Roman" w:hAnsi="Times New Roman" w:cs="Times New Roman"/>
          <w:vertAlign w:val="superscript"/>
        </w:rPr>
        <w:t>,</w:t>
      </w:r>
      <w:r w:rsidRPr="00EC2166">
        <w:rPr>
          <w:rStyle w:val="Fontepargpadro7"/>
          <w:rFonts w:ascii="Times New Roman" w:hAnsi="Times New Roman" w:cs="Times New Roman"/>
        </w:rPr>
        <w:t xml:space="preserve"> tradução nossa.). Em sua apresentação, a DOCAM enfatiza que, além dos problemas gerados pelos diferentes tipos de documentos, se preocupa também com a compreensão das aplicações da Documentação e dos próprios documentos “na academia, nas artes, nos negócios e na sociedade em geral” (ib., tradução nossa).</w:t>
      </w:r>
    </w:p>
    <w:p w14:paraId="6261CA1E" w14:textId="77777777" w:rsidR="00EC2166" w:rsidRPr="00EC2166" w:rsidRDefault="00EC2166" w:rsidP="00EC2166">
      <w:pPr>
        <w:pStyle w:val="Standard"/>
        <w:tabs>
          <w:tab w:val="left" w:pos="720"/>
        </w:tabs>
        <w:spacing w:line="360" w:lineRule="auto"/>
        <w:jc w:val="both"/>
        <w:rPr>
          <w:rFonts w:ascii="Times New Roman" w:hAnsi="Times New Roman" w:cs="Times New Roman"/>
        </w:rPr>
      </w:pPr>
    </w:p>
    <w:p w14:paraId="4E461C3A" w14:textId="77777777" w:rsidR="00456A9B" w:rsidRPr="00EC2166" w:rsidRDefault="00456A9B" w:rsidP="00EC2166">
      <w:pPr>
        <w:pStyle w:val="Standard"/>
        <w:tabs>
          <w:tab w:val="left" w:pos="2931"/>
        </w:tabs>
        <w:ind w:left="2211"/>
        <w:jc w:val="both"/>
        <w:rPr>
          <w:rFonts w:hint="eastAsia"/>
          <w:sz w:val="22"/>
          <w:szCs w:val="22"/>
        </w:rPr>
      </w:pPr>
      <w:r w:rsidRPr="00EC2166">
        <w:rPr>
          <w:rStyle w:val="Fontepargpadro7"/>
          <w:rFonts w:ascii="Times New Roman" w:hAnsi="Times New Roman" w:cs="Times New Roman"/>
          <w:sz w:val="20"/>
          <w:szCs w:val="20"/>
        </w:rPr>
        <w:t>Como uma estrutura organizacional, a “</w:t>
      </w:r>
      <w:r w:rsidRPr="00EC2166">
        <w:rPr>
          <w:rStyle w:val="Fontepargpadro7"/>
          <w:rFonts w:ascii="Times New Roman" w:hAnsi="Times New Roman" w:cs="Times New Roman"/>
          <w:b/>
          <w:bCs/>
          <w:sz w:val="20"/>
          <w:szCs w:val="20"/>
        </w:rPr>
        <w:t>Document Academy” (DOCAM</w:t>
      </w:r>
      <w:r w:rsidRPr="00EC2166">
        <w:rPr>
          <w:rStyle w:val="Fontepargpadro7"/>
          <w:rFonts w:ascii="Times New Roman" w:hAnsi="Times New Roman" w:cs="Times New Roman"/>
          <w:sz w:val="20"/>
          <w:szCs w:val="20"/>
        </w:rPr>
        <w:t xml:space="preserve">) foi criada como uma rede internacional espontaneamente constituída de acadêmicos, artistas e profissionais oriundos de vários campos, que estivessem interessados na exploração do documento como uma abordagem, um conceito e uma ferramenta útil para as ciências, para as artes, aos negócios e à sociedade em geral. </w:t>
      </w:r>
      <w:r w:rsidRPr="00EC2166">
        <w:rPr>
          <w:rStyle w:val="Fontepargpadro7"/>
          <w:rFonts w:ascii="Times New Roman" w:hAnsi="Times New Roman" w:cs="Times New Roman"/>
          <w:b/>
          <w:bCs/>
          <w:sz w:val="20"/>
          <w:szCs w:val="20"/>
        </w:rPr>
        <w:t>Foi fundada e nomeada em um café em San Francisco por Maribeth Back e Niels Lund, durante a primavera de 2001</w:t>
      </w:r>
      <w:r w:rsidRPr="00EC2166">
        <w:rPr>
          <w:rStyle w:val="Fontepargpadro7"/>
          <w:rFonts w:ascii="Times New Roman" w:hAnsi="Times New Roman" w:cs="Times New Roman"/>
          <w:sz w:val="20"/>
          <w:szCs w:val="20"/>
        </w:rPr>
        <w:t xml:space="preserve">. Uma ampla variedade de atividades foi planejada, incluindo workshops, conferências, pesquisa e experimentação geograficamente distribuídas. </w:t>
      </w:r>
      <w:r w:rsidRPr="00EC2166">
        <w:rPr>
          <w:rStyle w:val="Fontepargpadro7"/>
          <w:rFonts w:ascii="Times New Roman" w:hAnsi="Times New Roman" w:cs="Times New Roman"/>
          <w:sz w:val="20"/>
          <w:szCs w:val="20"/>
        </w:rPr>
        <w:lastRenderedPageBreak/>
        <w:t>“</w:t>
      </w:r>
      <w:r w:rsidRPr="00EC2166">
        <w:rPr>
          <w:rStyle w:val="Fontepargpadro7"/>
          <w:rFonts w:ascii="Times New Roman" w:hAnsi="Times New Roman" w:cs="Times New Roman"/>
          <w:i/>
          <w:iCs/>
          <w:sz w:val="20"/>
          <w:szCs w:val="20"/>
        </w:rPr>
        <w:t>Document Academy”</w:t>
      </w:r>
      <w:r w:rsidRPr="00EC2166">
        <w:rPr>
          <w:rStyle w:val="Fontepargpadro7"/>
          <w:rFonts w:ascii="Times New Roman" w:hAnsi="Times New Roman" w:cs="Times New Roman"/>
          <w:sz w:val="20"/>
          <w:szCs w:val="20"/>
        </w:rPr>
        <w:t xml:space="preserve"> [como expressão] parecia mais inclusiva do que “</w:t>
      </w:r>
      <w:r w:rsidRPr="00EC2166">
        <w:rPr>
          <w:rStyle w:val="Fontepargpadro7"/>
          <w:rFonts w:ascii="Times New Roman" w:hAnsi="Times New Roman" w:cs="Times New Roman"/>
          <w:i/>
          <w:iCs/>
          <w:sz w:val="20"/>
          <w:szCs w:val="20"/>
        </w:rPr>
        <w:t>Document Studio”</w:t>
      </w:r>
      <w:r w:rsidRPr="00EC2166">
        <w:rPr>
          <w:rStyle w:val="Fontepargpadro7"/>
          <w:rFonts w:ascii="Times New Roman" w:hAnsi="Times New Roman" w:cs="Times New Roman"/>
          <w:sz w:val="20"/>
          <w:szCs w:val="20"/>
        </w:rPr>
        <w:t xml:space="preserve"> ou “</w:t>
      </w:r>
      <w:r w:rsidRPr="00EC2166">
        <w:rPr>
          <w:rStyle w:val="Fontepargpadro7"/>
          <w:rFonts w:ascii="Times New Roman" w:hAnsi="Times New Roman" w:cs="Times New Roman"/>
          <w:i/>
          <w:iCs/>
          <w:sz w:val="20"/>
          <w:szCs w:val="20"/>
        </w:rPr>
        <w:t>Document Lab”</w:t>
      </w:r>
      <w:r w:rsidRPr="00EC2166">
        <w:rPr>
          <w:rStyle w:val="Fontepargpadro7"/>
          <w:rFonts w:ascii="Times New Roman" w:hAnsi="Times New Roman" w:cs="Times New Roman"/>
          <w:sz w:val="20"/>
          <w:szCs w:val="20"/>
        </w:rPr>
        <w:t>. Segue sendo uma organização informal, sem uma constituição e ainda não foi constituída como uma entidade legal. (Lund; Buckland, 2008, p. 163, tradução nossa).</w:t>
      </w:r>
    </w:p>
    <w:p w14:paraId="2E71E82A" w14:textId="77777777" w:rsidR="00EC2166" w:rsidRDefault="00456A9B" w:rsidP="00EC2166">
      <w:pPr>
        <w:pStyle w:val="Standard"/>
        <w:tabs>
          <w:tab w:val="left" w:pos="720"/>
        </w:tabs>
        <w:spacing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72B5C764" w14:textId="62E45F3C" w:rsidR="00456A9B" w:rsidRDefault="00EC2166" w:rsidP="00EC2166">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 xml:space="preserve">Lund reitera e contextualiza essa discussão conceitual ocorrida entre ele e Merithbeth Back no </w:t>
      </w:r>
      <w:r w:rsidR="00456A9B">
        <w:rPr>
          <w:rStyle w:val="Fontepargpadro7"/>
          <w:rFonts w:ascii="Times New Roman" w:hAnsi="Times New Roman" w:cs="Times New Roman"/>
          <w:i/>
          <w:iCs/>
        </w:rPr>
        <w:t>Muddy’s Coffe House</w:t>
      </w:r>
      <w:r w:rsidR="00456A9B">
        <w:rPr>
          <w:rStyle w:val="Fontepargpadro7"/>
          <w:rFonts w:ascii="Times New Roman" w:hAnsi="Times New Roman" w:cs="Times New Roman"/>
        </w:rPr>
        <w:t>, em São Francisco. Explica que decidiram chamar a “rede” de Document Academy para que estivessem em uma eterna busca pela melhoria nos estudos sobre documentos. Descartam o termo “Estúdio” porque poderia soar muito artístico e “Centro” porque “poderia dar a ideia de que havia um centro em um lugar” (In: DOCAM’s Footsteps, 2019, tradução e adaptação nossas). A intenção estratégica era unir teóricos e profissionais, fossem eles artistas, pesquisadores ou profissionais ligados a outras áreas, como engenheiros.</w:t>
      </w:r>
    </w:p>
    <w:p w14:paraId="42AF3DDD" w14:textId="77777777" w:rsidR="00456A9B" w:rsidRDefault="00456A9B" w:rsidP="00EC2166">
      <w:pPr>
        <w:pStyle w:val="Standard"/>
        <w:tabs>
          <w:tab w:val="left" w:pos="720"/>
        </w:tabs>
        <w:spacing w:line="360" w:lineRule="auto"/>
        <w:jc w:val="both"/>
        <w:rPr>
          <w:rFonts w:ascii="Times New Roman" w:hAnsi="Times New Roman" w:cs="Times New Roman"/>
        </w:rPr>
      </w:pPr>
      <w:r>
        <w:rPr>
          <w:rFonts w:ascii="Times New Roman" w:hAnsi="Times New Roman" w:cs="Times New Roman"/>
        </w:rPr>
        <w:tab/>
        <w:t>Buckland adentra no tema explica melhor esse processo. Durante uma das primeiras visitas de Lund à Universidade da Califórnia, provavelmente a primeira, eles e um aluno foram almoçar no clube da universidade e tiveram a seguinte discussão:</w:t>
      </w:r>
    </w:p>
    <w:p w14:paraId="65A278EE" w14:textId="77777777" w:rsidR="00EC2166" w:rsidRDefault="00EC2166" w:rsidP="00EC2166">
      <w:pPr>
        <w:pStyle w:val="Standard"/>
        <w:tabs>
          <w:tab w:val="left" w:pos="720"/>
        </w:tabs>
        <w:spacing w:line="360" w:lineRule="auto"/>
        <w:jc w:val="both"/>
        <w:rPr>
          <w:rFonts w:ascii="Times New Roman" w:hAnsi="Times New Roman" w:cs="Times New Roman"/>
        </w:rPr>
      </w:pPr>
    </w:p>
    <w:p w14:paraId="57E52EE9" w14:textId="77777777" w:rsidR="00456A9B" w:rsidRPr="00EC2166" w:rsidRDefault="00456A9B" w:rsidP="00EC2166">
      <w:pPr>
        <w:pStyle w:val="Standard"/>
        <w:tabs>
          <w:tab w:val="left" w:pos="3045"/>
        </w:tabs>
        <w:ind w:left="2268"/>
        <w:jc w:val="both"/>
        <w:rPr>
          <w:rFonts w:hint="eastAsia"/>
          <w:sz w:val="20"/>
          <w:szCs w:val="20"/>
        </w:rPr>
      </w:pPr>
      <w:r w:rsidRPr="00EC2166">
        <w:rPr>
          <w:rStyle w:val="Fontepargpadro7"/>
          <w:rFonts w:ascii="Times New Roman" w:hAnsi="Times New Roman" w:cs="Times New Roman"/>
          <w:sz w:val="20"/>
          <w:szCs w:val="20"/>
        </w:rPr>
        <w:t>Lund nos deu uma lista com diferentes grupos e instituições e discorreu sobre a forma com que usavam documentos para influenciar a sociedade. Um exemplo óbvio eram as escolas que utilizavam livros didáticos para conduzir a aprendizagem dos alunos e também, devemos dizer, para controlar os professores e os modos através dos quais lecionavam; e, é claro, a religião e os seus livros sagrados, utilizados tanto para persuadir os membros de uma determinada religião a agirem de um determinado modo e também a acreditarem em um determinado tipo de coisas; e o uso que o governo faz dos passaportes e a declaração do imposto de renda</w:t>
      </w:r>
      <w:r w:rsidRPr="00EC2166">
        <w:rPr>
          <w:rStyle w:val="Refdenotaderodap"/>
          <w:rFonts w:ascii="Times New Roman" w:hAnsi="Times New Roman" w:cs="Times New Roman"/>
          <w:sz w:val="20"/>
          <w:szCs w:val="20"/>
        </w:rPr>
        <w:footnoteReference w:id="40"/>
      </w:r>
      <w:r w:rsidRPr="00EC2166">
        <w:rPr>
          <w:rStyle w:val="Fontepargpadro7"/>
          <w:rFonts w:ascii="Times New Roman" w:hAnsi="Times New Roman" w:cs="Times New Roman"/>
          <w:sz w:val="20"/>
          <w:szCs w:val="20"/>
          <w:vertAlign w:val="superscript"/>
        </w:rPr>
        <w:t xml:space="preserve"> </w:t>
      </w:r>
      <w:r w:rsidRPr="00EC2166">
        <w:rPr>
          <w:rStyle w:val="Fontepargpadro7"/>
          <w:rFonts w:ascii="Times New Roman" w:hAnsi="Times New Roman" w:cs="Times New Roman"/>
          <w:sz w:val="20"/>
          <w:szCs w:val="20"/>
        </w:rPr>
        <w:t xml:space="preserve">e as muitas outras formas que se utilizam para influenciar as nossas vidas. É comum que as pessoas falem sobre a “Sociedade da Informação”, mas isso está errado. </w:t>
      </w:r>
      <w:r w:rsidRPr="00EC2166">
        <w:rPr>
          <w:rStyle w:val="Fontepargpadro7"/>
          <w:rFonts w:ascii="Times New Roman" w:hAnsi="Times New Roman" w:cs="Times New Roman"/>
          <w:b/>
          <w:bCs/>
          <w:sz w:val="20"/>
          <w:szCs w:val="20"/>
        </w:rPr>
        <w:t xml:space="preserve">A grande mudança desde os tempos pré-históricos tem sido a ascensão dos documentos. Estamos nos tornando mais e mais uma “Sociedade do Documento. </w:t>
      </w:r>
      <w:r w:rsidRPr="00EC2166">
        <w:rPr>
          <w:rStyle w:val="Fontepargpadro7"/>
          <w:rFonts w:ascii="Times New Roman" w:hAnsi="Times New Roman" w:cs="Times New Roman"/>
          <w:sz w:val="20"/>
          <w:szCs w:val="20"/>
        </w:rPr>
        <w:t>(In: DOCAM’s Footsteps, 2019. tradução, grifos e adaptação para o texto escrito nossas).</w:t>
      </w:r>
    </w:p>
    <w:p w14:paraId="18082F64" w14:textId="77777777" w:rsidR="00EC2166" w:rsidRPr="00EC2166" w:rsidRDefault="00456A9B" w:rsidP="00EC2166">
      <w:pPr>
        <w:pStyle w:val="Standard"/>
        <w:tabs>
          <w:tab w:val="left" w:pos="720"/>
        </w:tabs>
        <w:spacing w:line="360" w:lineRule="auto"/>
        <w:ind w:left="2268"/>
        <w:jc w:val="both"/>
        <w:rPr>
          <w:rStyle w:val="Fontepargpadro7"/>
          <w:rFonts w:ascii="Times New Roman" w:hAnsi="Times New Roman" w:cs="Times New Roman"/>
          <w:sz w:val="20"/>
          <w:szCs w:val="20"/>
        </w:rPr>
      </w:pPr>
      <w:r w:rsidRPr="00EC2166">
        <w:rPr>
          <w:rStyle w:val="Fontepargpadro7"/>
          <w:rFonts w:ascii="Times New Roman" w:hAnsi="Times New Roman" w:cs="Times New Roman"/>
          <w:sz w:val="20"/>
          <w:szCs w:val="20"/>
        </w:rPr>
        <w:tab/>
      </w:r>
    </w:p>
    <w:p w14:paraId="0E458281" w14:textId="0D0EC3B5" w:rsidR="00456A9B" w:rsidRDefault="00EC2166" w:rsidP="00EC2166">
      <w:pPr>
        <w:pStyle w:val="Standard"/>
        <w:tabs>
          <w:tab w:val="left" w:pos="720"/>
        </w:tabs>
        <w:spacing w:line="360" w:lineRule="auto"/>
        <w:jc w:val="both"/>
        <w:rPr>
          <w:rFonts w:hint="eastAsia"/>
        </w:rPr>
      </w:pPr>
      <w:r>
        <w:rPr>
          <w:rStyle w:val="Fontepargpadro7"/>
          <w:rFonts w:ascii="Times New Roman" w:hAnsi="Times New Roman" w:cs="Times New Roman"/>
        </w:rPr>
        <w:tab/>
      </w:r>
      <w:r w:rsidR="00456A9B">
        <w:rPr>
          <w:rStyle w:val="Fontepargpadro7"/>
          <w:rFonts w:ascii="Times New Roman" w:hAnsi="Times New Roman" w:cs="Times New Roman"/>
        </w:rPr>
        <w:t xml:space="preserve">Buckland diz, nesse contexto, que a maior parte das discussões sobre a </w:t>
      </w:r>
      <w:r w:rsidR="00456A9B">
        <w:rPr>
          <w:rStyle w:val="Fontepargpadro7"/>
          <w:rFonts w:ascii="Times New Roman" w:hAnsi="Times New Roman" w:cs="Times New Roman"/>
          <w:i/>
          <w:iCs/>
        </w:rPr>
        <w:t>Document Academy</w:t>
      </w:r>
      <w:r w:rsidR="00456A9B">
        <w:rPr>
          <w:rStyle w:val="Fontepargpadro7"/>
          <w:rFonts w:ascii="Times New Roman" w:hAnsi="Times New Roman" w:cs="Times New Roman"/>
        </w:rPr>
        <w:t xml:space="preserve"> saíram dos diálogos ocorridas no </w:t>
      </w:r>
      <w:r w:rsidR="00456A9B">
        <w:rPr>
          <w:rStyle w:val="Fontepargpadro7"/>
          <w:rFonts w:ascii="Times New Roman" w:hAnsi="Times New Roman" w:cs="Times New Roman"/>
          <w:i/>
          <w:iCs/>
        </w:rPr>
        <w:t>Muddy’s Coffe House</w:t>
      </w:r>
      <w:r w:rsidR="00456A9B">
        <w:rPr>
          <w:rStyle w:val="Fontepargpadro7"/>
          <w:rFonts w:ascii="Times New Roman" w:hAnsi="Times New Roman" w:cs="Times New Roman"/>
        </w:rPr>
        <w:t xml:space="preserve"> e que, uma vez que Lund o contatou, ele se interessou em auxiliar no projeto e na execução dos eventos no que lhe fosse possível, inclusive com a organização da primeira edição.</w:t>
      </w:r>
    </w:p>
    <w:p w14:paraId="1BAC4AE2" w14:textId="77777777" w:rsidR="00456A9B" w:rsidRDefault="00456A9B" w:rsidP="00EC2166">
      <w:pPr>
        <w:pStyle w:val="Standard"/>
        <w:tabs>
          <w:tab w:val="left" w:pos="720"/>
        </w:tabs>
        <w:spacing w:line="360" w:lineRule="auto"/>
        <w:jc w:val="both"/>
        <w:rPr>
          <w:rFonts w:hint="eastAsia"/>
        </w:rPr>
      </w:pPr>
      <w:r>
        <w:rPr>
          <w:rFonts w:ascii="Times New Roman" w:hAnsi="Times New Roman" w:cs="Times New Roman"/>
        </w:rPr>
        <w:tab/>
        <w:t>A organização da primeira edição do evento teve suas dificuldades, iniciadas pelo fato de que Niels Lund e Maribeth Back terem decidido que o formato deveria ser uma conferência. No entanto, existiam alguns problemas práticos e conceituais em relação a isso, pois</w:t>
      </w:r>
    </w:p>
    <w:p w14:paraId="0E803714" w14:textId="77777777" w:rsidR="00EC2166" w:rsidRDefault="00EC2166" w:rsidP="00456A9B">
      <w:pPr>
        <w:pStyle w:val="Standard"/>
        <w:tabs>
          <w:tab w:val="left" w:pos="2988"/>
        </w:tabs>
        <w:spacing w:before="57" w:after="57"/>
        <w:ind w:left="2268"/>
        <w:jc w:val="both"/>
        <w:rPr>
          <w:rStyle w:val="Fontepargpadro7"/>
          <w:rFonts w:ascii="Times New Roman" w:hAnsi="Times New Roman" w:cs="Times New Roman"/>
          <w:sz w:val="22"/>
          <w:szCs w:val="22"/>
        </w:rPr>
      </w:pPr>
    </w:p>
    <w:p w14:paraId="3BC18689" w14:textId="48FF8AE4" w:rsidR="00456A9B" w:rsidRPr="00EC2166" w:rsidRDefault="00456A9B" w:rsidP="00EC2166">
      <w:pPr>
        <w:pStyle w:val="Standard"/>
        <w:tabs>
          <w:tab w:val="left" w:pos="2988"/>
        </w:tabs>
        <w:ind w:left="2268"/>
        <w:jc w:val="both"/>
        <w:rPr>
          <w:rFonts w:hint="eastAsia"/>
          <w:sz w:val="20"/>
          <w:szCs w:val="20"/>
        </w:rPr>
      </w:pPr>
      <w:r w:rsidRPr="00EC2166">
        <w:rPr>
          <w:rStyle w:val="Fontepargpadro7"/>
          <w:rFonts w:ascii="Times New Roman" w:hAnsi="Times New Roman" w:cs="Times New Roman"/>
          <w:sz w:val="20"/>
          <w:szCs w:val="20"/>
        </w:rPr>
        <w:lastRenderedPageBreak/>
        <w:t>[...] a Document Academy nunca foi formalmente, legalmente organizada. Sempre foi uma cooperação, colaboração informal. Mas, aqui em Berkeley, nós obtivemos a permissão para utilizarmos a “South Hall”, as salas da “South Hall” agora são chamadas de “</w:t>
      </w:r>
      <w:r w:rsidRPr="00EC2166">
        <w:rPr>
          <w:rStyle w:val="Fontepargpadro7"/>
          <w:rFonts w:ascii="Times New Roman" w:hAnsi="Times New Roman" w:cs="Times New Roman"/>
          <w:i/>
          <w:iCs/>
          <w:sz w:val="20"/>
          <w:szCs w:val="20"/>
        </w:rPr>
        <w:t>Escola de Informação</w:t>
      </w:r>
      <w:r w:rsidRPr="00EC2166">
        <w:rPr>
          <w:rStyle w:val="Refdenotaderodap"/>
          <w:rFonts w:ascii="Times New Roman" w:hAnsi="Times New Roman" w:cs="Times New Roman"/>
          <w:i/>
          <w:iCs/>
          <w:sz w:val="20"/>
          <w:szCs w:val="20"/>
        </w:rPr>
        <w:footnoteReference w:id="41"/>
      </w:r>
      <w:r w:rsidRPr="00EC2166">
        <w:rPr>
          <w:rStyle w:val="Fontepargpadro7"/>
          <w:rFonts w:ascii="Times New Roman" w:hAnsi="Times New Roman" w:cs="Times New Roman"/>
          <w:sz w:val="20"/>
          <w:szCs w:val="20"/>
        </w:rPr>
        <w:t>”, mas originalmente era a “</w:t>
      </w:r>
      <w:r w:rsidRPr="00EC2166">
        <w:rPr>
          <w:rStyle w:val="Fontepargpadro7"/>
          <w:rFonts w:ascii="Times New Roman" w:hAnsi="Times New Roman" w:cs="Times New Roman"/>
          <w:i/>
          <w:iCs/>
          <w:sz w:val="20"/>
          <w:szCs w:val="20"/>
        </w:rPr>
        <w:t>Escola de Biblioteconomia</w:t>
      </w:r>
      <w:r w:rsidRPr="00EC2166">
        <w:rPr>
          <w:rStyle w:val="Refdenotaderodap"/>
          <w:rFonts w:ascii="Times New Roman" w:hAnsi="Times New Roman" w:cs="Times New Roman"/>
          <w:i/>
          <w:iCs/>
          <w:sz w:val="20"/>
          <w:szCs w:val="20"/>
        </w:rPr>
        <w:footnoteReference w:id="42"/>
      </w:r>
      <w:r w:rsidRPr="00EC2166">
        <w:rPr>
          <w:rStyle w:val="Fontepargpadro7"/>
          <w:rFonts w:ascii="Times New Roman" w:hAnsi="Times New Roman" w:cs="Times New Roman"/>
          <w:sz w:val="20"/>
          <w:szCs w:val="20"/>
        </w:rPr>
        <w:t>” e, naquela época, era chamada de Escola de Gestão e Sistemas de Informação</w:t>
      </w:r>
      <w:r w:rsidRPr="00EC2166">
        <w:rPr>
          <w:rStyle w:val="Refdenotaderodap"/>
          <w:rFonts w:ascii="Times New Roman" w:hAnsi="Times New Roman" w:cs="Times New Roman"/>
          <w:sz w:val="20"/>
          <w:szCs w:val="20"/>
        </w:rPr>
        <w:footnoteReference w:id="43"/>
      </w:r>
      <w:r w:rsidRPr="00EC2166">
        <w:rPr>
          <w:rStyle w:val="Fontepargpadro7"/>
          <w:rFonts w:ascii="Times New Roman" w:hAnsi="Times New Roman" w:cs="Times New Roman"/>
          <w:sz w:val="20"/>
          <w:szCs w:val="20"/>
          <w:vertAlign w:val="superscript"/>
        </w:rPr>
        <w:t>,</w:t>
      </w:r>
      <w:r w:rsidRPr="00EC2166">
        <w:rPr>
          <w:rStyle w:val="Fontepargpadro7"/>
          <w:rFonts w:ascii="Times New Roman" w:hAnsi="Times New Roman" w:cs="Times New Roman"/>
          <w:sz w:val="20"/>
          <w:szCs w:val="20"/>
        </w:rPr>
        <w:t xml:space="preserve"> mas todas essas são a mesma escola. Então fomos autorizados a utilizar as salas […] e tentamos fazer isso da forma mais econômica o possível. Se não me falha a memória, nós cobramos uma taxa de inscrição de 25 dólares e nela estava inclusa um banquete. (In: DOCAM’s Footsteps, 2019 tradução e adaptação nossas).</w:t>
      </w:r>
    </w:p>
    <w:p w14:paraId="0A5305B9" w14:textId="77777777" w:rsidR="00456A9B" w:rsidRDefault="00456A9B" w:rsidP="00456A9B">
      <w:pPr>
        <w:pStyle w:val="Standard"/>
        <w:tabs>
          <w:tab w:val="left" w:pos="2988"/>
        </w:tabs>
        <w:spacing w:before="57" w:after="57"/>
        <w:ind w:left="2268"/>
        <w:jc w:val="both"/>
        <w:rPr>
          <w:rFonts w:ascii="Times New Roman" w:hAnsi="Times New Roman" w:cs="Times New Roman"/>
          <w:sz w:val="16"/>
          <w:szCs w:val="16"/>
        </w:rPr>
      </w:pPr>
    </w:p>
    <w:p w14:paraId="2E0F366B"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O Buckland ainda relata que o banquete só foi possível graças ao esforço dos outros organizadores, incluindo ele e Lund, que “foram a uma grande loja onde podia-se comprar uma grande quantidade de comida por um preço acessível” (In: DOCAM’s Footsteps, 2019, tradução e adaptação nossas).</w:t>
      </w:r>
      <w:r>
        <w:rPr>
          <w:rStyle w:val="Refdenotaderodap"/>
          <w:rFonts w:ascii="Times New Roman" w:hAnsi="Times New Roman" w:cs="Times New Roman"/>
        </w:rPr>
        <w:footnoteReference w:id="44"/>
      </w:r>
      <w:r>
        <w:rPr>
          <w:rStyle w:val="Fontepargpadro7"/>
          <w:rFonts w:ascii="Times New Roman" w:hAnsi="Times New Roman" w:cs="Times New Roman"/>
        </w:rPr>
        <w:t xml:space="preserve"> </w:t>
      </w:r>
      <w:r>
        <w:rPr>
          <w:rStyle w:val="Fontepargpadro7"/>
          <w:rFonts w:ascii="Times New Roman" w:hAnsi="Times New Roman" w:cs="Times New Roman"/>
        </w:rPr>
        <w:tab/>
      </w:r>
    </w:p>
    <w:p w14:paraId="18A760CB"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 xml:space="preserve">O orador principal do evento seria Roger T. Pédauque, “exceto pelo fato de que ele não existe” diz o professor Buckland. Essa brincadeira, relaciona-se com inexistência legal da </w:t>
      </w:r>
      <w:r>
        <w:rPr>
          <w:rStyle w:val="Fontepargpadro7"/>
          <w:rFonts w:ascii="Times New Roman" w:hAnsi="Times New Roman" w:cs="Times New Roman"/>
          <w:i/>
          <w:iCs/>
        </w:rPr>
        <w:t>Document Academy.</w:t>
      </w:r>
      <w:r>
        <w:rPr>
          <w:rStyle w:val="Fontepargpadro7"/>
          <w:rFonts w:ascii="Times New Roman" w:hAnsi="Times New Roman" w:cs="Times New Roman"/>
        </w:rPr>
        <w:t xml:space="preserve"> No escopo da entrevista, explica que Jean-Michel Salaün foi o primeiro orador do evento.</w:t>
      </w:r>
    </w:p>
    <w:p w14:paraId="68390EE1"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Cabe aqui fazer uma ressalva: nos programas apresentados na Document Academy, a oradora principal de 2003 foi a professora Johanna Drucker, do Departamento de Inglês e diretora dos Estudos de Mídia da Universidade de Virgínia, com a apresentação intitulada “</w:t>
      </w:r>
      <w:r>
        <w:rPr>
          <w:rStyle w:val="Fontepargpadro7"/>
          <w:rFonts w:ascii="Times New Roman" w:hAnsi="Times New Roman" w:cs="Times New Roman"/>
          <w:i/>
          <w:iCs/>
        </w:rPr>
        <w:t>Excerpts and Entanglements - Reading on Documents.</w:t>
      </w:r>
      <w:r>
        <w:rPr>
          <w:rStyle w:val="Fontepargpadro7"/>
          <w:rFonts w:ascii="Times New Roman" w:hAnsi="Times New Roman" w:cs="Times New Roman"/>
        </w:rPr>
        <w:t>”. Na programação disponível do site da DOCAM, o professor Jean-Michael Salaün foi o conferencista principal do evento no ano de 2004.</w:t>
      </w:r>
      <w:r>
        <w:rPr>
          <w:rStyle w:val="Refdenotaderodap"/>
          <w:rFonts w:ascii="Times New Roman" w:hAnsi="Times New Roman" w:cs="Times New Roman"/>
        </w:rPr>
        <w:footnoteReference w:id="45"/>
      </w:r>
      <w:r>
        <w:rPr>
          <w:rStyle w:val="Fontepargpadro7"/>
          <w:rFonts w:ascii="Times New Roman" w:hAnsi="Times New Roman" w:cs="Times New Roman"/>
          <w:vertAlign w:val="superscript"/>
        </w:rPr>
        <w:t>.</w:t>
      </w:r>
      <w:r>
        <w:rPr>
          <w:rStyle w:val="Fontepargpadro7"/>
          <w:rFonts w:ascii="Times New Roman" w:hAnsi="Times New Roman" w:cs="Times New Roman"/>
        </w:rPr>
        <w:t xml:space="preserve"> Embora tenhamos optado por manter as duas possibilidades em aberto, essa informação não é reiterada por Lund e Buckland (2008), que dizem que a conferência de 2003 foi feita pela professora Drucker e que os convites à Roger T. Pédauque iniciaram no ano seguinte, em 2004.</w:t>
      </w:r>
    </w:p>
    <w:p w14:paraId="6FFCC459" w14:textId="77777777" w:rsidR="00456A9B" w:rsidRDefault="00456A9B" w:rsidP="00EC2166">
      <w:pPr>
        <w:pStyle w:val="Standard"/>
        <w:tabs>
          <w:tab w:val="left" w:pos="720"/>
        </w:tabs>
        <w:spacing w:line="360" w:lineRule="auto"/>
        <w:jc w:val="both"/>
        <w:rPr>
          <w:rFonts w:hint="eastAsia"/>
        </w:rPr>
      </w:pPr>
      <w:r>
        <w:rPr>
          <w:rFonts w:ascii="Times New Roman" w:hAnsi="Times New Roman" w:cs="Times New Roman"/>
        </w:rPr>
        <w:tab/>
        <w:t xml:space="preserve">De toda forma, a ideia de convidar Roger T. Pédauque para ser o orador principal do evento se manteve durante os anos seguintes. O professor Lund colabora com a ideia de que a primeira edição do evento foi exitosa e que, para além disso, trazia um novo tipo de formato às discussões de uma conferência. Conforme relata, formou-se uma sala de discussões em que o principal objetivo era manter-se discutindo. “Não éramos obcecados com a ideia de realizarmos </w:t>
      </w:r>
      <w:r>
        <w:rPr>
          <w:rFonts w:ascii="Times New Roman" w:hAnsi="Times New Roman" w:cs="Times New Roman"/>
        </w:rPr>
        <w:lastRenderedPageBreak/>
        <w:t>apresentações, estávamos mais motivados a conversar sobre coisas”. (In: DOCAM’s Footsteps, 2019, tradução e adaptação nossas).</w:t>
      </w:r>
    </w:p>
    <w:p w14:paraId="4F0578C7" w14:textId="381BD9F4" w:rsidR="00456A9B" w:rsidRDefault="00456A9B" w:rsidP="00EC2166">
      <w:pPr>
        <w:pStyle w:val="Standard"/>
        <w:tabs>
          <w:tab w:val="left" w:pos="720"/>
        </w:tabs>
        <w:spacing w:line="360" w:lineRule="auto"/>
        <w:jc w:val="both"/>
        <w:rPr>
          <w:rFonts w:hint="eastAsia"/>
        </w:rPr>
      </w:pPr>
      <w:r>
        <w:tab/>
      </w:r>
      <w:r>
        <w:rPr>
          <w:rStyle w:val="Fontepargpadro7"/>
          <w:rFonts w:ascii="Times New Roman" w:hAnsi="Times New Roman" w:cs="Times New Roman"/>
        </w:rPr>
        <w:t xml:space="preserve">Uma das discussões da primeira edição do evento foi sobre a sua abrangência: discutiu-se se o evento deveria ficar mais restrito </w:t>
      </w:r>
      <w:r w:rsidR="00D121C1">
        <w:rPr>
          <w:rStyle w:val="Fontepargpadro7"/>
          <w:rFonts w:ascii="Times New Roman" w:hAnsi="Times New Roman" w:cs="Times New Roman"/>
        </w:rPr>
        <w:t>a</w:t>
      </w:r>
      <w:r>
        <w:rPr>
          <w:rStyle w:val="Fontepargpadro7"/>
          <w:rFonts w:ascii="Times New Roman" w:hAnsi="Times New Roman" w:cs="Times New Roman"/>
        </w:rPr>
        <w:t xml:space="preserve"> LIS</w:t>
      </w:r>
      <w:r>
        <w:rPr>
          <w:rStyle w:val="Refdenotaderodap"/>
          <w:rFonts w:ascii="Times New Roman" w:hAnsi="Times New Roman" w:cs="Times New Roman"/>
        </w:rPr>
        <w:footnoteReference w:id="46"/>
      </w:r>
      <w:r>
        <w:rPr>
          <w:rStyle w:val="Fontepargpadro7"/>
          <w:rFonts w:ascii="Times New Roman" w:hAnsi="Times New Roman" w:cs="Times New Roman"/>
        </w:rPr>
        <w:t xml:space="preserve"> - ao campo da biblioteconomia ou se a perspectiva deveria ser mais ampla. Lund é quem narra essa discussão. Diz que embora a alternativa fosse criar uma perspectiva mais abrangente, a proposta vitoriosa o manteve ainda muito relacionado à LIS. “Eu posso ver que ainda não fomos capazes de ir muito além, ainda somos primeiramente uma conferência de LIS, mas está tudo bem. Nós tivemos um evento muito bonito” (Lund In: DOCAM’s Footsteps, 2019, tradução e adaptação nossas).</w:t>
      </w:r>
    </w:p>
    <w:p w14:paraId="1FF73A3E" w14:textId="77777777" w:rsidR="00456A9B" w:rsidRDefault="00456A9B" w:rsidP="00EC2166">
      <w:pPr>
        <w:pStyle w:val="Standard"/>
        <w:tabs>
          <w:tab w:val="left" w:pos="720"/>
        </w:tabs>
        <w:spacing w:line="360" w:lineRule="auto"/>
        <w:jc w:val="both"/>
        <w:rPr>
          <w:rFonts w:hint="eastAsia"/>
        </w:rPr>
      </w:pPr>
      <w:r>
        <w:rPr>
          <w:rStyle w:val="Fontepargpadro7"/>
          <w:rFonts w:ascii="Times New Roman" w:hAnsi="Times New Roman" w:cs="Times New Roman"/>
        </w:rPr>
        <w:tab/>
        <w:t>Ainda no escopo de como se deu a construção dessa rede, que tinha como principal objetivo “discutir” o documento e a Documentação, o relato da professora Roswitha Skare, da Universidade de Tromsø, que participou de uma das últimas cenas do supracitado documentário, nos parece bastante revelador, pois mostra-nos a heterogeneidade do grupo, não apenas por conta da diversidade das áreas de formação e atuação dos envolvidos, fundadores e convidados, mas também pela dinâmica de ingresso na discussão. Nos diz Skare em seu depoimento:</w:t>
      </w:r>
    </w:p>
    <w:p w14:paraId="6A822F18" w14:textId="77777777" w:rsidR="00456A9B" w:rsidRPr="00EC2166" w:rsidRDefault="00456A9B" w:rsidP="00EC2166">
      <w:pPr>
        <w:pStyle w:val="Standard"/>
        <w:tabs>
          <w:tab w:val="left" w:pos="3119"/>
        </w:tabs>
        <w:ind w:left="2268"/>
        <w:jc w:val="both"/>
        <w:rPr>
          <w:rFonts w:hint="eastAsia"/>
          <w:sz w:val="22"/>
          <w:szCs w:val="22"/>
        </w:rPr>
      </w:pPr>
      <w:r w:rsidRPr="00EC2166">
        <w:rPr>
          <w:rStyle w:val="Fontepargpadro7"/>
          <w:rFonts w:ascii="Times New Roman" w:hAnsi="Times New Roman" w:cs="Times New Roman"/>
          <w:sz w:val="20"/>
          <w:szCs w:val="20"/>
        </w:rPr>
        <w:t xml:space="preserve">[A DOCAM] é uma conferência muito inclusiva, eu acho que qualquer ideia pode ser apresentada e você não precisa ser sênior, um acadêmico ou algo do tipo; nós também recebemos estudantes de mestrado, de doutorado e somos muito receptivos à ideia de que trabalho em desenvolvimento sejam apresentados. Eu já ouvi de outros participantes que eles gostam muito de conversar com pessoas de outras disciplinas. </w:t>
      </w:r>
      <w:r w:rsidRPr="00EC2166">
        <w:rPr>
          <w:rStyle w:val="Fontepargpadro7"/>
          <w:rFonts w:ascii="Times New Roman" w:hAnsi="Times New Roman" w:cs="Times New Roman"/>
          <w:b/>
          <w:bCs/>
          <w:sz w:val="20"/>
          <w:szCs w:val="20"/>
        </w:rPr>
        <w:t>Não é como se existisse um lado de dentro e um lado de fora e, se a sua disciplina está do lado de fora, você não está autorizado a falar sobre o assunto.</w:t>
      </w:r>
      <w:r w:rsidRPr="00EC2166">
        <w:rPr>
          <w:rStyle w:val="Fontepargpadro7"/>
          <w:rFonts w:ascii="Times New Roman" w:hAnsi="Times New Roman" w:cs="Times New Roman"/>
          <w:sz w:val="20"/>
          <w:szCs w:val="20"/>
        </w:rPr>
        <w:t xml:space="preserve"> (In: DOCAM’s Footsteps, 2019 tradução e adaptação para o texto escrito nossas).</w:t>
      </w:r>
    </w:p>
    <w:p w14:paraId="4CA55498" w14:textId="77777777" w:rsidR="00EC2166" w:rsidRDefault="00456A9B" w:rsidP="00456A9B">
      <w:pPr>
        <w:pStyle w:val="Standard"/>
        <w:tabs>
          <w:tab w:val="left" w:pos="720"/>
        </w:tabs>
        <w:spacing w:before="57" w:after="57" w:line="360" w:lineRule="auto"/>
        <w:jc w:val="both"/>
        <w:rPr>
          <w:rStyle w:val="Fontepargpadro7"/>
          <w:rFonts w:ascii="Times New Roman" w:hAnsi="Times New Roman" w:cs="Times New Roman"/>
        </w:rPr>
      </w:pPr>
      <w:r>
        <w:rPr>
          <w:rStyle w:val="Fontepargpadro7"/>
          <w:rFonts w:ascii="Times New Roman" w:hAnsi="Times New Roman" w:cs="Times New Roman"/>
        </w:rPr>
        <w:tab/>
      </w:r>
    </w:p>
    <w:p w14:paraId="1F558C01" w14:textId="7DAB19F7" w:rsidR="00456A9B" w:rsidRPr="00EC2166" w:rsidRDefault="00EC2166" w:rsidP="00EC2166">
      <w:pPr>
        <w:pStyle w:val="Standard"/>
        <w:tabs>
          <w:tab w:val="left" w:pos="720"/>
        </w:tabs>
        <w:spacing w:line="360" w:lineRule="auto"/>
        <w:jc w:val="both"/>
        <w:rPr>
          <w:rFonts w:ascii="Times New Roman" w:hAnsi="Times New Roman" w:cs="Times New Roman"/>
        </w:rPr>
      </w:pPr>
      <w:r>
        <w:rPr>
          <w:rStyle w:val="Fontepargpadro7"/>
          <w:rFonts w:ascii="Times New Roman" w:hAnsi="Times New Roman" w:cs="Times New Roman"/>
        </w:rPr>
        <w:tab/>
      </w:r>
      <w:r w:rsidR="00456A9B" w:rsidRPr="00EC2166">
        <w:rPr>
          <w:rStyle w:val="Fontepargpadro7"/>
          <w:rFonts w:ascii="Times New Roman" w:hAnsi="Times New Roman" w:cs="Times New Roman"/>
        </w:rPr>
        <w:t>Estes aspectos nos são importantes, pois demonstram algumas diferenças na construção dessas redes. Elas possuem essa característica de serem mutuamente heterogêneas, ao mesmo tempo em que não superavam, em abrangência, os atores ligados de alguma forma à LIS. Essa luta por uma heterogeneidade de pensamentos é, sem dúvida, reflexo de uma ciência e um saber que nascem em um momento de reavaliação da função da ciência e já demarcam de forma bastante objetiva que a perspectiva narrativamente defendida de que “os documentos são o foco, independente da abordagem a ele dirigidas” se presentificam em uma prática que constantemente busca por novos olhares e dinâmicas de trabalho sobre este mesmo elemento.</w:t>
      </w:r>
    </w:p>
    <w:p w14:paraId="2FE8C580" w14:textId="682CC742" w:rsidR="00456A9B" w:rsidRPr="00EC2166" w:rsidRDefault="00456A9B" w:rsidP="00EC2166">
      <w:pPr>
        <w:pStyle w:val="Standard"/>
        <w:tabs>
          <w:tab w:val="left" w:pos="720"/>
        </w:tabs>
        <w:spacing w:line="360" w:lineRule="auto"/>
        <w:jc w:val="both"/>
        <w:rPr>
          <w:rFonts w:ascii="Times New Roman" w:hAnsi="Times New Roman" w:cs="Times New Roman"/>
        </w:rPr>
      </w:pPr>
      <w:r w:rsidRPr="00EC2166">
        <w:rPr>
          <w:rFonts w:ascii="Times New Roman" w:hAnsi="Times New Roman" w:cs="Times New Roman"/>
        </w:rPr>
        <w:tab/>
        <w:t xml:space="preserve">Segundo Lund (2009), a Documet Academy pode ser vista como “produtivo brainstorming interdisciplinar, feito de maneira muito sistemática, explorando as dificuldades </w:t>
      </w:r>
      <w:r w:rsidRPr="00EC2166">
        <w:rPr>
          <w:rFonts w:ascii="Times New Roman" w:hAnsi="Times New Roman" w:cs="Times New Roman"/>
        </w:rPr>
        <w:lastRenderedPageBreak/>
        <w:t>enfrentadas por aqueles que lidam com os documentos hoje”. Ao mesmo tempo a identifica como “[...] um projeto otimista, buscando possíveis soluções para os desafios da teoria dos documentos hoje [...]”, abarcando temas como “[...] como autoria, identidade, propriedade intelectual, recuperação de documentos, anotações, princípios de preservação de documentos digitais, documentos multimídia e políticas de documentação” (L</w:t>
      </w:r>
      <w:r w:rsidR="00EC2166" w:rsidRPr="00EC2166">
        <w:rPr>
          <w:rFonts w:ascii="Times New Roman" w:hAnsi="Times New Roman" w:cs="Times New Roman"/>
        </w:rPr>
        <w:t>und</w:t>
      </w:r>
      <w:r w:rsidRPr="00EC2166">
        <w:rPr>
          <w:rFonts w:ascii="Times New Roman" w:hAnsi="Times New Roman" w:cs="Times New Roman"/>
        </w:rPr>
        <w:t>, 2009, p.38-39, tradução nossa).</w:t>
      </w:r>
    </w:p>
    <w:p w14:paraId="76328209" w14:textId="77777777" w:rsidR="00EC2166" w:rsidRDefault="00EC2166" w:rsidP="00EC2166">
      <w:pPr>
        <w:rPr>
          <w:rStyle w:val="Fontepargpadro7"/>
          <w:rFonts w:ascii="Times New Roman" w:hAnsi="Times New Roman" w:cs="Times New Roman"/>
          <w:b/>
          <w:szCs w:val="24"/>
        </w:rPr>
      </w:pPr>
    </w:p>
    <w:p w14:paraId="27B080D5" w14:textId="2D07840B" w:rsidR="00456A9B" w:rsidRPr="002C0500" w:rsidRDefault="00EC2166" w:rsidP="002C0500">
      <w:pPr>
        <w:spacing w:after="0" w:line="360" w:lineRule="auto"/>
        <w:rPr>
          <w:sz w:val="24"/>
          <w:szCs w:val="24"/>
        </w:rPr>
      </w:pPr>
      <w:r w:rsidRPr="002C0500">
        <w:rPr>
          <w:rStyle w:val="Fontepargpadro7"/>
          <w:rFonts w:ascii="Times New Roman" w:hAnsi="Times New Roman" w:cs="Times New Roman"/>
          <w:bCs/>
          <w:sz w:val="24"/>
          <w:szCs w:val="24"/>
        </w:rPr>
        <w:t xml:space="preserve">6 </w:t>
      </w:r>
      <w:r w:rsidR="00456A9B" w:rsidRPr="002C0500">
        <w:rPr>
          <w:rStyle w:val="Fontepargpadro7"/>
          <w:rFonts w:ascii="Times New Roman" w:hAnsi="Times New Roman" w:cs="Times New Roman"/>
          <w:b/>
          <w:sz w:val="24"/>
          <w:szCs w:val="24"/>
        </w:rPr>
        <w:t>CONCLUSÃO</w:t>
      </w:r>
    </w:p>
    <w:p w14:paraId="394B3B2E" w14:textId="77777777" w:rsidR="00456A9B" w:rsidRPr="002C0500" w:rsidRDefault="00456A9B" w:rsidP="002C0500">
      <w:pPr>
        <w:spacing w:after="0" w:line="360" w:lineRule="auto"/>
        <w:rPr>
          <w:sz w:val="24"/>
          <w:szCs w:val="24"/>
        </w:rPr>
      </w:pPr>
    </w:p>
    <w:p w14:paraId="162A1859" w14:textId="77777777" w:rsidR="00456A9B" w:rsidRPr="002C0500" w:rsidRDefault="00456A9B" w:rsidP="002C0500">
      <w:pPr>
        <w:pStyle w:val="Textbody"/>
        <w:tabs>
          <w:tab w:val="left" w:pos="0"/>
        </w:tabs>
        <w:spacing w:after="0" w:line="360" w:lineRule="auto"/>
        <w:jc w:val="both"/>
        <w:rPr>
          <w:rFonts w:hint="eastAsia"/>
        </w:rPr>
      </w:pPr>
      <w:r w:rsidRPr="002C0500">
        <w:rPr>
          <w:rStyle w:val="Fontepargpadro7"/>
          <w:rFonts w:ascii="Times New Roman" w:hAnsi="Times New Roman" w:cs="Times New Roman"/>
          <w:bCs/>
        </w:rPr>
        <w:tab/>
        <w:t xml:space="preserve">Neste artigo, buscamos apontar a importância de Niels Lund, Michael Buckland, Dokvit e Document Academy na formação de uma agenda neodocumentalista. Como destacamos, o movimento de retomada da Documentação ocorre a partir das novas demandas sociais e da necessidade de articular e coordenar teoricamente alguns objetos diante do novo contexto social, atravessado pelas novas mídias e novos ambientes de produção de documentos, como os digitais.  </w:t>
      </w:r>
    </w:p>
    <w:p w14:paraId="67F4D07E" w14:textId="77777777" w:rsidR="00456A9B" w:rsidRPr="002C0500" w:rsidRDefault="00456A9B" w:rsidP="002C0500">
      <w:pPr>
        <w:pStyle w:val="NormalWeb"/>
        <w:spacing w:before="0" w:beforeAutospacing="0" w:after="0" w:afterAutospacing="0" w:line="360" w:lineRule="auto"/>
        <w:jc w:val="both"/>
      </w:pPr>
      <w:r w:rsidRPr="002C0500">
        <w:rPr>
          <w:rStyle w:val="apple-tab-span"/>
        </w:rPr>
        <w:tab/>
      </w:r>
      <w:r w:rsidRPr="002C0500">
        <w:t>Como vimos, Niels Lund foi o fundador e idealizador do Centro de Estudos em Documentação da Noruega (Dokvit), que segue como uma importante instituição dedicada ao desenvolvimento deste campo científico. No início o comitê formado na Universidade de Tromso tinha um objetivo mais pragmático que teórico: formular um programa de ensino que fornecesse base aos profissionais da informação para que estes soubessem lidar com documentos de todos os tipos.  Em sua obra destaca-se tanto a apresentação e divulgação da produção deste centro, quanto a organização das diferentes teorias (apresentadas historicamente) sobre o documento. O autor também estrutura uma teoria própria sobre como abordar e conceituar documentos. Sua teoria apresenta-se fortemente ligada à inter-relação entre as dimensões culturais, materiais e técnicas do documento.</w:t>
      </w:r>
    </w:p>
    <w:p w14:paraId="35EF5A86" w14:textId="77777777" w:rsidR="00456A9B" w:rsidRPr="002C0500" w:rsidRDefault="00456A9B" w:rsidP="002C0500">
      <w:pPr>
        <w:pStyle w:val="NormalWeb"/>
        <w:spacing w:before="0" w:beforeAutospacing="0" w:after="0" w:afterAutospacing="0" w:line="360" w:lineRule="auto"/>
        <w:jc w:val="both"/>
      </w:pPr>
      <w:r w:rsidRPr="002C0500">
        <w:rPr>
          <w:rStyle w:val="apple-tab-span"/>
        </w:rPr>
        <w:tab/>
      </w:r>
      <w:r w:rsidRPr="002C0500">
        <w:t>Michael Buckland é um dos criadores (em conjunto com Lund e Rayward) da Document Academy, um importante fórum de discussão sobre os documentos. A transferência para Berkely o levou a conhecer a obra de Briet e o trabalho de Rayward, levando-o a se enveredar nos estudos sobre os conceitos de informação, documentos e dados. Olhando sua produção de forma retrospectiva, podemos identificar um pesquisador que está mais interessado em compreender como as diferentes abordagens disciplinares criam modelos científico-tecnológicos distintos e entender, particularmente como a questão dos documentos e da informação neles se inserem. São indagações sobre o que é o documento; sobre as transformações que as tecnologias impuseram ao seu processo de produção, circulação e uso.</w:t>
      </w:r>
    </w:p>
    <w:p w14:paraId="3A709DF9" w14:textId="77777777" w:rsidR="00456A9B" w:rsidRPr="002C0500" w:rsidRDefault="00456A9B" w:rsidP="002C0500">
      <w:pPr>
        <w:pStyle w:val="NormalWeb"/>
        <w:spacing w:before="0" w:beforeAutospacing="0" w:after="0" w:afterAutospacing="0" w:line="360" w:lineRule="auto"/>
        <w:ind w:firstLine="720"/>
        <w:jc w:val="both"/>
      </w:pPr>
      <w:r w:rsidRPr="002C0500">
        <w:lastRenderedPageBreak/>
        <w:t>A necessidade de conversar sobre tudo isso levou à criação da Document Academy, que à semelhança da Roger T. Pédauque, foi formada para ser um coletivo multidisciplinar focado no documento e suas questões diante das novas tecnologias.</w:t>
      </w:r>
    </w:p>
    <w:p w14:paraId="0D692464" w14:textId="3B366C95" w:rsidR="00456A9B" w:rsidRPr="002C0500" w:rsidRDefault="00456A9B" w:rsidP="002C0500">
      <w:pPr>
        <w:pStyle w:val="NormalWeb"/>
        <w:spacing w:before="0" w:beforeAutospacing="0" w:after="0" w:afterAutospacing="0" w:line="360" w:lineRule="auto"/>
        <w:ind w:firstLine="720"/>
        <w:jc w:val="both"/>
      </w:pPr>
      <w:r w:rsidRPr="002C0500">
        <w:t>Segundo Lund (2009, p. 36-37), os estudos de Pédauque sobre forma/sinal e mídia explicam que “qualquer objeto é potencialmente um sinal e pode ser um documento” e que entendê-lo como “mídia” implica reconhecer o papel social do documento. A partir dessa perspectiva social, o documento é definido como inscrição + legitimidade e que para ser um documento legítimo “[...] a inscrição deve ter um alcance além da comunicação privada (entre poucas pessoas) e a legitimidade deve ser mais do que efêmera (ir além do momento de sua enunciação) e, portanto, ser gravada, inscrita” (L</w:t>
      </w:r>
      <w:r w:rsidR="00EC2166" w:rsidRPr="002C0500">
        <w:t>und</w:t>
      </w:r>
      <w:r w:rsidRPr="002C0500">
        <w:t>, 2009, p.38, tradução nossa). São essas discussões que marcam os debates dos teóricos que frequentam a Document Academy, uma das principais instituições da rede dos estudos sobre a neodocumentação da qual nos detemos em narrar a história e entender os princípios que motivaram a sua criação.</w:t>
      </w:r>
    </w:p>
    <w:p w14:paraId="6D7793C6" w14:textId="77777777" w:rsidR="00EC2166" w:rsidRPr="00863B19" w:rsidRDefault="00EC2166" w:rsidP="00456A9B">
      <w:pPr>
        <w:pStyle w:val="Textbody"/>
        <w:tabs>
          <w:tab w:val="left" w:pos="0"/>
        </w:tabs>
        <w:spacing w:before="57" w:after="57" w:line="360" w:lineRule="auto"/>
        <w:jc w:val="both"/>
        <w:rPr>
          <w:rFonts w:hint="eastAsia"/>
          <w:b/>
          <w:bCs/>
        </w:rPr>
      </w:pPr>
    </w:p>
    <w:p w14:paraId="15A5B605" w14:textId="143AB591" w:rsidR="00456A9B" w:rsidRDefault="00EC2166" w:rsidP="00EC2166">
      <w:pPr>
        <w:pStyle w:val="Textbody"/>
        <w:tabs>
          <w:tab w:val="left" w:pos="0"/>
        </w:tabs>
        <w:spacing w:after="0" w:line="360" w:lineRule="auto"/>
        <w:jc w:val="both"/>
        <w:rPr>
          <w:rFonts w:ascii="Times New Roman" w:hAnsi="Times New Roman" w:cs="Times New Roman"/>
          <w:b/>
          <w:bCs/>
          <w:lang w:val="en-US"/>
        </w:rPr>
      </w:pPr>
      <w:r w:rsidRPr="00EC2166">
        <w:rPr>
          <w:rFonts w:ascii="Times New Roman" w:hAnsi="Times New Roman" w:cs="Times New Roman"/>
          <w:b/>
          <w:bCs/>
          <w:lang w:val="en-US"/>
        </w:rPr>
        <w:t>REFERÊNCIAS</w:t>
      </w:r>
    </w:p>
    <w:p w14:paraId="59A165D2" w14:textId="77777777" w:rsidR="00EC2166" w:rsidRPr="00EC2166" w:rsidRDefault="00EC2166" w:rsidP="00EC2166">
      <w:pPr>
        <w:pStyle w:val="Textbody"/>
        <w:tabs>
          <w:tab w:val="left" w:pos="0"/>
        </w:tabs>
        <w:spacing w:after="0" w:line="360" w:lineRule="auto"/>
        <w:jc w:val="both"/>
        <w:rPr>
          <w:rFonts w:ascii="Times New Roman" w:hAnsi="Times New Roman" w:cs="Times New Roman"/>
          <w:b/>
          <w:bCs/>
          <w:lang w:val="en-US"/>
        </w:rPr>
      </w:pPr>
    </w:p>
    <w:p w14:paraId="11449F4F" w14:textId="77777777" w:rsidR="00456A9B" w:rsidRPr="00EC2166" w:rsidRDefault="00456A9B" w:rsidP="00EC2166">
      <w:pPr>
        <w:pStyle w:val="Textbody"/>
        <w:tabs>
          <w:tab w:val="left" w:pos="0"/>
        </w:tabs>
        <w:spacing w:after="0" w:line="240" w:lineRule="auto"/>
        <w:rPr>
          <w:rFonts w:ascii="Times New Roman" w:hAnsi="Times New Roman" w:cs="Times New Roman"/>
          <w:lang w:val="en-US"/>
        </w:rPr>
      </w:pPr>
      <w:r w:rsidRPr="00EC2166">
        <w:rPr>
          <w:rStyle w:val="Fontepargpadro7"/>
          <w:rFonts w:ascii="Times New Roman" w:hAnsi="Times New Roman" w:cs="Times New Roman"/>
          <w:lang w:val="en-US"/>
        </w:rPr>
        <w:t xml:space="preserve">BOLTER, J. David. </w:t>
      </w:r>
      <w:r w:rsidRPr="00EC2166">
        <w:rPr>
          <w:rStyle w:val="Fontepargpadro7"/>
          <w:rFonts w:ascii="Times New Roman" w:hAnsi="Times New Roman" w:cs="Times New Roman"/>
          <w:b/>
          <w:lang w:val="en-US"/>
        </w:rPr>
        <w:t>Writing space: computers, hypertext, and the remediation of print</w:t>
      </w:r>
      <w:r w:rsidRPr="00EC2166">
        <w:rPr>
          <w:rStyle w:val="Fontepargpadro7"/>
          <w:rFonts w:ascii="Times New Roman" w:hAnsi="Times New Roman" w:cs="Times New Roman"/>
          <w:lang w:val="en-US"/>
        </w:rPr>
        <w:t>. 2nd ed. Mahwah, N.J: Lawrence Erlbaum Associates, 2001.</w:t>
      </w:r>
    </w:p>
    <w:p w14:paraId="10A043BD" w14:textId="77777777" w:rsidR="00456A9B" w:rsidRPr="00EC2166" w:rsidRDefault="00456A9B" w:rsidP="00EC2166">
      <w:pPr>
        <w:pStyle w:val="Textbody"/>
        <w:tabs>
          <w:tab w:val="left" w:pos="0"/>
        </w:tabs>
        <w:spacing w:after="0" w:line="360" w:lineRule="auto"/>
        <w:rPr>
          <w:rFonts w:ascii="Times New Roman" w:hAnsi="Times New Roman" w:cs="Times New Roman"/>
          <w:lang w:val="en-US"/>
        </w:rPr>
      </w:pPr>
    </w:p>
    <w:p w14:paraId="6F535950" w14:textId="77777777" w:rsidR="00456A9B" w:rsidRPr="00EC2166" w:rsidRDefault="00456A9B" w:rsidP="00EC2166">
      <w:pPr>
        <w:pStyle w:val="Standard"/>
        <w:rPr>
          <w:rFonts w:ascii="Times New Roman" w:hAnsi="Times New Roman" w:cs="Times New Roman"/>
        </w:rPr>
      </w:pPr>
      <w:r w:rsidRPr="00EC2166">
        <w:rPr>
          <w:rStyle w:val="Fontepargpadro7"/>
          <w:rFonts w:ascii="Times New Roman" w:hAnsi="Times New Roman" w:cs="Times New Roman"/>
          <w:lang w:val="en-US"/>
        </w:rPr>
        <w:t xml:space="preserve">BÖRJESSON, Lisa; DELL’UNTO, Nicolo; HUVILA, Isto; LARSSON, Carolina; LÖWENBORG, Daniel; PETERSSON, Bodil; STENBORG, Per. A Neo-Documentalist Lens for Exploring the Premises of Disciplinary Knowledge Making. </w:t>
      </w:r>
      <w:r w:rsidRPr="00EC2166">
        <w:rPr>
          <w:rStyle w:val="Fontepargpadro7"/>
          <w:rFonts w:ascii="Times New Roman" w:hAnsi="Times New Roman" w:cs="Times New Roman"/>
          <w:b/>
          <w:lang w:val="en-US"/>
        </w:rPr>
        <w:t>Proceedings from the Document Academy</w:t>
      </w:r>
      <w:r w:rsidRPr="00EC2166">
        <w:rPr>
          <w:rStyle w:val="Fontepargpadro7"/>
          <w:rFonts w:ascii="Times New Roman" w:hAnsi="Times New Roman" w:cs="Times New Roman"/>
          <w:lang w:val="en-US"/>
        </w:rPr>
        <w:t xml:space="preserve">, v. 3, n. 1, 15 jun. 2016. DOI 10.35492/docam/3/1/5. </w:t>
      </w:r>
      <w:r w:rsidRPr="00EC2166">
        <w:rPr>
          <w:rStyle w:val="Fontepargpadro7"/>
          <w:rFonts w:ascii="Times New Roman" w:hAnsi="Times New Roman" w:cs="Times New Roman"/>
        </w:rPr>
        <w:t>Disponível em: https://ideaexchange.uakron.edu/docam/vol3/iss1/5. Acesso em: 2 maio 2022.</w:t>
      </w:r>
    </w:p>
    <w:p w14:paraId="6FDD6374" w14:textId="77777777" w:rsidR="00EC2166" w:rsidRPr="00863B19" w:rsidRDefault="00EC2166" w:rsidP="00EC2166">
      <w:pPr>
        <w:pStyle w:val="Standard"/>
        <w:spacing w:line="360" w:lineRule="auto"/>
        <w:rPr>
          <w:rStyle w:val="Fontepargpadro7"/>
          <w:rFonts w:ascii="Times New Roman" w:hAnsi="Times New Roman" w:cs="Times New Roman"/>
        </w:rPr>
      </w:pPr>
    </w:p>
    <w:p w14:paraId="6B963FFB" w14:textId="1FCBFE09" w:rsidR="00456A9B" w:rsidRPr="00EC2166" w:rsidRDefault="00456A9B" w:rsidP="00EC2166">
      <w:pPr>
        <w:pStyle w:val="Standard"/>
        <w:rPr>
          <w:rFonts w:ascii="Times New Roman" w:hAnsi="Times New Roman" w:cs="Times New Roman"/>
          <w:lang w:val="en-US"/>
        </w:rPr>
      </w:pPr>
      <w:r w:rsidRPr="00EC2166">
        <w:rPr>
          <w:rStyle w:val="Fontepargpadro7"/>
          <w:rFonts w:ascii="Times New Roman" w:hAnsi="Times New Roman" w:cs="Times New Roman"/>
          <w:lang w:val="en-US"/>
        </w:rPr>
        <w:t>BUCKLAND, Michael. The Centenary of “Madame Documentation”:  Suzanne Briet, 1894-l 989.</w:t>
      </w:r>
      <w:r w:rsidRPr="00EC2166">
        <w:rPr>
          <w:rStyle w:val="Fontepargpadro7"/>
          <w:rFonts w:ascii="Times New Roman" w:hAnsi="Times New Roman" w:cs="Times New Roman"/>
          <w:b/>
          <w:lang w:val="en-US"/>
        </w:rPr>
        <w:t xml:space="preserve"> Journal of the American Society for Information Science.</w:t>
      </w:r>
      <w:r w:rsidRPr="00EC2166">
        <w:rPr>
          <w:rStyle w:val="Fontepargpadro7"/>
          <w:rFonts w:ascii="Times New Roman" w:hAnsi="Times New Roman" w:cs="Times New Roman"/>
          <w:lang w:val="en-US"/>
        </w:rPr>
        <w:t>, v. 46, n. 3, p. 235–237, 1995.</w:t>
      </w:r>
    </w:p>
    <w:p w14:paraId="1788C589" w14:textId="77777777" w:rsidR="00EC2166" w:rsidRDefault="00EC2166" w:rsidP="00EC2166">
      <w:pPr>
        <w:pStyle w:val="Standard"/>
        <w:spacing w:line="360" w:lineRule="auto"/>
        <w:rPr>
          <w:rStyle w:val="Fontepargpadro7"/>
          <w:rFonts w:ascii="Times New Roman" w:hAnsi="Times New Roman" w:cs="Times New Roman"/>
          <w:lang w:val="en-US"/>
        </w:rPr>
      </w:pPr>
    </w:p>
    <w:p w14:paraId="7E216C00" w14:textId="1B3D3E39" w:rsidR="00456A9B" w:rsidRPr="00EC2166" w:rsidRDefault="00456A9B" w:rsidP="00EC2166">
      <w:pPr>
        <w:pStyle w:val="Standard"/>
        <w:rPr>
          <w:rFonts w:ascii="Times New Roman" w:hAnsi="Times New Roman" w:cs="Times New Roman"/>
          <w:lang w:val="en-US"/>
        </w:rPr>
      </w:pPr>
      <w:r w:rsidRPr="00EC2166">
        <w:rPr>
          <w:rStyle w:val="Fontepargpadro7"/>
          <w:rFonts w:ascii="Times New Roman" w:hAnsi="Times New Roman" w:cs="Times New Roman"/>
          <w:lang w:val="en-US"/>
        </w:rPr>
        <w:t xml:space="preserve">BUCKLAND, Michael. What is a Document? </w:t>
      </w:r>
      <w:r w:rsidRPr="00EC2166">
        <w:rPr>
          <w:rStyle w:val="Fontepargpadro7"/>
          <w:rFonts w:ascii="Times New Roman" w:hAnsi="Times New Roman" w:cs="Times New Roman"/>
          <w:b/>
          <w:lang w:val="en-US"/>
        </w:rPr>
        <w:t>Journal of the American Society for Information Science</w:t>
      </w:r>
      <w:r w:rsidRPr="00EC2166">
        <w:rPr>
          <w:rStyle w:val="Fontepargpadro7"/>
          <w:rFonts w:ascii="Times New Roman" w:hAnsi="Times New Roman" w:cs="Times New Roman"/>
          <w:lang w:val="en-US"/>
        </w:rPr>
        <w:t>, v. 48, n. 9, p. 804–809, 1997.</w:t>
      </w:r>
    </w:p>
    <w:p w14:paraId="5411BACF" w14:textId="77777777" w:rsidR="00EC2166" w:rsidRDefault="00EC2166" w:rsidP="00EC2166">
      <w:pPr>
        <w:pStyle w:val="Standard"/>
        <w:spacing w:line="360" w:lineRule="auto"/>
        <w:rPr>
          <w:rStyle w:val="Fontepargpadro7"/>
          <w:rFonts w:ascii="Times New Roman" w:hAnsi="Times New Roman" w:cs="Times New Roman"/>
          <w:lang w:val="en-US"/>
        </w:rPr>
      </w:pPr>
    </w:p>
    <w:p w14:paraId="63394AE3" w14:textId="750ECE6A" w:rsidR="00456A9B" w:rsidRPr="00EC2166" w:rsidRDefault="00456A9B" w:rsidP="00EC2166">
      <w:pPr>
        <w:pStyle w:val="Standard"/>
        <w:rPr>
          <w:rFonts w:ascii="Times New Roman" w:hAnsi="Times New Roman" w:cs="Times New Roman"/>
        </w:rPr>
      </w:pPr>
      <w:r w:rsidRPr="00EC2166">
        <w:rPr>
          <w:rStyle w:val="Fontepargpadro7"/>
          <w:rFonts w:ascii="Times New Roman" w:hAnsi="Times New Roman" w:cs="Times New Roman"/>
          <w:lang w:val="en-US"/>
        </w:rPr>
        <w:t xml:space="preserve">BUCKLAND, Michael K.; LUND, Niels W. Boyd Rayward, Documentation, and Information Science. </w:t>
      </w:r>
      <w:r w:rsidRPr="00EC2166">
        <w:rPr>
          <w:rStyle w:val="Fontepargpadro7"/>
          <w:rFonts w:ascii="Times New Roman" w:hAnsi="Times New Roman" w:cs="Times New Roman"/>
          <w:b/>
        </w:rPr>
        <w:t>Library Trends</w:t>
      </w:r>
      <w:r w:rsidRPr="00EC2166">
        <w:rPr>
          <w:rStyle w:val="Fontepargpadro7"/>
          <w:rFonts w:ascii="Times New Roman" w:hAnsi="Times New Roman" w:cs="Times New Roman"/>
        </w:rPr>
        <w:t>, v. 62, n. 2, p. 302–310, 2013. Disponível em: http://muse.jhu.edu/content/crossref/journals/library_trends/v062/62.2.buckland.html. Acesso em: 5 maio 2022.</w:t>
      </w:r>
    </w:p>
    <w:p w14:paraId="5A9D6695" w14:textId="77777777" w:rsidR="00EC2166" w:rsidRPr="00863B19" w:rsidRDefault="00EC2166" w:rsidP="00EC2166">
      <w:pPr>
        <w:pStyle w:val="Standard"/>
        <w:spacing w:line="360" w:lineRule="auto"/>
        <w:rPr>
          <w:rStyle w:val="Fontepargpadro7"/>
          <w:rFonts w:ascii="Times New Roman" w:hAnsi="Times New Roman" w:cs="Times New Roman"/>
        </w:rPr>
      </w:pPr>
    </w:p>
    <w:p w14:paraId="27FACF4B" w14:textId="47386C3E" w:rsidR="00456A9B" w:rsidRPr="00EC2166" w:rsidRDefault="00456A9B" w:rsidP="00EC2166">
      <w:pPr>
        <w:pStyle w:val="Standard"/>
        <w:rPr>
          <w:rFonts w:ascii="Times New Roman" w:hAnsi="Times New Roman" w:cs="Times New Roman"/>
          <w:lang w:val="en-US"/>
        </w:rPr>
      </w:pPr>
      <w:r w:rsidRPr="00EC2166">
        <w:rPr>
          <w:rStyle w:val="Fontepargpadro7"/>
          <w:rFonts w:ascii="Times New Roman" w:hAnsi="Times New Roman" w:cs="Times New Roman"/>
          <w:lang w:val="en-US"/>
        </w:rPr>
        <w:t xml:space="preserve">DAY, Ronald. Preface. </w:t>
      </w:r>
      <w:r w:rsidRPr="00EC2166">
        <w:rPr>
          <w:rStyle w:val="Fontepargpadro7"/>
          <w:rFonts w:ascii="Times New Roman" w:hAnsi="Times New Roman" w:cs="Times New Roman"/>
          <w:i/>
          <w:lang w:val="en-US"/>
        </w:rPr>
        <w:t>In</w:t>
      </w:r>
      <w:r w:rsidRPr="00EC2166">
        <w:rPr>
          <w:rStyle w:val="Fontepargpadro7"/>
          <w:rFonts w:ascii="Times New Roman" w:hAnsi="Times New Roman" w:cs="Times New Roman"/>
          <w:lang w:val="en-US"/>
        </w:rPr>
        <w:t xml:space="preserve">: BRIET, Suzanne. </w:t>
      </w:r>
      <w:r w:rsidRPr="00EC2166">
        <w:rPr>
          <w:rStyle w:val="Fontepargpadro7"/>
          <w:rFonts w:ascii="Times New Roman" w:hAnsi="Times New Roman" w:cs="Times New Roman"/>
          <w:b/>
          <w:lang w:val="en-US"/>
        </w:rPr>
        <w:t>What is Documentation?</w:t>
      </w:r>
      <w:r w:rsidRPr="00EC2166">
        <w:rPr>
          <w:rStyle w:val="Fontepargpadro7"/>
          <w:rFonts w:ascii="Times New Roman" w:hAnsi="Times New Roman" w:cs="Times New Roman"/>
          <w:lang w:val="en-US"/>
        </w:rPr>
        <w:t xml:space="preserve"> Estados Unidos: Scarecrow Press, 2006</w:t>
      </w:r>
    </w:p>
    <w:p w14:paraId="22C133D2" w14:textId="77777777" w:rsidR="00EC2166" w:rsidRDefault="00EC2166" w:rsidP="00EC2166">
      <w:pPr>
        <w:pStyle w:val="Standard"/>
        <w:spacing w:line="360" w:lineRule="auto"/>
        <w:rPr>
          <w:rStyle w:val="Fontepargpadro7"/>
          <w:rFonts w:ascii="Times New Roman" w:hAnsi="Times New Roman" w:cs="Times New Roman"/>
          <w:lang w:val="en-US"/>
        </w:rPr>
      </w:pPr>
    </w:p>
    <w:p w14:paraId="5BEF2824" w14:textId="637536B9" w:rsidR="00456A9B" w:rsidRPr="00EC2166" w:rsidRDefault="00456A9B" w:rsidP="00EC2166">
      <w:pPr>
        <w:pStyle w:val="Standard"/>
        <w:rPr>
          <w:rFonts w:ascii="Times New Roman" w:hAnsi="Times New Roman" w:cs="Times New Roman"/>
          <w:lang w:val="en-US"/>
        </w:rPr>
      </w:pPr>
      <w:r w:rsidRPr="00EC2166">
        <w:rPr>
          <w:rStyle w:val="Fontepargpadro7"/>
          <w:rFonts w:ascii="Times New Roman" w:hAnsi="Times New Roman" w:cs="Times New Roman"/>
          <w:lang w:val="en-US"/>
        </w:rPr>
        <w:t xml:space="preserve">DOCAM’S FOOTSTEPS. </w:t>
      </w:r>
      <w:r w:rsidRPr="00EC2166">
        <w:rPr>
          <w:rStyle w:val="Fontepargpadro7"/>
          <w:rFonts w:ascii="Times New Roman" w:hAnsi="Times New Roman" w:cs="Times New Roman"/>
        </w:rPr>
        <w:t>[</w:t>
      </w:r>
      <w:r w:rsidRPr="00EC2166">
        <w:rPr>
          <w:rStyle w:val="Fontepargpadro7"/>
          <w:rFonts w:ascii="Times New Roman" w:hAnsi="Times New Roman" w:cs="Times New Roman"/>
          <w:i/>
        </w:rPr>
        <w:t>S. l.</w:t>
      </w:r>
      <w:r w:rsidRPr="00EC2166">
        <w:rPr>
          <w:rStyle w:val="Fontepargpadro7"/>
          <w:rFonts w:ascii="Times New Roman" w:hAnsi="Times New Roman" w:cs="Times New Roman"/>
        </w:rPr>
        <w:t xml:space="preserve">: </w:t>
      </w:r>
      <w:r w:rsidRPr="00EC2166">
        <w:rPr>
          <w:rStyle w:val="Fontepargpadro7"/>
          <w:rFonts w:ascii="Times New Roman" w:hAnsi="Times New Roman" w:cs="Times New Roman"/>
          <w:i/>
        </w:rPr>
        <w:t>s. n.</w:t>
      </w:r>
      <w:r w:rsidRPr="00EC2166">
        <w:rPr>
          <w:rStyle w:val="Fontepargpadro7"/>
          <w:rFonts w:ascii="Times New Roman" w:hAnsi="Times New Roman" w:cs="Times New Roman"/>
        </w:rPr>
        <w:t xml:space="preserve">], 2019. Disponível em: https://www.youtube.com/watch?v=ZGeJGduoTO4&amp;t=125s. </w:t>
      </w:r>
      <w:r w:rsidRPr="00EC2166">
        <w:rPr>
          <w:rStyle w:val="Fontepargpadro7"/>
          <w:rFonts w:ascii="Times New Roman" w:hAnsi="Times New Roman" w:cs="Times New Roman"/>
          <w:lang w:val="en-US"/>
        </w:rPr>
        <w:t>Acesso em: 5 mar. 2021.</w:t>
      </w:r>
    </w:p>
    <w:p w14:paraId="04DB3941" w14:textId="77777777" w:rsidR="00EC2166" w:rsidRDefault="00EC2166" w:rsidP="00EC2166">
      <w:pPr>
        <w:pStyle w:val="Standard"/>
        <w:spacing w:line="360" w:lineRule="auto"/>
        <w:rPr>
          <w:rStyle w:val="Fontepargpadro7"/>
          <w:rFonts w:ascii="Times New Roman" w:hAnsi="Times New Roman" w:cs="Times New Roman"/>
          <w:lang w:val="en-US"/>
        </w:rPr>
      </w:pPr>
    </w:p>
    <w:p w14:paraId="00E3DA41" w14:textId="68EDC63E" w:rsidR="00456A9B" w:rsidRPr="00EC2166" w:rsidRDefault="00456A9B" w:rsidP="00EC2166">
      <w:pPr>
        <w:pStyle w:val="Standard"/>
        <w:rPr>
          <w:rFonts w:ascii="Times New Roman" w:hAnsi="Times New Roman" w:cs="Times New Roman"/>
          <w:lang w:val="en-US"/>
        </w:rPr>
      </w:pPr>
      <w:r w:rsidRPr="00EC2166">
        <w:rPr>
          <w:rStyle w:val="Fontepargpadro7"/>
          <w:rFonts w:ascii="Times New Roman" w:hAnsi="Times New Roman" w:cs="Times New Roman"/>
          <w:lang w:val="en-US"/>
        </w:rPr>
        <w:t xml:space="preserve">LUND, Niels. Building a discipline, creating a profession: An essay on the childhood of “Dokvit.” </w:t>
      </w:r>
      <w:r w:rsidRPr="00EC2166">
        <w:rPr>
          <w:rStyle w:val="Fontepargpadro7"/>
          <w:rFonts w:ascii="Times New Roman" w:hAnsi="Times New Roman" w:cs="Times New Roman"/>
          <w:bCs/>
          <w:lang w:val="en-US"/>
        </w:rPr>
        <w:t>In</w:t>
      </w:r>
      <w:r w:rsidRPr="00EC2166">
        <w:rPr>
          <w:rStyle w:val="Fontepargpadro7"/>
          <w:rFonts w:ascii="Times New Roman" w:hAnsi="Times New Roman" w:cs="Times New Roman"/>
          <w:b/>
          <w:lang w:val="en-US"/>
        </w:rPr>
        <w:t>: SKARE R.  N. W. LUND, &amp; A. VÅRHEIM (Orgs.). A document (re)turn: Contributions from a research field in transition</w:t>
      </w:r>
      <w:r w:rsidRPr="00EC2166">
        <w:rPr>
          <w:rStyle w:val="Fontepargpadro7"/>
          <w:rFonts w:ascii="Times New Roman" w:hAnsi="Times New Roman" w:cs="Times New Roman"/>
          <w:lang w:val="en-US"/>
        </w:rPr>
        <w:t xml:space="preserve">. </w:t>
      </w:r>
      <w:r w:rsidRPr="00EC2166">
        <w:rPr>
          <w:rStyle w:val="Fontepargpadro7"/>
          <w:rFonts w:ascii="Times New Roman" w:hAnsi="Times New Roman" w:cs="Times New Roman"/>
          <w:lang w:val="de-AT"/>
        </w:rPr>
        <w:t>Frankfurt am Main, Germany: Peter Lang, 2007. p. 11–26.</w:t>
      </w:r>
    </w:p>
    <w:p w14:paraId="77884E25" w14:textId="77777777" w:rsidR="00EC2166" w:rsidRDefault="00EC2166" w:rsidP="00EC2166">
      <w:pPr>
        <w:pStyle w:val="Textbody"/>
        <w:tabs>
          <w:tab w:val="left" w:pos="0"/>
        </w:tabs>
        <w:spacing w:after="0" w:line="360" w:lineRule="auto"/>
        <w:rPr>
          <w:rStyle w:val="Fontepargpadro7"/>
          <w:rFonts w:ascii="Times New Roman" w:hAnsi="Times New Roman" w:cs="Times New Roman"/>
          <w:lang w:val="de-AT"/>
        </w:rPr>
      </w:pPr>
    </w:p>
    <w:p w14:paraId="403895AD" w14:textId="69302856" w:rsidR="00456A9B" w:rsidRDefault="00456A9B" w:rsidP="00EC2166">
      <w:pPr>
        <w:pStyle w:val="Textbody"/>
        <w:tabs>
          <w:tab w:val="left" w:pos="0"/>
        </w:tabs>
        <w:spacing w:after="0" w:line="240" w:lineRule="auto"/>
        <w:rPr>
          <w:rFonts w:ascii="Times New Roman" w:hAnsi="Times New Roman" w:cs="Times New Roman"/>
          <w:lang w:val="en-US"/>
        </w:rPr>
      </w:pPr>
      <w:r w:rsidRPr="00EC2166">
        <w:rPr>
          <w:rStyle w:val="Fontepargpadro7"/>
          <w:rFonts w:ascii="Times New Roman" w:hAnsi="Times New Roman" w:cs="Times New Roman"/>
          <w:lang w:val="de-AT"/>
        </w:rPr>
        <w:t xml:space="preserve">LUND, Niels. W. Document theory. </w:t>
      </w:r>
      <w:r w:rsidRPr="00EC2166">
        <w:rPr>
          <w:rFonts w:ascii="Times New Roman" w:hAnsi="Times New Roman" w:cs="Times New Roman"/>
          <w:b/>
          <w:bCs/>
          <w:lang w:val="en-US"/>
        </w:rPr>
        <w:t>Annual Review of Information Science and Technology</w:t>
      </w:r>
      <w:r w:rsidRPr="00EC2166">
        <w:rPr>
          <w:rFonts w:ascii="Times New Roman" w:hAnsi="Times New Roman" w:cs="Times New Roman"/>
          <w:lang w:val="en-US"/>
        </w:rPr>
        <w:t>, v. 43, p. 399-4321, 2009.</w:t>
      </w:r>
    </w:p>
    <w:p w14:paraId="03FAC3B9" w14:textId="77777777" w:rsidR="00EC2166" w:rsidRPr="00EC2166" w:rsidRDefault="00EC2166" w:rsidP="00EC2166">
      <w:pPr>
        <w:pStyle w:val="Textbody"/>
        <w:tabs>
          <w:tab w:val="left" w:pos="0"/>
        </w:tabs>
        <w:spacing w:after="0" w:line="360" w:lineRule="auto"/>
        <w:rPr>
          <w:rFonts w:ascii="Times New Roman" w:hAnsi="Times New Roman" w:cs="Times New Roman"/>
          <w:lang w:val="en-US"/>
        </w:rPr>
      </w:pPr>
    </w:p>
    <w:p w14:paraId="18A195F8" w14:textId="77777777" w:rsidR="00456A9B" w:rsidRPr="00EC2166" w:rsidRDefault="00456A9B" w:rsidP="00EC2166">
      <w:pPr>
        <w:pStyle w:val="Standard"/>
        <w:rPr>
          <w:rFonts w:ascii="Times New Roman" w:hAnsi="Times New Roman" w:cs="Times New Roman"/>
        </w:rPr>
      </w:pPr>
      <w:r w:rsidRPr="00EC2166">
        <w:rPr>
          <w:rStyle w:val="Fontepargpadro7"/>
          <w:rFonts w:ascii="Times New Roman" w:hAnsi="Times New Roman" w:cs="Times New Roman"/>
          <w:lang w:val="en-US"/>
        </w:rPr>
        <w:t xml:space="preserve">LUND, Niels. How It All Started: 1996, the First Year of Dokvit. </w:t>
      </w:r>
      <w:r w:rsidRPr="00EC2166">
        <w:rPr>
          <w:rStyle w:val="Fontepargpadro7"/>
          <w:rFonts w:ascii="Times New Roman" w:hAnsi="Times New Roman" w:cs="Times New Roman"/>
          <w:b/>
          <w:lang w:val="en-US"/>
        </w:rPr>
        <w:t>Proceedings from the Document Academy</w:t>
      </w:r>
      <w:r w:rsidRPr="00EC2166">
        <w:rPr>
          <w:rStyle w:val="Fontepargpadro7"/>
          <w:rFonts w:ascii="Times New Roman" w:hAnsi="Times New Roman" w:cs="Times New Roman"/>
          <w:lang w:val="en-US"/>
        </w:rPr>
        <w:t xml:space="preserve">, v. 3, n. 1, 15 jun. 2016. DOI 10.35492/docam/3/1/2. </w:t>
      </w:r>
      <w:r w:rsidRPr="00EC2166">
        <w:rPr>
          <w:rStyle w:val="Fontepargpadro7"/>
          <w:rFonts w:ascii="Times New Roman" w:hAnsi="Times New Roman" w:cs="Times New Roman"/>
        </w:rPr>
        <w:t>Disponível em: https://ideaexchange.uakron.edu/docam/vol3/iss1/2. Acesso em: 2 maio 2022.</w:t>
      </w:r>
    </w:p>
    <w:p w14:paraId="5DC65835" w14:textId="77777777" w:rsidR="00EC2166" w:rsidRDefault="00EC2166" w:rsidP="00EC2166">
      <w:pPr>
        <w:pStyle w:val="Standard"/>
        <w:spacing w:line="360" w:lineRule="auto"/>
        <w:rPr>
          <w:rStyle w:val="Fontepargpadro7"/>
          <w:rFonts w:ascii="Times New Roman" w:hAnsi="Times New Roman" w:cs="Times New Roman"/>
          <w:lang w:val="de-AT"/>
        </w:rPr>
      </w:pPr>
    </w:p>
    <w:p w14:paraId="0A031AF9" w14:textId="432AD8A7" w:rsidR="00456A9B" w:rsidRPr="00EC2166" w:rsidRDefault="00456A9B" w:rsidP="00EC2166">
      <w:pPr>
        <w:pStyle w:val="Standard"/>
        <w:rPr>
          <w:rFonts w:ascii="Times New Roman" w:hAnsi="Times New Roman" w:cs="Times New Roman"/>
        </w:rPr>
      </w:pPr>
      <w:r w:rsidRPr="00EC2166">
        <w:rPr>
          <w:rStyle w:val="Fontepargpadro7"/>
          <w:rFonts w:ascii="Times New Roman" w:hAnsi="Times New Roman" w:cs="Times New Roman"/>
          <w:lang w:val="de-AT"/>
        </w:rPr>
        <w:t xml:space="preserve">LUND, Niels Windfeld; BUCKLAND, Michael. </w:t>
      </w:r>
      <w:r w:rsidRPr="00EC2166">
        <w:rPr>
          <w:rStyle w:val="Fontepargpadro7"/>
          <w:rFonts w:ascii="Times New Roman" w:hAnsi="Times New Roman" w:cs="Times New Roman"/>
          <w:lang w:val="en-US"/>
        </w:rPr>
        <w:t xml:space="preserve">Document, documentation, and the Document Academy: introduction. </w:t>
      </w:r>
      <w:r w:rsidRPr="00EC2166">
        <w:rPr>
          <w:rStyle w:val="Fontepargpadro7"/>
          <w:rFonts w:ascii="Times New Roman" w:hAnsi="Times New Roman" w:cs="Times New Roman"/>
          <w:b/>
        </w:rPr>
        <w:t>Archival Science</w:t>
      </w:r>
      <w:r w:rsidRPr="00EC2166">
        <w:rPr>
          <w:rStyle w:val="Fontepargpadro7"/>
          <w:rFonts w:ascii="Times New Roman" w:hAnsi="Times New Roman" w:cs="Times New Roman"/>
        </w:rPr>
        <w:t>, v. 8, n. 3, p. 161–164, set. 2008. Disponível em: http://link.springer.com/10.1007/s10502-009-9076-3. Acesso em: 6 abr. 2022.</w:t>
      </w:r>
    </w:p>
    <w:p w14:paraId="3FCC5D62" w14:textId="77777777" w:rsidR="00EC2166" w:rsidRPr="00863B19" w:rsidRDefault="00EC2166" w:rsidP="00EC2166">
      <w:pPr>
        <w:pStyle w:val="Standard"/>
        <w:spacing w:line="360" w:lineRule="auto"/>
        <w:rPr>
          <w:rStyle w:val="Fontepargpadro7"/>
          <w:rFonts w:ascii="Times New Roman" w:hAnsi="Times New Roman" w:cs="Times New Roman"/>
        </w:rPr>
      </w:pPr>
    </w:p>
    <w:p w14:paraId="342E67B3" w14:textId="1D32C56B" w:rsidR="00456A9B" w:rsidRPr="00EC2166" w:rsidRDefault="00456A9B" w:rsidP="00EC2166">
      <w:pPr>
        <w:pStyle w:val="Standard"/>
        <w:rPr>
          <w:rFonts w:ascii="Times New Roman" w:hAnsi="Times New Roman" w:cs="Times New Roman"/>
          <w:lang w:val="en-US"/>
        </w:rPr>
      </w:pPr>
      <w:r w:rsidRPr="00EC2166">
        <w:rPr>
          <w:rStyle w:val="Fontepargpadro7"/>
          <w:rFonts w:ascii="Times New Roman" w:hAnsi="Times New Roman" w:cs="Times New Roman"/>
          <w:lang w:val="en-US"/>
        </w:rPr>
        <w:t xml:space="preserve">OTLET, Paul. </w:t>
      </w:r>
      <w:r w:rsidRPr="00EC2166">
        <w:rPr>
          <w:rStyle w:val="Fontepargpadro7"/>
          <w:rFonts w:ascii="Times New Roman" w:hAnsi="Times New Roman" w:cs="Times New Roman"/>
          <w:b/>
          <w:lang w:val="en-US"/>
        </w:rPr>
        <w:t>Traité de documentation [ Treatise on documentation]</w:t>
      </w:r>
      <w:r w:rsidRPr="00EC2166">
        <w:rPr>
          <w:rStyle w:val="Fontepargpadro7"/>
          <w:rFonts w:ascii="Times New Roman" w:hAnsi="Times New Roman" w:cs="Times New Roman"/>
          <w:lang w:val="en-US"/>
        </w:rPr>
        <w:t>. Brussels, Belgium: Editions Mundaneum, 1934 (IIB Publication, 197).</w:t>
      </w:r>
    </w:p>
    <w:p w14:paraId="639B815A" w14:textId="77777777" w:rsidR="00EC2166" w:rsidRDefault="00EC2166" w:rsidP="00EC2166">
      <w:pPr>
        <w:pStyle w:val="Standard"/>
        <w:spacing w:line="360" w:lineRule="auto"/>
        <w:rPr>
          <w:rStyle w:val="Fontepargpadro7"/>
          <w:rFonts w:ascii="Times New Roman" w:hAnsi="Times New Roman" w:cs="Times New Roman"/>
          <w:lang w:val="en-US"/>
        </w:rPr>
      </w:pPr>
    </w:p>
    <w:p w14:paraId="734CFC11" w14:textId="1E274555" w:rsidR="00456A9B" w:rsidRPr="00EC2166" w:rsidRDefault="00456A9B" w:rsidP="00EC2166">
      <w:pPr>
        <w:pStyle w:val="Standard"/>
        <w:rPr>
          <w:rFonts w:ascii="Times New Roman" w:hAnsi="Times New Roman" w:cs="Times New Roman"/>
        </w:rPr>
      </w:pPr>
      <w:r w:rsidRPr="00EC2166">
        <w:rPr>
          <w:rStyle w:val="Fontepargpadro7"/>
          <w:rFonts w:ascii="Times New Roman" w:hAnsi="Times New Roman" w:cs="Times New Roman"/>
          <w:lang w:val="en-US"/>
        </w:rPr>
        <w:t xml:space="preserve">PÉDAUQUE, Roger T. Document: form, sign and medium, as reformulated for electronic documents. </w:t>
      </w:r>
      <w:r w:rsidRPr="00EC2166">
        <w:rPr>
          <w:rStyle w:val="Fontepargpadro7"/>
          <w:rFonts w:ascii="Times New Roman" w:hAnsi="Times New Roman" w:cs="Times New Roman"/>
        </w:rPr>
        <w:t>12 set. 2003.</w:t>
      </w:r>
    </w:p>
    <w:p w14:paraId="23524C53" w14:textId="77777777" w:rsidR="00EC2166" w:rsidRDefault="00EC2166" w:rsidP="00EC2166">
      <w:pPr>
        <w:pStyle w:val="Standard"/>
        <w:spacing w:line="360" w:lineRule="auto"/>
        <w:rPr>
          <w:rFonts w:ascii="Times New Roman" w:hAnsi="Times New Roman" w:cs="Times New Roman"/>
        </w:rPr>
      </w:pPr>
    </w:p>
    <w:p w14:paraId="6B6F014C" w14:textId="643486FD" w:rsidR="00456A9B" w:rsidRPr="00EC2166" w:rsidRDefault="00456A9B" w:rsidP="00EC2166">
      <w:pPr>
        <w:pStyle w:val="Standard"/>
        <w:rPr>
          <w:rFonts w:ascii="Times New Roman" w:hAnsi="Times New Roman" w:cs="Times New Roman"/>
          <w:lang w:val="en-US"/>
        </w:rPr>
      </w:pPr>
      <w:r w:rsidRPr="00EC2166">
        <w:rPr>
          <w:rFonts w:ascii="Times New Roman" w:hAnsi="Times New Roman" w:cs="Times New Roman"/>
        </w:rPr>
        <w:t xml:space="preserve">SANCHES NETO, Asy. </w:t>
      </w:r>
      <w:r w:rsidRPr="00EC2166">
        <w:rPr>
          <w:rFonts w:ascii="Times New Roman" w:hAnsi="Times New Roman" w:cs="Times New Roman"/>
          <w:b/>
          <w:bCs/>
        </w:rPr>
        <w:t xml:space="preserve">O QUE É NEODOCUMENTAÇÃO? Acompanhando a formação da rede, dos discursos e das agências a partir das obras de Niels Lund, Michael Buckland, Ronald Day e Bernd Frohmann. </w:t>
      </w:r>
      <w:r w:rsidR="00EC2166" w:rsidRPr="00EC2166">
        <w:rPr>
          <w:rFonts w:ascii="Times New Roman" w:hAnsi="Times New Roman" w:cs="Times New Roman"/>
        </w:rPr>
        <w:t>284 f. 2022</w:t>
      </w:r>
      <w:r w:rsidR="00EC2166">
        <w:rPr>
          <w:rFonts w:ascii="Times New Roman" w:hAnsi="Times New Roman" w:cs="Times New Roman"/>
        </w:rPr>
        <w:t>.</w:t>
      </w:r>
      <w:r w:rsidRPr="00EC2166">
        <w:rPr>
          <w:rFonts w:ascii="Times New Roman" w:hAnsi="Times New Roman" w:cs="Times New Roman"/>
        </w:rPr>
        <w:t xml:space="preserve">Tese (Doutorado em Ciência da Informação) – Instituto de Artes e Comunicação Social, Departamento de Ciência da Informação, Universidade Federal Fluminense. </w:t>
      </w:r>
      <w:r w:rsidR="00EC2166" w:rsidRPr="00EC2166">
        <w:rPr>
          <w:rFonts w:ascii="Times New Roman" w:hAnsi="Times New Roman" w:cs="Times New Roman"/>
          <w:lang w:val="en-US"/>
        </w:rPr>
        <w:t>Niteroi</w:t>
      </w:r>
      <w:r w:rsidRPr="00EC2166">
        <w:rPr>
          <w:rFonts w:ascii="Times New Roman" w:hAnsi="Times New Roman" w:cs="Times New Roman"/>
          <w:lang w:val="en-US"/>
        </w:rPr>
        <w:t>, 2022.</w:t>
      </w:r>
    </w:p>
    <w:p w14:paraId="1C91BAD2" w14:textId="77777777" w:rsidR="00456A9B" w:rsidRPr="00EC2166" w:rsidRDefault="00456A9B" w:rsidP="00EC2166">
      <w:pPr>
        <w:pStyle w:val="Standard"/>
        <w:spacing w:line="360" w:lineRule="auto"/>
        <w:rPr>
          <w:rFonts w:ascii="Times New Roman" w:hAnsi="Times New Roman" w:cs="Times New Roman"/>
          <w:lang w:val="en-US"/>
        </w:rPr>
      </w:pPr>
    </w:p>
    <w:p w14:paraId="1DB8C7A8" w14:textId="27F55DB1" w:rsidR="00456A9B" w:rsidRPr="00EC2166" w:rsidRDefault="00456A9B" w:rsidP="00EC2166">
      <w:pPr>
        <w:pStyle w:val="Textbody"/>
        <w:tabs>
          <w:tab w:val="left" w:pos="0"/>
        </w:tabs>
        <w:spacing w:after="0" w:line="240" w:lineRule="auto"/>
        <w:rPr>
          <w:rFonts w:ascii="Times New Roman" w:hAnsi="Times New Roman" w:cs="Times New Roman"/>
        </w:rPr>
      </w:pPr>
      <w:r w:rsidRPr="00EC2166">
        <w:rPr>
          <w:rStyle w:val="Fontepargpadro7"/>
          <w:rFonts w:ascii="Times New Roman" w:hAnsi="Times New Roman" w:cs="Times New Roman"/>
          <w:lang w:val="en-US"/>
        </w:rPr>
        <w:t xml:space="preserve">SKARE, Roswitha. Documentation Studies at the University of Tromsø: A new way to educate librarians? </w:t>
      </w:r>
      <w:r w:rsidRPr="00EC2166">
        <w:rPr>
          <w:rStyle w:val="Fontepargpadro7"/>
          <w:rFonts w:ascii="Times New Roman" w:hAnsi="Times New Roman" w:cs="Times New Roman"/>
          <w:b/>
        </w:rPr>
        <w:t>Education for Information</w:t>
      </w:r>
      <w:r w:rsidRPr="00EC2166">
        <w:rPr>
          <w:rStyle w:val="Fontepargpadro7"/>
          <w:rFonts w:ascii="Times New Roman" w:hAnsi="Times New Roman" w:cs="Times New Roman"/>
        </w:rPr>
        <w:t>, v. 35, n. 4, p. 455–463, 5 dez. 2019. Disponível em:</w:t>
      </w:r>
      <w:r w:rsidR="00EC2166">
        <w:rPr>
          <w:rStyle w:val="Fontepargpadro7"/>
          <w:rFonts w:ascii="Times New Roman" w:hAnsi="Times New Roman" w:cs="Times New Roman"/>
        </w:rPr>
        <w:t xml:space="preserve"> </w:t>
      </w:r>
      <w:r w:rsidRPr="00EC2166">
        <w:rPr>
          <w:rStyle w:val="Fontepargpadro7"/>
          <w:rFonts w:ascii="Times New Roman" w:hAnsi="Times New Roman" w:cs="Times New Roman"/>
        </w:rPr>
        <w:t>https://www.medra.org/servlet/aliasResolver?alias=iospress&amp;doi=10.3233/EFI-180228. Acesso em: 2 maio 2022.</w:t>
      </w:r>
    </w:p>
    <w:p w14:paraId="54D048CE" w14:textId="77777777" w:rsidR="00456A9B" w:rsidRDefault="00456A9B" w:rsidP="00456A9B">
      <w:pPr>
        <w:pStyle w:val="Textbody"/>
        <w:tabs>
          <w:tab w:val="left" w:pos="0"/>
        </w:tabs>
        <w:spacing w:before="57" w:after="57" w:line="360" w:lineRule="auto"/>
        <w:jc w:val="both"/>
        <w:rPr>
          <w:rFonts w:hint="eastAsia"/>
        </w:rPr>
      </w:pPr>
    </w:p>
    <w:p w14:paraId="4E678E18" w14:textId="77777777" w:rsidR="00B125DC" w:rsidRPr="002F7E08" w:rsidRDefault="00B125DC" w:rsidP="002F7E08">
      <w:pPr>
        <w:spacing w:after="0" w:line="360" w:lineRule="auto"/>
        <w:jc w:val="both"/>
        <w:rPr>
          <w:rFonts w:ascii="Times New Roman" w:eastAsia="Times New Roman" w:hAnsi="Times New Roman" w:cs="Times New Roman"/>
          <w:sz w:val="24"/>
          <w:szCs w:val="24"/>
        </w:rPr>
      </w:pPr>
    </w:p>
    <w:p w14:paraId="16563AAB"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04D48CBC" w14:textId="77777777" w:rsidR="008D66D2" w:rsidRDefault="008D66D2">
      <w:pPr>
        <w:rPr>
          <w:rFonts w:ascii="Times New Roman" w:hAnsi="Times New Roman" w:cs="Times New Roman"/>
          <w:b/>
          <w:iCs/>
          <w:color w:val="000000"/>
          <w:sz w:val="24"/>
          <w:szCs w:val="24"/>
        </w:rPr>
      </w:pPr>
      <w:r>
        <w:rPr>
          <w:rFonts w:ascii="Times New Roman" w:hAnsi="Times New Roman" w:cs="Times New Roman"/>
          <w:b/>
          <w:iCs/>
          <w:color w:val="000000"/>
          <w:sz w:val="24"/>
          <w:szCs w:val="24"/>
        </w:rPr>
        <w:br w:type="page"/>
      </w:r>
    </w:p>
    <w:p w14:paraId="69633673" w14:textId="591098A4" w:rsidR="00456A9B" w:rsidRPr="00604447" w:rsidRDefault="00456A9B" w:rsidP="00863B19">
      <w:pPr>
        <w:pStyle w:val="Ttulo1"/>
        <w:jc w:val="center"/>
        <w:rPr>
          <w:rFonts w:ascii="Times New Roman" w:hAnsi="Times New Roman" w:cs="Times New Roman"/>
          <w:bCs/>
          <w:iCs/>
          <w:color w:val="000000"/>
          <w:sz w:val="24"/>
          <w:szCs w:val="24"/>
        </w:rPr>
      </w:pPr>
      <w:bookmarkStart w:id="58" w:name="_Toc146826501"/>
      <w:r>
        <w:rPr>
          <w:rFonts w:ascii="Times New Roman" w:hAnsi="Times New Roman" w:cs="Times New Roman"/>
          <w:b/>
          <w:iCs/>
          <w:color w:val="000000"/>
          <w:sz w:val="24"/>
          <w:szCs w:val="24"/>
        </w:rPr>
        <w:lastRenderedPageBreak/>
        <w:t xml:space="preserve">DIÁLOGOS E CONEXÕES ENTRE O DIREITO DE ACESSO À INFORMAÇÃO E A FUNÇÃO SOCIAL DOS ARQUIVOS: </w:t>
      </w:r>
      <w:r w:rsidRPr="00604447">
        <w:rPr>
          <w:rFonts w:ascii="Times New Roman" w:hAnsi="Times New Roman" w:cs="Times New Roman"/>
          <w:bCs/>
          <w:iCs/>
          <w:color w:val="000000"/>
          <w:sz w:val="24"/>
          <w:szCs w:val="24"/>
        </w:rPr>
        <w:t>uma abordagem arquivística</w:t>
      </w:r>
      <w:bookmarkEnd w:id="58"/>
    </w:p>
    <w:p w14:paraId="1E2CC0A8" w14:textId="77777777" w:rsidR="00456A9B" w:rsidRDefault="00456A9B" w:rsidP="00456A9B">
      <w:pPr>
        <w:spacing w:after="0" w:line="360" w:lineRule="auto"/>
        <w:jc w:val="center"/>
        <w:rPr>
          <w:rFonts w:ascii="Times New Roman" w:eastAsia="Times New Roman" w:hAnsi="Times New Roman" w:cs="Times New Roman"/>
          <w:sz w:val="24"/>
          <w:szCs w:val="24"/>
        </w:rPr>
      </w:pPr>
    </w:p>
    <w:p w14:paraId="5EB334C6" w14:textId="77777777" w:rsidR="001A02E1" w:rsidRPr="002C4504" w:rsidRDefault="001A02E1" w:rsidP="00456A9B">
      <w:pPr>
        <w:spacing w:after="0" w:line="360" w:lineRule="auto"/>
        <w:jc w:val="center"/>
        <w:rPr>
          <w:rFonts w:ascii="Times New Roman" w:eastAsia="Times New Roman" w:hAnsi="Times New Roman" w:cs="Times New Roman"/>
          <w:sz w:val="24"/>
          <w:szCs w:val="24"/>
        </w:rPr>
      </w:pPr>
    </w:p>
    <w:p w14:paraId="3223B85E" w14:textId="77777777" w:rsidR="001A02E1" w:rsidRPr="001A02E1" w:rsidRDefault="001A02E1" w:rsidP="001A02E1">
      <w:pPr>
        <w:spacing w:after="0" w:line="360" w:lineRule="auto"/>
        <w:jc w:val="both"/>
        <w:rPr>
          <w:rFonts w:ascii="Times New Roman" w:eastAsia="Times New Roman" w:hAnsi="Times New Roman" w:cs="Times New Roman"/>
          <w:b/>
          <w:bCs/>
          <w:sz w:val="24"/>
          <w:szCs w:val="24"/>
        </w:rPr>
      </w:pPr>
      <w:r w:rsidRPr="001A02E1">
        <w:rPr>
          <w:rFonts w:ascii="Times New Roman" w:eastAsia="Times New Roman" w:hAnsi="Times New Roman" w:cs="Times New Roman"/>
          <w:b/>
          <w:bCs/>
          <w:sz w:val="24"/>
          <w:szCs w:val="24"/>
        </w:rPr>
        <w:t xml:space="preserve">Isabela Costa da Silva </w:t>
      </w:r>
    </w:p>
    <w:p w14:paraId="1F64ADC4" w14:textId="77777777" w:rsidR="001A02E1" w:rsidRPr="001A02E1" w:rsidRDefault="001A02E1" w:rsidP="001A02E1">
      <w:pPr>
        <w:spacing w:after="0" w:line="360" w:lineRule="auto"/>
        <w:jc w:val="both"/>
        <w:rPr>
          <w:rFonts w:ascii="Times New Roman" w:eastAsia="Times New Roman" w:hAnsi="Times New Roman" w:cs="Times New Roman"/>
          <w:sz w:val="24"/>
          <w:szCs w:val="24"/>
        </w:rPr>
      </w:pPr>
      <w:r w:rsidRPr="001A02E1">
        <w:rPr>
          <w:rFonts w:ascii="Times New Roman" w:eastAsia="Times New Roman" w:hAnsi="Times New Roman" w:cs="Times New Roman"/>
          <w:sz w:val="24"/>
          <w:szCs w:val="24"/>
        </w:rPr>
        <w:t>Universidade Federal Fluminense (UFF)</w:t>
      </w:r>
    </w:p>
    <w:p w14:paraId="36BCD12F" w14:textId="746AF3D8" w:rsidR="008D66D2" w:rsidRDefault="001A02E1" w:rsidP="001A02E1">
      <w:pPr>
        <w:spacing w:after="0" w:line="360" w:lineRule="auto"/>
        <w:jc w:val="both"/>
        <w:rPr>
          <w:rFonts w:ascii="Times New Roman" w:eastAsia="Times New Roman" w:hAnsi="Times New Roman" w:cs="Times New Roman"/>
          <w:sz w:val="24"/>
          <w:szCs w:val="24"/>
        </w:rPr>
      </w:pPr>
      <w:r w:rsidRPr="001A02E1">
        <w:rPr>
          <w:rFonts w:ascii="Times New Roman" w:eastAsia="Times New Roman" w:hAnsi="Times New Roman" w:cs="Times New Roman"/>
          <w:sz w:val="24"/>
          <w:szCs w:val="24"/>
        </w:rPr>
        <w:t>Universidade Federal do Estado do Rio de Janeiro (UNIRIO)</w:t>
      </w:r>
    </w:p>
    <w:p w14:paraId="5E9424A6" w14:textId="77777777" w:rsidR="001A02E1" w:rsidRDefault="001A02E1" w:rsidP="001A02E1">
      <w:pPr>
        <w:spacing w:after="0" w:line="360" w:lineRule="auto"/>
        <w:jc w:val="both"/>
        <w:rPr>
          <w:rFonts w:ascii="Times New Roman" w:eastAsia="Times New Roman" w:hAnsi="Times New Roman" w:cs="Times New Roman"/>
          <w:sz w:val="24"/>
          <w:szCs w:val="24"/>
        </w:rPr>
      </w:pPr>
    </w:p>
    <w:p w14:paraId="51518D8D" w14:textId="6927CBA8" w:rsidR="00456A9B" w:rsidRPr="002C4504" w:rsidRDefault="00456A9B" w:rsidP="00456A9B">
      <w:pPr>
        <w:spacing w:after="0" w:line="360" w:lineRule="auto"/>
        <w:jc w:val="both"/>
        <w:rPr>
          <w:rFonts w:ascii="Times New Roman" w:eastAsia="Times New Roman" w:hAnsi="Times New Roman" w:cs="Times New Roman"/>
          <w:b/>
          <w:sz w:val="24"/>
          <w:szCs w:val="24"/>
        </w:rPr>
      </w:pPr>
      <w:r w:rsidRPr="002C4504">
        <w:rPr>
          <w:rFonts w:ascii="Times New Roman" w:eastAsia="Times New Roman" w:hAnsi="Times New Roman" w:cs="Times New Roman"/>
          <w:sz w:val="24"/>
          <w:szCs w:val="24"/>
        </w:rPr>
        <w:t xml:space="preserve">1 </w:t>
      </w:r>
      <w:r w:rsidRPr="002C4504">
        <w:rPr>
          <w:rFonts w:ascii="Times New Roman" w:eastAsia="Times New Roman" w:hAnsi="Times New Roman" w:cs="Times New Roman"/>
          <w:b/>
          <w:sz w:val="24"/>
          <w:szCs w:val="24"/>
        </w:rPr>
        <w:t>INTRODUÇÃO</w:t>
      </w:r>
    </w:p>
    <w:p w14:paraId="40B033FD" w14:textId="77777777" w:rsidR="00456A9B" w:rsidRPr="002C4504" w:rsidRDefault="00456A9B" w:rsidP="00456A9B">
      <w:pPr>
        <w:spacing w:after="0" w:line="360" w:lineRule="auto"/>
        <w:jc w:val="both"/>
        <w:rPr>
          <w:rFonts w:ascii="Times New Roman" w:eastAsia="Times New Roman" w:hAnsi="Times New Roman" w:cs="Times New Roman"/>
          <w:sz w:val="24"/>
          <w:szCs w:val="24"/>
        </w:rPr>
      </w:pPr>
      <w:r w:rsidRPr="002C4504">
        <w:rPr>
          <w:rFonts w:ascii="Times New Roman" w:eastAsia="Times New Roman" w:hAnsi="Times New Roman" w:cs="Times New Roman"/>
          <w:sz w:val="24"/>
          <w:szCs w:val="24"/>
        </w:rPr>
        <w:tab/>
      </w:r>
    </w:p>
    <w:p w14:paraId="42C73B9D" w14:textId="77777777" w:rsidR="00456A9B" w:rsidRPr="002C4504" w:rsidRDefault="00456A9B" w:rsidP="00456A9B">
      <w:pPr>
        <w:spacing w:after="0" w:line="360" w:lineRule="auto"/>
        <w:jc w:val="both"/>
        <w:rPr>
          <w:rFonts w:ascii="Times New Roman" w:hAnsi="Times New Roman" w:cs="Times New Roman"/>
          <w:sz w:val="24"/>
          <w:szCs w:val="24"/>
        </w:rPr>
      </w:pPr>
      <w:r w:rsidRPr="002C4504">
        <w:rPr>
          <w:rFonts w:ascii="Times New Roman" w:eastAsia="Times New Roman" w:hAnsi="Times New Roman" w:cs="Times New Roman"/>
          <w:sz w:val="24"/>
          <w:szCs w:val="24"/>
        </w:rPr>
        <w:tab/>
      </w:r>
      <w:r w:rsidRPr="002C4504">
        <w:rPr>
          <w:rFonts w:ascii="Times New Roman" w:hAnsi="Times New Roman" w:cs="Times New Roman"/>
          <w:sz w:val="24"/>
          <w:szCs w:val="24"/>
        </w:rPr>
        <w:t xml:space="preserve">Tradicionalmente, nas sociedades ocidentais, o acesso aos arquivos era considerado um privilégio daqueles que detinham o poder e não um direito inerente à cidadania. Foi somente a partir da Revolução Francesa e da legislação referente a Declaração de Direitos do Homem e do Cidadão (1789), que passou a ser reconhecida a responsabilidade do Estado em relação ao acesso aos documentos públicos, ainda que o acesso fosse direcionado à pesquisa histórica, servindo mais aos historiadores e pesquisadores do que aos cidadãos comuns na defesa de seus direitos. </w:t>
      </w:r>
    </w:p>
    <w:p w14:paraId="7046D38B"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A regulamentação de diversas leis de acesso à informação a nível mundial articulada com o fenômeno que ficou conhecido como “revolução da informação” ou “revolução digital”, em curso desde a segunda metade do século XX, tem tornado o papel dos arquivos e arquivistas cada vez mais desafiador devido às diversas mudanças ocorridas na sociedade desde então. Com isso, o novo cenário político, social e cultural tem proporcionado impactos significativos em vários segmentos da pesquisa na Arquivologia e Ciência da Informação.</w:t>
      </w:r>
    </w:p>
    <w:p w14:paraId="682E6FB5"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Nessa perspectiva, o acesso aos arquivos passa representar uma nova dimensão social e política na qual deixou-se de lado o seu papel exclusivo como “sustentáculos do Estado” e “laboratórios da história” para assumirem a função de servir a sociedade. Além disso, a introdução da tecnologia da informação em todas as áreas da vida social impulsionou o campo arquivístico a adequar suas metodologias a essa nova realidade, o que tornou o acesso um processo mais dinâmico e menos burocrático no âmbito das instituições.  </w:t>
      </w:r>
    </w:p>
    <w:p w14:paraId="58806877"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Este artigo é um produto da pesquisa de doutorado defendida e aprovada em 2021 no âmbito da Ciência da Informação. Apresentamos aqui, de forma breve, um recorte em torno das principais discussões sobre o acesso à informação na perspectiva arquivística, a medida em que buscamos aproximar o direito de acesso inserido na abordagem social dos arquivos. Portanto, o objetivo deste trabalho é </w:t>
      </w:r>
      <w:r w:rsidRPr="002C4504">
        <w:rPr>
          <w:rFonts w:ascii="Times New Roman" w:hAnsi="Times New Roman" w:cs="Times New Roman"/>
          <w:bCs/>
          <w:sz w:val="24"/>
          <w:szCs w:val="24"/>
        </w:rPr>
        <w:t xml:space="preserve">refletir sobre o aspecto conceitual e epistemológico do acesso na </w:t>
      </w:r>
      <w:r w:rsidRPr="002C4504">
        <w:rPr>
          <w:rFonts w:ascii="Times New Roman" w:hAnsi="Times New Roman" w:cs="Times New Roman"/>
          <w:bCs/>
          <w:sz w:val="24"/>
          <w:szCs w:val="24"/>
        </w:rPr>
        <w:lastRenderedPageBreak/>
        <w:t xml:space="preserve">perspectiva da Arquivologia. O problema da pesquisa consiste, portanto, em investigar </w:t>
      </w:r>
      <w:r w:rsidRPr="002C4504">
        <w:rPr>
          <w:rFonts w:ascii="Times New Roman" w:hAnsi="Times New Roman" w:cs="Times New Roman"/>
          <w:sz w:val="24"/>
          <w:szCs w:val="24"/>
        </w:rPr>
        <w:t>se o acesso, enquanto conceito arquivístico, pode ser qualificado como um novo paradigma para a área ou como uma função social dos arquivos.</w:t>
      </w:r>
    </w:p>
    <w:p w14:paraId="513484C8"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A escolha pelo tema abordado justifica-se por oferecer um olhar inovador sobre o papel social dos arquivos mediante as abordagens teórico-conceituais acerca das dimensões sociais do acesso à informação na perspectiva da arquivística contemporânea, contribuindo para a produção de conhecimento. </w:t>
      </w:r>
    </w:p>
    <w:p w14:paraId="66D6C78B"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Para responder ao problema de pesquisa, adotamos como procedimentos metodológicos </w:t>
      </w:r>
      <w:r w:rsidRPr="002C4504">
        <w:rPr>
          <w:rFonts w:ascii="Times New Roman" w:hAnsi="Times New Roman" w:cs="Times New Roman"/>
          <w:bCs/>
          <w:sz w:val="24"/>
          <w:szCs w:val="24"/>
        </w:rPr>
        <w:t xml:space="preserve">a abordagem qualitativa baseada na análise hipotético-dedutiva que buscou investigar a hipótese de que </w:t>
      </w:r>
      <w:r w:rsidRPr="002C4504">
        <w:rPr>
          <w:rFonts w:ascii="Times New Roman" w:hAnsi="Times New Roman" w:cs="Times New Roman"/>
          <w:sz w:val="24"/>
          <w:szCs w:val="24"/>
        </w:rPr>
        <w:t xml:space="preserve">o acesso se configura no campo científico da Arquivologia como uma função social dos arquivos. O </w:t>
      </w:r>
      <w:r w:rsidRPr="002C4504">
        <w:rPr>
          <w:rFonts w:ascii="Times New Roman" w:hAnsi="Times New Roman" w:cs="Times New Roman"/>
          <w:bCs/>
          <w:sz w:val="24"/>
          <w:szCs w:val="24"/>
        </w:rPr>
        <w:t xml:space="preserve">caráter exploratório deste estudo tem como principal fonte para a coleta de dados a revisão bibliográfica direcionada às áreas de conhecimento relacionadas à </w:t>
      </w:r>
      <w:r w:rsidRPr="002C4504">
        <w:rPr>
          <w:rFonts w:ascii="Times New Roman" w:hAnsi="Times New Roman" w:cs="Times New Roman"/>
          <w:sz w:val="24"/>
          <w:szCs w:val="24"/>
        </w:rPr>
        <w:t xml:space="preserve">Ciência da Informação e Arquivologia, enfocando a pesquisa no âmbito da literatura arquivística internacional.   </w:t>
      </w:r>
    </w:p>
    <w:p w14:paraId="58B205FF" w14:textId="77777777" w:rsidR="00456A9B" w:rsidRPr="002C4504" w:rsidRDefault="00456A9B" w:rsidP="00456A9B">
      <w:pPr>
        <w:spacing w:after="0" w:line="360" w:lineRule="auto"/>
        <w:ind w:firstLine="708"/>
        <w:jc w:val="both"/>
        <w:rPr>
          <w:rFonts w:ascii="Times New Roman" w:hAnsi="Times New Roman" w:cs="Times New Roman"/>
          <w:bCs/>
          <w:sz w:val="24"/>
          <w:szCs w:val="24"/>
        </w:rPr>
      </w:pPr>
      <w:r w:rsidRPr="002C4504">
        <w:rPr>
          <w:rFonts w:ascii="Times New Roman" w:hAnsi="Times New Roman" w:cs="Times New Roman"/>
          <w:bCs/>
          <w:sz w:val="24"/>
          <w:szCs w:val="24"/>
        </w:rPr>
        <w:t xml:space="preserve">  Devido às limitações deste artigo, não pretendemos esgotar as abordagens teórico-metodológicas utilizadas durante a pesquisa de doutorado que o precedeu. Nas considerações finais, apresentamos uma síntese relativa às questões mais importantes tratadas no texto, bem como as principais inferências realizadas. </w:t>
      </w:r>
    </w:p>
    <w:p w14:paraId="409CF40F" w14:textId="77777777" w:rsidR="00456A9B" w:rsidRPr="002C4504" w:rsidRDefault="00456A9B" w:rsidP="00456A9B">
      <w:pPr>
        <w:spacing w:after="0" w:line="360" w:lineRule="auto"/>
        <w:ind w:firstLine="708"/>
        <w:jc w:val="both"/>
        <w:rPr>
          <w:rFonts w:ascii="Times New Roman" w:hAnsi="Times New Roman" w:cs="Times New Roman"/>
          <w:bCs/>
          <w:sz w:val="24"/>
          <w:szCs w:val="24"/>
        </w:rPr>
      </w:pPr>
      <w:r w:rsidRPr="002C4504">
        <w:rPr>
          <w:rFonts w:ascii="Times New Roman" w:hAnsi="Times New Roman" w:cs="Times New Roman"/>
          <w:bCs/>
          <w:sz w:val="24"/>
          <w:szCs w:val="24"/>
        </w:rPr>
        <w:t xml:space="preserve">A seguir, discorremos sobre algumas reflexões geradas no percurso da pesquisa sobre o aspecto conceitual e epistemológico do acesso no campo de estudo da Arquivologia nacional e internacional. </w:t>
      </w:r>
    </w:p>
    <w:p w14:paraId="604BB6EB" w14:textId="77777777" w:rsidR="00456A9B" w:rsidRPr="002C4504" w:rsidRDefault="00456A9B" w:rsidP="00456A9B">
      <w:pPr>
        <w:spacing w:after="0" w:line="360" w:lineRule="auto"/>
        <w:ind w:firstLine="708"/>
        <w:jc w:val="both"/>
        <w:rPr>
          <w:rFonts w:ascii="Times New Roman" w:hAnsi="Times New Roman" w:cs="Times New Roman"/>
          <w:bCs/>
          <w:sz w:val="24"/>
          <w:szCs w:val="24"/>
        </w:rPr>
      </w:pPr>
    </w:p>
    <w:p w14:paraId="53B53C8C" w14:textId="77777777" w:rsidR="00456A9B" w:rsidRPr="002C4504" w:rsidRDefault="00456A9B" w:rsidP="00456A9B">
      <w:pPr>
        <w:pStyle w:val="Default"/>
        <w:spacing w:line="360" w:lineRule="auto"/>
        <w:jc w:val="both"/>
        <w:rPr>
          <w:rFonts w:ascii="Times New Roman" w:hAnsi="Times New Roman" w:cs="Times New Roman"/>
          <w:b/>
          <w:bCs/>
          <w:color w:val="auto"/>
        </w:rPr>
      </w:pPr>
      <w:r w:rsidRPr="003B2064">
        <w:rPr>
          <w:rFonts w:ascii="Times New Roman" w:hAnsi="Times New Roman" w:cs="Times New Roman"/>
          <w:color w:val="auto"/>
        </w:rPr>
        <w:t>2</w:t>
      </w:r>
      <w:r w:rsidRPr="002C4504">
        <w:rPr>
          <w:rFonts w:ascii="Times New Roman" w:hAnsi="Times New Roman" w:cs="Times New Roman"/>
          <w:b/>
          <w:bCs/>
          <w:color w:val="auto"/>
        </w:rPr>
        <w:t xml:space="preserve"> O ACESSO COMO CAMPO DE PESQUISA NA ARQUIVOLOGIA</w:t>
      </w:r>
    </w:p>
    <w:p w14:paraId="6AE0A544" w14:textId="77777777" w:rsidR="00456A9B" w:rsidRPr="002C4504" w:rsidRDefault="00456A9B" w:rsidP="00456A9B">
      <w:pPr>
        <w:pStyle w:val="Default"/>
        <w:spacing w:line="360" w:lineRule="auto"/>
        <w:ind w:firstLine="708"/>
        <w:jc w:val="both"/>
        <w:rPr>
          <w:rFonts w:ascii="Times New Roman" w:hAnsi="Times New Roman" w:cs="Times New Roman"/>
          <w:color w:val="auto"/>
          <w:highlight w:val="yellow"/>
        </w:rPr>
      </w:pPr>
    </w:p>
    <w:p w14:paraId="47311CCF"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As atuais reflexões sobre o acesso no campo de pesquisa da Arquivologia, ainda que sejam tratadas como uma temática fundamental, foram durante anos negligenciadas pela área, tendo maior impulso a partir das discussões inseridas pela governança informacional e a aprovação de leis de acesso à informação no cenário político mundial.  </w:t>
      </w:r>
    </w:p>
    <w:p w14:paraId="422B1BD3"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Ainda pouco explorado sob o aspecto conceitual e epistemológico, o conceito de acesso na perspectiva arquivística está relacionado ao:   </w:t>
      </w:r>
    </w:p>
    <w:p w14:paraId="0AD73357" w14:textId="77777777" w:rsidR="00456A9B" w:rsidRPr="002C4504" w:rsidRDefault="00456A9B" w:rsidP="00456A9B">
      <w:pPr>
        <w:pStyle w:val="Default"/>
        <w:ind w:left="2268"/>
        <w:jc w:val="both"/>
        <w:rPr>
          <w:rFonts w:ascii="Times New Roman" w:hAnsi="Times New Roman" w:cs="Times New Roman"/>
          <w:color w:val="auto"/>
          <w:sz w:val="22"/>
          <w:szCs w:val="22"/>
        </w:rPr>
      </w:pPr>
    </w:p>
    <w:p w14:paraId="7CD9413B" w14:textId="2E95AFF3" w:rsidR="00456A9B" w:rsidRPr="003B2064" w:rsidRDefault="003B2064" w:rsidP="003B2064">
      <w:pPr>
        <w:pStyle w:val="Citao"/>
        <w:spacing w:before="0" w:after="0" w:line="240" w:lineRule="auto"/>
        <w:ind w:left="2268" w:right="0"/>
        <w:jc w:val="both"/>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w:t>
      </w:r>
      <w:r w:rsidR="00456A9B" w:rsidRPr="003B2064">
        <w:rPr>
          <w:rFonts w:ascii="Times New Roman" w:hAnsi="Times New Roman" w:cs="Times New Roman"/>
          <w:i w:val="0"/>
          <w:iCs w:val="0"/>
          <w:color w:val="auto"/>
          <w:sz w:val="20"/>
          <w:szCs w:val="20"/>
        </w:rPr>
        <w:t>...</w:t>
      </w:r>
      <w:r>
        <w:rPr>
          <w:rFonts w:ascii="Times New Roman" w:hAnsi="Times New Roman" w:cs="Times New Roman"/>
          <w:i w:val="0"/>
          <w:iCs w:val="0"/>
          <w:color w:val="auto"/>
          <w:sz w:val="20"/>
          <w:szCs w:val="20"/>
        </w:rPr>
        <w:t>]</w:t>
      </w:r>
      <w:r w:rsidR="00456A9B" w:rsidRPr="003B2064">
        <w:rPr>
          <w:rFonts w:ascii="Times New Roman" w:hAnsi="Times New Roman" w:cs="Times New Roman"/>
          <w:i w:val="0"/>
          <w:iCs w:val="0"/>
          <w:color w:val="auto"/>
          <w:sz w:val="20"/>
          <w:szCs w:val="20"/>
        </w:rPr>
        <w:t xml:space="preserve"> direito de acesso aos documentos produzidos e/ou acumulados pelo Estado em suas diversas instâncias, assim como aqueles produzidos por pessoas físicas, e as condições de acessibilidade, quais sejam: a faculdade de consultar documentos de arquivo de acordo com a legislação e a regulamentação em vigor e em função de seu </w:t>
      </w:r>
      <w:r w:rsidR="00456A9B" w:rsidRPr="003B2064">
        <w:rPr>
          <w:rFonts w:ascii="Times New Roman" w:hAnsi="Times New Roman" w:cs="Times New Roman"/>
          <w:i w:val="0"/>
          <w:iCs w:val="0"/>
          <w:color w:val="auto"/>
          <w:sz w:val="20"/>
          <w:szCs w:val="20"/>
        </w:rPr>
        <w:lastRenderedPageBreak/>
        <w:t>estado material de conservação e da existência de instrumentos de pesquisa. (H</w:t>
      </w:r>
      <w:r w:rsidRPr="003B2064">
        <w:rPr>
          <w:rFonts w:ascii="Times New Roman" w:hAnsi="Times New Roman" w:cs="Times New Roman"/>
          <w:i w:val="0"/>
          <w:iCs w:val="0"/>
          <w:color w:val="auto"/>
          <w:sz w:val="20"/>
          <w:szCs w:val="20"/>
        </w:rPr>
        <w:t>ott</w:t>
      </w:r>
      <w:r w:rsidR="00456A9B" w:rsidRPr="003B2064">
        <w:rPr>
          <w:rFonts w:ascii="Times New Roman" w:hAnsi="Times New Roman" w:cs="Times New Roman"/>
          <w:i w:val="0"/>
          <w:iCs w:val="0"/>
          <w:color w:val="auto"/>
          <w:sz w:val="20"/>
          <w:szCs w:val="20"/>
        </w:rPr>
        <w:t>; R</w:t>
      </w:r>
      <w:r w:rsidRPr="003B2064">
        <w:rPr>
          <w:rFonts w:ascii="Times New Roman" w:hAnsi="Times New Roman" w:cs="Times New Roman"/>
          <w:i w:val="0"/>
          <w:iCs w:val="0"/>
          <w:color w:val="auto"/>
          <w:sz w:val="20"/>
          <w:szCs w:val="20"/>
        </w:rPr>
        <w:t>odrigues</w:t>
      </w:r>
      <w:r w:rsidR="00456A9B" w:rsidRPr="003B2064">
        <w:rPr>
          <w:rFonts w:ascii="Times New Roman" w:hAnsi="Times New Roman" w:cs="Times New Roman"/>
          <w:i w:val="0"/>
          <w:iCs w:val="0"/>
          <w:color w:val="auto"/>
          <w:sz w:val="20"/>
          <w:szCs w:val="20"/>
        </w:rPr>
        <w:t>, 201</w:t>
      </w:r>
      <w:r w:rsidR="00C62081">
        <w:rPr>
          <w:rFonts w:ascii="Times New Roman" w:hAnsi="Times New Roman" w:cs="Times New Roman"/>
          <w:i w:val="0"/>
          <w:iCs w:val="0"/>
          <w:color w:val="auto"/>
          <w:sz w:val="20"/>
          <w:szCs w:val="20"/>
        </w:rPr>
        <w:t>9</w:t>
      </w:r>
      <w:r w:rsidR="00456A9B" w:rsidRPr="003B2064">
        <w:rPr>
          <w:rFonts w:ascii="Times New Roman" w:hAnsi="Times New Roman" w:cs="Times New Roman"/>
          <w:i w:val="0"/>
          <w:iCs w:val="0"/>
          <w:color w:val="auto"/>
          <w:sz w:val="20"/>
          <w:szCs w:val="20"/>
        </w:rPr>
        <w:t>, não paginado).</w:t>
      </w:r>
    </w:p>
    <w:p w14:paraId="35A87037" w14:textId="77777777" w:rsidR="00456A9B" w:rsidRPr="002C4504" w:rsidRDefault="00456A9B" w:rsidP="00456A9B">
      <w:pPr>
        <w:spacing w:after="0" w:line="360" w:lineRule="auto"/>
        <w:ind w:firstLine="708"/>
        <w:jc w:val="both"/>
        <w:rPr>
          <w:rFonts w:ascii="Times New Roman" w:hAnsi="Times New Roman" w:cs="Times New Roman"/>
          <w:strike/>
          <w:sz w:val="24"/>
          <w:szCs w:val="24"/>
        </w:rPr>
      </w:pPr>
    </w:p>
    <w:p w14:paraId="19E5CA85" w14:textId="7E3756AC"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De acordo com a </w:t>
      </w:r>
      <w:r w:rsidRPr="002C4504">
        <w:rPr>
          <w:rFonts w:ascii="Times New Roman" w:hAnsi="Times New Roman" w:cs="Times New Roman"/>
          <w:i/>
          <w:iCs/>
          <w:sz w:val="24"/>
          <w:szCs w:val="24"/>
        </w:rPr>
        <w:t>Encyclopedia of Archival Sciencethe,</w:t>
      </w:r>
      <w:r w:rsidRPr="002C4504">
        <w:rPr>
          <w:rFonts w:ascii="Times New Roman" w:hAnsi="Times New Roman" w:cs="Times New Roman"/>
          <w:sz w:val="24"/>
          <w:szCs w:val="24"/>
        </w:rPr>
        <w:t xml:space="preserve"> “o conceito de acesso concerne a um indivíduo que tem permissão ou privilégio para ver ou usar um </w:t>
      </w:r>
      <w:r w:rsidRPr="002C4504">
        <w:rPr>
          <w:rFonts w:ascii="Times New Roman" w:hAnsi="Times New Roman" w:cs="Times New Roman"/>
          <w:i/>
          <w:iCs/>
          <w:sz w:val="24"/>
          <w:szCs w:val="24"/>
        </w:rPr>
        <w:t xml:space="preserve">documento </w:t>
      </w:r>
      <w:r w:rsidRPr="002C4504">
        <w:rPr>
          <w:rFonts w:ascii="Times New Roman" w:hAnsi="Times New Roman" w:cs="Times New Roman"/>
          <w:sz w:val="24"/>
          <w:szCs w:val="24"/>
        </w:rPr>
        <w:t xml:space="preserve">ou conjunto de documentos” (ISO 15489-1:2001 </w:t>
      </w:r>
      <w:r w:rsidRPr="002C4504">
        <w:rPr>
          <w:rFonts w:ascii="Times New Roman" w:hAnsi="Times New Roman" w:cs="Times New Roman"/>
          <w:i/>
          <w:iCs/>
          <w:sz w:val="24"/>
          <w:szCs w:val="24"/>
        </w:rPr>
        <w:t>apud</w:t>
      </w:r>
      <w:r w:rsidRPr="002C4504">
        <w:rPr>
          <w:rFonts w:ascii="Times New Roman" w:hAnsi="Times New Roman" w:cs="Times New Roman"/>
          <w:sz w:val="24"/>
          <w:szCs w:val="24"/>
        </w:rPr>
        <w:t xml:space="preserve"> M</w:t>
      </w:r>
      <w:r w:rsidR="00727B7C" w:rsidRPr="002C4504">
        <w:rPr>
          <w:rFonts w:ascii="Times New Roman" w:hAnsi="Times New Roman" w:cs="Times New Roman"/>
          <w:sz w:val="24"/>
          <w:szCs w:val="24"/>
        </w:rPr>
        <w:t>c</w:t>
      </w:r>
      <w:r w:rsidRPr="002C4504">
        <w:rPr>
          <w:rFonts w:ascii="Times New Roman" w:hAnsi="Times New Roman" w:cs="Times New Roman"/>
          <w:sz w:val="24"/>
          <w:szCs w:val="24"/>
        </w:rPr>
        <w:t>L</w:t>
      </w:r>
      <w:r w:rsidR="00727B7C" w:rsidRPr="002C4504">
        <w:rPr>
          <w:rFonts w:ascii="Times New Roman" w:hAnsi="Times New Roman" w:cs="Times New Roman"/>
          <w:sz w:val="24"/>
          <w:szCs w:val="24"/>
        </w:rPr>
        <w:t>eod</w:t>
      </w:r>
      <w:r w:rsidRPr="002C4504">
        <w:rPr>
          <w:rFonts w:ascii="Times New Roman" w:hAnsi="Times New Roman" w:cs="Times New Roman"/>
          <w:sz w:val="24"/>
          <w:szCs w:val="24"/>
        </w:rPr>
        <w:t xml:space="preserve">, 2015, p.11, tradução nossa). </w:t>
      </w:r>
    </w:p>
    <w:p w14:paraId="1F97104F" w14:textId="227DF924" w:rsidR="00456A9B" w:rsidRPr="002C4504" w:rsidRDefault="00456A9B" w:rsidP="00456A9B">
      <w:pPr>
        <w:pStyle w:val="Default"/>
        <w:spacing w:line="360" w:lineRule="auto"/>
        <w:ind w:firstLine="708"/>
        <w:jc w:val="both"/>
        <w:rPr>
          <w:rFonts w:ascii="Times New Roman" w:hAnsi="Times New Roman" w:cs="Times New Roman"/>
        </w:rPr>
      </w:pPr>
      <w:r w:rsidRPr="002C4504">
        <w:rPr>
          <w:rFonts w:ascii="Times New Roman" w:hAnsi="Times New Roman" w:cs="Times New Roman"/>
          <w:color w:val="auto"/>
        </w:rPr>
        <w:t>Segundo o Dicionário Brasileiro de Terminologia Arquivística (2005, p. 15), o acesso apresenta um duplo aspecto conceitual: Por um lado significa a “possibilidade de consulta a documentos e informações” e, por outro lado, significa a “função arquivística destinada a tornar acessíveis os documentos e a promover sua utilização”. Observa-se na literatura da área, o acesso como uma função arquivística</w:t>
      </w:r>
      <w:r w:rsidRPr="002C4504">
        <w:rPr>
          <w:rStyle w:val="Refdenotaderodap"/>
          <w:rFonts w:ascii="Times New Roman" w:hAnsi="Times New Roman" w:cs="Times New Roman"/>
          <w:color w:val="auto"/>
        </w:rPr>
        <w:footnoteReference w:id="47"/>
      </w:r>
      <w:r w:rsidRPr="002C4504">
        <w:rPr>
          <w:rFonts w:ascii="Times New Roman" w:hAnsi="Times New Roman" w:cs="Times New Roman"/>
          <w:color w:val="auto"/>
        </w:rPr>
        <w:t xml:space="preserve"> geralmente relacionada à difusão, tendo em vista que a difusão é a divulgação do acervo e promoção da acessibilidade aos documentos, visando oferecer acesso ao usuário (</w:t>
      </w:r>
      <w:r w:rsidR="00727B7C" w:rsidRPr="002C4504">
        <w:rPr>
          <w:rFonts w:ascii="Times New Roman" w:hAnsi="Times New Roman" w:cs="Times New Roman"/>
          <w:color w:val="auto"/>
        </w:rPr>
        <w:t>Rousseau; Couture</w:t>
      </w:r>
      <w:r w:rsidRPr="002C4504">
        <w:rPr>
          <w:rFonts w:ascii="Times New Roman" w:hAnsi="Times New Roman" w:cs="Times New Roman"/>
          <w:color w:val="auto"/>
        </w:rPr>
        <w:t>, 1998).</w:t>
      </w:r>
    </w:p>
    <w:p w14:paraId="01595ED3" w14:textId="610D8232"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A autora australiana Julie McLeod (2015) ressalta que: “o escopo do acesso é mais do que apenas ‘obter coisas’, seja por meio de pesquisa ou divulgação proativa, mais do que </w:t>
      </w:r>
      <w:r w:rsidRPr="002C4504">
        <w:rPr>
          <w:rFonts w:ascii="Times New Roman" w:hAnsi="Times New Roman" w:cs="Times New Roman"/>
          <w:i/>
          <w:sz w:val="24"/>
          <w:szCs w:val="24"/>
        </w:rPr>
        <w:t>accountability</w:t>
      </w:r>
      <w:r w:rsidRPr="002C4504">
        <w:rPr>
          <w:rFonts w:ascii="Times New Roman" w:hAnsi="Times New Roman" w:cs="Times New Roman"/>
          <w:sz w:val="24"/>
          <w:szCs w:val="24"/>
        </w:rPr>
        <w:t xml:space="preserve"> e regulações de direito à informação. É dar suporte às atividades. </w:t>
      </w:r>
      <w:r w:rsidRPr="002C4504">
        <w:rPr>
          <w:rFonts w:ascii="Times New Roman" w:hAnsi="Times New Roman" w:cs="Times New Roman"/>
          <w:i/>
          <w:sz w:val="24"/>
          <w:szCs w:val="24"/>
        </w:rPr>
        <w:t>Accountability</w:t>
      </w:r>
      <w:r w:rsidRPr="002C4504">
        <w:rPr>
          <w:rFonts w:ascii="Times New Roman" w:hAnsi="Times New Roman" w:cs="Times New Roman"/>
          <w:sz w:val="24"/>
          <w:szCs w:val="24"/>
        </w:rPr>
        <w:t>, transparência e acesso amplo deveria ser um resultado natural” (M</w:t>
      </w:r>
      <w:r w:rsidR="00320F5F" w:rsidRPr="002C4504">
        <w:rPr>
          <w:rFonts w:ascii="Times New Roman" w:hAnsi="Times New Roman" w:cs="Times New Roman"/>
          <w:sz w:val="24"/>
          <w:szCs w:val="24"/>
        </w:rPr>
        <w:t>c</w:t>
      </w:r>
      <w:r w:rsidR="00320F5F">
        <w:rPr>
          <w:rFonts w:ascii="Times New Roman" w:hAnsi="Times New Roman" w:cs="Times New Roman"/>
          <w:sz w:val="24"/>
          <w:szCs w:val="24"/>
        </w:rPr>
        <w:t>L</w:t>
      </w:r>
      <w:r w:rsidR="00320F5F" w:rsidRPr="002C4504">
        <w:rPr>
          <w:rFonts w:ascii="Times New Roman" w:hAnsi="Times New Roman" w:cs="Times New Roman"/>
          <w:sz w:val="24"/>
          <w:szCs w:val="24"/>
        </w:rPr>
        <w:t>eod</w:t>
      </w:r>
      <w:r w:rsidRPr="002C4504">
        <w:rPr>
          <w:rFonts w:ascii="Times New Roman" w:hAnsi="Times New Roman" w:cs="Times New Roman"/>
          <w:sz w:val="24"/>
          <w:szCs w:val="24"/>
        </w:rPr>
        <w:t xml:space="preserve">, 2015, p.15, tradução nossa). </w:t>
      </w:r>
    </w:p>
    <w:p w14:paraId="5C977A00" w14:textId="77777777" w:rsidR="00456A9B" w:rsidRPr="002C4504" w:rsidRDefault="00456A9B" w:rsidP="00456A9B">
      <w:pPr>
        <w:spacing w:after="0" w:line="360" w:lineRule="auto"/>
        <w:ind w:firstLine="708"/>
        <w:jc w:val="both"/>
        <w:rPr>
          <w:rFonts w:ascii="Times New Roman" w:hAnsi="Times New Roman" w:cs="Times New Roman"/>
          <w:i/>
          <w:iCs/>
          <w:sz w:val="21"/>
          <w:szCs w:val="21"/>
          <w:shd w:val="clear" w:color="auto" w:fill="FFFFFF"/>
        </w:rPr>
      </w:pPr>
      <w:r w:rsidRPr="002C4504">
        <w:rPr>
          <w:rFonts w:ascii="Times New Roman" w:hAnsi="Times New Roman" w:cs="Times New Roman"/>
          <w:sz w:val="24"/>
          <w:szCs w:val="24"/>
        </w:rPr>
        <w:t xml:space="preserve">A perspectiva do acesso à informação contida nos arquivos como sendo um direito democrático para todo e qualquer cidadão surgiu na Europa e EUA a partir do século XX. O autor francês Michel Duchein (1983) destacou os principais eventos da área que introduziram a temática do direito à informação naquele período: a Conferência Internacional da Mesa Redonda de Arquivos ocorrida em Lisboa em 1959 com o tema “Acessibilidade aos arquivos em diferentes países” e o Congresso Internacional de Arquivos ocorrido em Washington em 1966 com o tema “a abertura dos arquivos para a pesquisa”. Além disso, destacaram-se as publicações do Conselho Internacional de Arquivos em parceria com a UNESCO com a denominação de RAMP – </w:t>
      </w:r>
      <w:r w:rsidRPr="002C4504">
        <w:rPr>
          <w:rFonts w:ascii="Times New Roman" w:hAnsi="Times New Roman" w:cs="Times New Roman"/>
          <w:i/>
          <w:iCs/>
          <w:sz w:val="24"/>
          <w:szCs w:val="24"/>
        </w:rPr>
        <w:t>Records and Archives Management Programme</w:t>
      </w:r>
      <w:r w:rsidRPr="002C4504">
        <w:rPr>
          <w:rFonts w:ascii="Times New Roman" w:hAnsi="Times New Roman" w:cs="Times New Roman"/>
          <w:sz w:val="24"/>
          <w:szCs w:val="24"/>
        </w:rPr>
        <w:t xml:space="preserve"> – que buscava, dentre outras questões, identificar os principais obstáculos à ampliação do acesso aos arquivos (DUCHIEN, 1983, p. 12).  </w:t>
      </w:r>
    </w:p>
    <w:p w14:paraId="3A30386E"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Duchein (1983) propôs em quatro itens suas recomendações para a efetivação do acesso aos arquivos: </w:t>
      </w:r>
    </w:p>
    <w:p w14:paraId="66F19E83" w14:textId="77777777" w:rsidR="00456A9B" w:rsidRPr="002C4504" w:rsidRDefault="00456A9B" w:rsidP="00456A9B">
      <w:pPr>
        <w:spacing w:after="0" w:line="240" w:lineRule="auto"/>
        <w:ind w:firstLine="708"/>
        <w:jc w:val="both"/>
        <w:rPr>
          <w:rFonts w:ascii="Times New Roman" w:hAnsi="Times New Roman" w:cs="Times New Roman"/>
          <w:sz w:val="24"/>
          <w:szCs w:val="24"/>
        </w:rPr>
      </w:pPr>
    </w:p>
    <w:p w14:paraId="5E5AFD87" w14:textId="64772E02" w:rsidR="00456A9B" w:rsidRPr="00920F26" w:rsidRDefault="00456A9B" w:rsidP="00456A9B">
      <w:pPr>
        <w:pStyle w:val="Default"/>
        <w:spacing w:before="120" w:after="120"/>
        <w:ind w:left="2268"/>
        <w:jc w:val="both"/>
        <w:rPr>
          <w:rFonts w:ascii="Times New Roman" w:hAnsi="Times New Roman" w:cs="Times New Roman"/>
          <w:color w:val="auto"/>
          <w:sz w:val="20"/>
          <w:szCs w:val="20"/>
        </w:rPr>
      </w:pPr>
      <w:r w:rsidRPr="00920F26">
        <w:rPr>
          <w:rFonts w:ascii="Times New Roman" w:hAnsi="Times New Roman" w:cs="Times New Roman"/>
          <w:color w:val="auto"/>
          <w:sz w:val="20"/>
          <w:szCs w:val="20"/>
        </w:rPr>
        <w:lastRenderedPageBreak/>
        <w:t>1) [a existência de] uma lei, ou ao menos um decreto, que estipule de maneira específica o direito de acesso aos arquivos públicos e os defina, de tal modo, que não deixe lugar, a dúvidas, a seu respeito; 2) [a expedição de] regulamentos oficiais e públicos que precisem quais são os documentos de livre comunicação, quais estão submetidos a restrições de comunicação e em que consistem os procedimentos para solicitar a autorização de consulta aos documentos que não tenham livre acesso; 3) os arquivos devem dispor, pelo menos, de locais para receber os pesquisadores e de pessoal competente a fim de que arquivos sejam acessíveis, isto é, a fim de classificá-los, inventariá-los e comunicá-los; 4) uma legislação que assegure um mínimo de garantias para acessar os arquivos privados que tenham interesse primordial para a história nacional (D</w:t>
      </w:r>
      <w:r w:rsidR="00920F26" w:rsidRPr="00920F26">
        <w:rPr>
          <w:rFonts w:ascii="Times New Roman" w:hAnsi="Times New Roman" w:cs="Times New Roman"/>
          <w:color w:val="auto"/>
          <w:sz w:val="20"/>
          <w:szCs w:val="20"/>
        </w:rPr>
        <w:t>uchein</w:t>
      </w:r>
      <w:r w:rsidRPr="00920F26">
        <w:rPr>
          <w:rFonts w:ascii="Times New Roman" w:hAnsi="Times New Roman" w:cs="Times New Roman"/>
          <w:color w:val="auto"/>
          <w:sz w:val="20"/>
          <w:szCs w:val="20"/>
        </w:rPr>
        <w:t>, 1983, p. 44, tradução nossa).</w:t>
      </w:r>
    </w:p>
    <w:p w14:paraId="63BCFA22" w14:textId="77777777" w:rsidR="00456A9B" w:rsidRPr="002C4504" w:rsidRDefault="00456A9B" w:rsidP="00456A9B">
      <w:pPr>
        <w:pStyle w:val="Default"/>
        <w:ind w:left="2268"/>
        <w:jc w:val="both"/>
        <w:rPr>
          <w:rFonts w:ascii="Times New Roman" w:hAnsi="Times New Roman" w:cs="Times New Roman"/>
          <w:color w:val="auto"/>
          <w:sz w:val="22"/>
          <w:szCs w:val="22"/>
        </w:rPr>
      </w:pPr>
    </w:p>
    <w:p w14:paraId="63D4DF3D" w14:textId="18CB9D64"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Já o teórico inglês Hugh Taylor (1984, p. 33, tradução nossa)</w:t>
      </w:r>
      <w:r w:rsidRPr="002C4504">
        <w:rPr>
          <w:rFonts w:ascii="Times New Roman" w:hAnsi="Times New Roman" w:cs="Times New Roman"/>
          <w:i/>
          <w:iCs/>
          <w:sz w:val="24"/>
          <w:szCs w:val="24"/>
        </w:rPr>
        <w:t>,</w:t>
      </w:r>
      <w:r w:rsidRPr="002C4504">
        <w:rPr>
          <w:rFonts w:ascii="Times New Roman" w:hAnsi="Times New Roman" w:cs="Times New Roman"/>
          <w:sz w:val="24"/>
          <w:szCs w:val="24"/>
        </w:rPr>
        <w:t xml:space="preserve"> considerou que o acesso necessita de três condições fundamentais, as quais formam um tripé, que são: 1) acesso físico (condições de preservação/conservação), 2) acesso intelectual (instrumentos de pesquisa) e 3) acesso legal (normas jurídicas), conforme apresentamos na </w:t>
      </w:r>
      <w:r w:rsidR="00920F26">
        <w:rPr>
          <w:rFonts w:ascii="Times New Roman" w:hAnsi="Times New Roman" w:cs="Times New Roman"/>
          <w:sz w:val="24"/>
          <w:szCs w:val="24"/>
        </w:rPr>
        <w:t>F</w:t>
      </w:r>
      <w:r w:rsidRPr="002C4504">
        <w:rPr>
          <w:rFonts w:ascii="Times New Roman" w:hAnsi="Times New Roman" w:cs="Times New Roman"/>
          <w:sz w:val="24"/>
          <w:szCs w:val="24"/>
        </w:rPr>
        <w:t xml:space="preserve">igura 1 abaixo. </w:t>
      </w:r>
    </w:p>
    <w:p w14:paraId="78850EC8" w14:textId="77777777"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p>
    <w:p w14:paraId="239516E1" w14:textId="5166B748" w:rsidR="00456A9B" w:rsidRPr="00604447" w:rsidRDefault="00456A9B" w:rsidP="00456A9B">
      <w:pPr>
        <w:autoSpaceDE w:val="0"/>
        <w:autoSpaceDN w:val="0"/>
        <w:adjustRightInd w:val="0"/>
        <w:spacing w:after="0" w:line="360" w:lineRule="auto"/>
        <w:ind w:firstLine="708"/>
        <w:jc w:val="center"/>
        <w:rPr>
          <w:rFonts w:ascii="Times New Roman" w:hAnsi="Times New Roman" w:cs="Times New Roman"/>
        </w:rPr>
      </w:pPr>
      <w:bookmarkStart w:id="59" w:name="_Hlk147400920"/>
      <w:r w:rsidRPr="002C4504">
        <w:rPr>
          <w:rFonts w:ascii="Times New Roman" w:hAnsi="Times New Roman" w:cs="Times New Roman"/>
          <w:b/>
          <w:bCs/>
        </w:rPr>
        <w:t>F</w:t>
      </w:r>
      <w:r w:rsidR="00C14F57" w:rsidRPr="002C4504">
        <w:rPr>
          <w:rFonts w:ascii="Times New Roman" w:hAnsi="Times New Roman" w:cs="Times New Roman"/>
          <w:b/>
          <w:bCs/>
        </w:rPr>
        <w:t>igura</w:t>
      </w:r>
      <w:r w:rsidRPr="002C4504">
        <w:rPr>
          <w:rFonts w:ascii="Times New Roman" w:hAnsi="Times New Roman" w:cs="Times New Roman"/>
          <w:b/>
          <w:bCs/>
        </w:rPr>
        <w:t xml:space="preserve"> 1</w:t>
      </w:r>
      <w:r w:rsidR="00920F26">
        <w:rPr>
          <w:rFonts w:ascii="Times New Roman" w:hAnsi="Times New Roman" w:cs="Times New Roman"/>
          <w:b/>
          <w:bCs/>
        </w:rPr>
        <w:t>:</w:t>
      </w:r>
      <w:r w:rsidRPr="002C4504">
        <w:rPr>
          <w:rFonts w:ascii="Times New Roman" w:hAnsi="Times New Roman" w:cs="Times New Roman"/>
          <w:b/>
          <w:bCs/>
        </w:rPr>
        <w:t xml:space="preserve"> </w:t>
      </w:r>
      <w:r w:rsidRPr="00604447">
        <w:rPr>
          <w:rFonts w:ascii="Times New Roman" w:hAnsi="Times New Roman" w:cs="Times New Roman"/>
        </w:rPr>
        <w:t>O acesso na perspectiva de Taylor (1984)</w:t>
      </w:r>
    </w:p>
    <w:p w14:paraId="299B71E8" w14:textId="77777777" w:rsidR="00456A9B" w:rsidRPr="002C4504" w:rsidRDefault="00456A9B" w:rsidP="00456A9B">
      <w:pPr>
        <w:autoSpaceDE w:val="0"/>
        <w:autoSpaceDN w:val="0"/>
        <w:adjustRightInd w:val="0"/>
        <w:spacing w:after="0" w:line="360" w:lineRule="auto"/>
        <w:ind w:firstLine="708"/>
        <w:jc w:val="center"/>
        <w:rPr>
          <w:rFonts w:ascii="Times New Roman" w:hAnsi="Times New Roman" w:cs="Times New Roman"/>
          <w:sz w:val="24"/>
          <w:szCs w:val="24"/>
        </w:rPr>
      </w:pPr>
      <w:r w:rsidRPr="002C4504">
        <w:rPr>
          <w:rFonts w:ascii="Times New Roman" w:hAnsi="Times New Roman" w:cs="Times New Roman"/>
          <w:noProof/>
        </w:rPr>
        <w:drawing>
          <wp:inline distT="0" distB="0" distL="0" distR="0" wp14:anchorId="4CE27D09" wp14:editId="27E39C09">
            <wp:extent cx="3371850" cy="1333500"/>
            <wp:effectExtent l="0" t="0" r="0" b="0"/>
            <wp:docPr id="3" name="Imagem 3" descr="Interface gráfica do usuário, Aplicativ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Aplicativo&#10;&#10;Descrição gerada automaticamente"/>
                    <pic:cNvPicPr>
                      <a:picLocks noChangeArrowheads="1"/>
                    </pic:cNvPicPr>
                  </pic:nvPicPr>
                  <pic:blipFill>
                    <a:blip r:embed="rId13" cstate="print">
                      <a:extLst>
                        <a:ext uri="{28A0092B-C50C-407E-A947-70E740481C1C}">
                          <a14:useLocalDpi xmlns:a14="http://schemas.microsoft.com/office/drawing/2010/main" val="0"/>
                        </a:ext>
                      </a:extLst>
                    </a:blip>
                    <a:srcRect t="-31015" b="-30949"/>
                    <a:stretch>
                      <a:fillRect/>
                    </a:stretch>
                  </pic:blipFill>
                  <pic:spPr bwMode="auto">
                    <a:xfrm>
                      <a:off x="0" y="0"/>
                      <a:ext cx="3371850" cy="1333500"/>
                    </a:xfrm>
                    <a:prstGeom prst="rect">
                      <a:avLst/>
                    </a:prstGeom>
                    <a:noFill/>
                    <a:ln>
                      <a:noFill/>
                    </a:ln>
                  </pic:spPr>
                </pic:pic>
              </a:graphicData>
            </a:graphic>
          </wp:inline>
        </w:drawing>
      </w:r>
    </w:p>
    <w:p w14:paraId="4B6DA5A6" w14:textId="77777777" w:rsidR="00456A9B" w:rsidRPr="00604447" w:rsidRDefault="00456A9B" w:rsidP="00456A9B">
      <w:pPr>
        <w:autoSpaceDE w:val="0"/>
        <w:autoSpaceDN w:val="0"/>
        <w:adjustRightInd w:val="0"/>
        <w:spacing w:after="0" w:line="240" w:lineRule="auto"/>
        <w:ind w:firstLine="708"/>
        <w:jc w:val="center"/>
        <w:rPr>
          <w:rFonts w:ascii="Times New Roman" w:hAnsi="Times New Roman" w:cs="Times New Roman"/>
          <w:sz w:val="20"/>
          <w:szCs w:val="20"/>
        </w:rPr>
      </w:pPr>
      <w:r w:rsidRPr="002C4504">
        <w:rPr>
          <w:rFonts w:ascii="Times New Roman" w:hAnsi="Times New Roman" w:cs="Times New Roman"/>
          <w:b/>
          <w:bCs/>
          <w:sz w:val="20"/>
          <w:szCs w:val="20"/>
        </w:rPr>
        <w:t xml:space="preserve">Fonte: </w:t>
      </w:r>
      <w:r w:rsidRPr="00604447">
        <w:rPr>
          <w:rFonts w:ascii="Times New Roman" w:hAnsi="Times New Roman" w:cs="Times New Roman"/>
          <w:sz w:val="20"/>
          <w:szCs w:val="20"/>
        </w:rPr>
        <w:t>Elaborado pela autora.</w:t>
      </w:r>
    </w:p>
    <w:bookmarkEnd w:id="59"/>
    <w:p w14:paraId="4878BF60" w14:textId="77777777"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p>
    <w:p w14:paraId="5B529932" w14:textId="779B458A"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Assim sendo, conforme visto na </w:t>
      </w:r>
      <w:r w:rsidR="00320F5F">
        <w:rPr>
          <w:rFonts w:ascii="Times New Roman" w:hAnsi="Times New Roman" w:cs="Times New Roman"/>
          <w:sz w:val="24"/>
          <w:szCs w:val="24"/>
        </w:rPr>
        <w:t>F</w:t>
      </w:r>
      <w:r w:rsidRPr="002C4504">
        <w:rPr>
          <w:rFonts w:ascii="Times New Roman" w:hAnsi="Times New Roman" w:cs="Times New Roman"/>
          <w:sz w:val="24"/>
          <w:szCs w:val="24"/>
        </w:rPr>
        <w:t xml:space="preserve">igura 1, o acesso físico diz respeito às condições de preservação e conservação do acervo ao passo que, para fornecer acesso, os arquivos devem estar em condições físicas adequadas para tal, o que pode ser favorecido por meio da disponibilização de serviços de reprodução ou digitalização de documentos para os usuários. Já o acesso intelectual se refere a necessidade de tornar o conteúdo dos arquivos inteligíveis para os usuários, por meio da elaboração de instrumentos de pesquisa e atividades de descrição, classificação, indexação de assuntos etc. que permitem orientar os usuários quanto ao conteúdo do acervo que se deseja ter acesso. Para este autor, o acesso legal diz respeito às normas jurídicas que definem se o documento pode ser de acesso público ou não. </w:t>
      </w:r>
    </w:p>
    <w:p w14:paraId="0ACBEC68" w14:textId="3694BDC2"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De modo semelhante, Julie McLeod (2015, p.12-13, tradução nossa) reflete sobre as dimensões do acesso à informação na perspectiva arquivística, relacionando em três pontos, que são:</w:t>
      </w:r>
      <w:r w:rsidRPr="002C4504">
        <w:rPr>
          <w:rFonts w:ascii="Times New Roman" w:hAnsi="Times New Roman" w:cs="Times New Roman"/>
          <w:i/>
          <w:iCs/>
          <w:sz w:val="24"/>
          <w:szCs w:val="24"/>
        </w:rPr>
        <w:t xml:space="preserve"> Availability </w:t>
      </w:r>
      <w:r w:rsidRPr="002C4504">
        <w:rPr>
          <w:rFonts w:ascii="Times New Roman" w:hAnsi="Times New Roman" w:cs="Times New Roman"/>
          <w:sz w:val="24"/>
          <w:szCs w:val="24"/>
        </w:rPr>
        <w:t xml:space="preserve">(disponibilidade), </w:t>
      </w:r>
      <w:r w:rsidRPr="002C4504">
        <w:rPr>
          <w:rFonts w:ascii="Times New Roman" w:hAnsi="Times New Roman" w:cs="Times New Roman"/>
          <w:i/>
          <w:iCs/>
          <w:sz w:val="24"/>
          <w:szCs w:val="24"/>
        </w:rPr>
        <w:t xml:space="preserve">Usability </w:t>
      </w:r>
      <w:r w:rsidRPr="002C4504">
        <w:rPr>
          <w:rFonts w:ascii="Times New Roman" w:hAnsi="Times New Roman" w:cs="Times New Roman"/>
          <w:sz w:val="24"/>
          <w:szCs w:val="24"/>
        </w:rPr>
        <w:t xml:space="preserve">(usabilidade) e </w:t>
      </w:r>
      <w:r w:rsidRPr="002C4504">
        <w:rPr>
          <w:rFonts w:ascii="Times New Roman" w:hAnsi="Times New Roman" w:cs="Times New Roman"/>
          <w:i/>
          <w:iCs/>
          <w:sz w:val="24"/>
          <w:szCs w:val="24"/>
        </w:rPr>
        <w:t>preservation</w:t>
      </w:r>
      <w:r w:rsidRPr="002C4504">
        <w:rPr>
          <w:rFonts w:ascii="Times New Roman" w:hAnsi="Times New Roman" w:cs="Times New Roman"/>
          <w:sz w:val="24"/>
          <w:szCs w:val="24"/>
        </w:rPr>
        <w:t xml:space="preserve"> (preservação), conforme a </w:t>
      </w:r>
      <w:r w:rsidR="00920F26">
        <w:rPr>
          <w:rFonts w:ascii="Times New Roman" w:hAnsi="Times New Roman" w:cs="Times New Roman"/>
          <w:sz w:val="24"/>
          <w:szCs w:val="24"/>
        </w:rPr>
        <w:t>F</w:t>
      </w:r>
      <w:r w:rsidRPr="002C4504">
        <w:rPr>
          <w:rFonts w:ascii="Times New Roman" w:hAnsi="Times New Roman" w:cs="Times New Roman"/>
          <w:sz w:val="24"/>
          <w:szCs w:val="24"/>
        </w:rPr>
        <w:t>igura 2 abaixo.</w:t>
      </w:r>
    </w:p>
    <w:p w14:paraId="4C391212" w14:textId="77777777" w:rsidR="00456A9B"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p>
    <w:p w14:paraId="44771089" w14:textId="2C91FA4C" w:rsidR="00456A9B" w:rsidRDefault="00C14F57" w:rsidP="00456A9B">
      <w:pPr>
        <w:autoSpaceDE w:val="0"/>
        <w:autoSpaceDN w:val="0"/>
        <w:adjustRightInd w:val="0"/>
        <w:spacing w:after="0" w:line="360" w:lineRule="auto"/>
        <w:ind w:firstLine="708"/>
        <w:jc w:val="center"/>
        <w:rPr>
          <w:rFonts w:ascii="Times New Roman" w:hAnsi="Times New Roman" w:cs="Times New Roman"/>
        </w:rPr>
      </w:pPr>
      <w:bookmarkStart w:id="60" w:name="_Hlk147400996"/>
      <w:r w:rsidRPr="002C4504">
        <w:rPr>
          <w:rFonts w:ascii="Times New Roman" w:hAnsi="Times New Roman" w:cs="Times New Roman"/>
          <w:b/>
          <w:bCs/>
        </w:rPr>
        <w:lastRenderedPageBreak/>
        <w:t>Figura</w:t>
      </w:r>
      <w:r w:rsidR="00456A9B" w:rsidRPr="002C4504">
        <w:rPr>
          <w:rFonts w:ascii="Times New Roman" w:hAnsi="Times New Roman" w:cs="Times New Roman"/>
          <w:b/>
          <w:bCs/>
        </w:rPr>
        <w:t xml:space="preserve"> 2</w:t>
      </w:r>
      <w:r w:rsidR="00920F26">
        <w:rPr>
          <w:rFonts w:ascii="Times New Roman" w:hAnsi="Times New Roman" w:cs="Times New Roman"/>
          <w:b/>
          <w:bCs/>
        </w:rPr>
        <w:t>:</w:t>
      </w:r>
      <w:r w:rsidR="00456A9B" w:rsidRPr="002C4504">
        <w:rPr>
          <w:rFonts w:ascii="Times New Roman" w:hAnsi="Times New Roman" w:cs="Times New Roman"/>
          <w:b/>
          <w:bCs/>
        </w:rPr>
        <w:t xml:space="preserve"> </w:t>
      </w:r>
      <w:r w:rsidR="00456A9B" w:rsidRPr="00604447">
        <w:rPr>
          <w:rFonts w:ascii="Times New Roman" w:hAnsi="Times New Roman" w:cs="Times New Roman"/>
        </w:rPr>
        <w:t>O acesso na perspectiva de McLeod (2015)</w:t>
      </w:r>
    </w:p>
    <w:p w14:paraId="3F49931D" w14:textId="77777777" w:rsidR="00920F26" w:rsidRPr="00604447" w:rsidRDefault="00920F26" w:rsidP="00456A9B">
      <w:pPr>
        <w:autoSpaceDE w:val="0"/>
        <w:autoSpaceDN w:val="0"/>
        <w:adjustRightInd w:val="0"/>
        <w:spacing w:after="0" w:line="360" w:lineRule="auto"/>
        <w:ind w:firstLine="708"/>
        <w:jc w:val="center"/>
        <w:rPr>
          <w:rFonts w:ascii="Times New Roman" w:hAnsi="Times New Roman" w:cs="Times New Roman"/>
        </w:rPr>
      </w:pPr>
    </w:p>
    <w:p w14:paraId="26C22300" w14:textId="77777777" w:rsidR="00456A9B" w:rsidRPr="002C4504" w:rsidRDefault="00456A9B" w:rsidP="00456A9B">
      <w:pPr>
        <w:autoSpaceDE w:val="0"/>
        <w:autoSpaceDN w:val="0"/>
        <w:adjustRightInd w:val="0"/>
        <w:spacing w:after="0" w:line="360" w:lineRule="auto"/>
        <w:ind w:firstLine="708"/>
        <w:jc w:val="center"/>
        <w:rPr>
          <w:rFonts w:ascii="Times New Roman" w:hAnsi="Times New Roman" w:cs="Times New Roman"/>
          <w:sz w:val="24"/>
          <w:szCs w:val="24"/>
        </w:rPr>
      </w:pPr>
      <w:r w:rsidRPr="002C4504">
        <w:rPr>
          <w:rFonts w:ascii="Times New Roman" w:hAnsi="Times New Roman" w:cs="Times New Roman"/>
          <w:noProof/>
          <w:sz w:val="24"/>
          <w:szCs w:val="24"/>
        </w:rPr>
        <w:drawing>
          <wp:inline distT="0" distB="0" distL="0" distR="0" wp14:anchorId="61E5CFF9" wp14:editId="486860F8">
            <wp:extent cx="4210050" cy="3171825"/>
            <wp:effectExtent l="0" t="0" r="0" b="0"/>
            <wp:docPr id="1" name="Diagrama 1">
              <a:extLst xmlns:a="http://schemas.openxmlformats.org/drawingml/2006/main">
                <a:ext uri="{FF2B5EF4-FFF2-40B4-BE49-F238E27FC236}">
                  <a16:creationId xmlns:a16="http://schemas.microsoft.com/office/drawing/2014/main" id="{7880319E-722A-4F41-B532-0A883DB2030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0C57891" w14:textId="77777777" w:rsidR="00456A9B" w:rsidRPr="00604447" w:rsidRDefault="00456A9B" w:rsidP="00456A9B">
      <w:pPr>
        <w:autoSpaceDE w:val="0"/>
        <w:autoSpaceDN w:val="0"/>
        <w:adjustRightInd w:val="0"/>
        <w:spacing w:after="0" w:line="360" w:lineRule="auto"/>
        <w:ind w:firstLine="708"/>
        <w:jc w:val="center"/>
        <w:rPr>
          <w:rFonts w:ascii="Times New Roman" w:hAnsi="Times New Roman" w:cs="Times New Roman"/>
          <w:sz w:val="20"/>
          <w:szCs w:val="20"/>
        </w:rPr>
      </w:pPr>
      <w:r w:rsidRPr="002C4504">
        <w:rPr>
          <w:rFonts w:ascii="Times New Roman" w:hAnsi="Times New Roman" w:cs="Times New Roman"/>
          <w:b/>
          <w:bCs/>
          <w:sz w:val="20"/>
          <w:szCs w:val="20"/>
        </w:rPr>
        <w:t xml:space="preserve">Fonte: </w:t>
      </w:r>
      <w:r w:rsidRPr="00604447">
        <w:rPr>
          <w:rFonts w:ascii="Times New Roman" w:hAnsi="Times New Roman" w:cs="Times New Roman"/>
          <w:sz w:val="20"/>
          <w:szCs w:val="20"/>
        </w:rPr>
        <w:t>Elaborado pela autora.</w:t>
      </w:r>
    </w:p>
    <w:bookmarkEnd w:id="60"/>
    <w:p w14:paraId="32AF03AE" w14:textId="77777777"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p>
    <w:p w14:paraId="7F2CFC1B" w14:textId="4D9A7B64"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Dessa forma, conforme apresentamos na </w:t>
      </w:r>
      <w:r w:rsidR="00920F26">
        <w:rPr>
          <w:rFonts w:ascii="Times New Roman" w:hAnsi="Times New Roman" w:cs="Times New Roman"/>
          <w:sz w:val="24"/>
          <w:szCs w:val="24"/>
        </w:rPr>
        <w:t>F</w:t>
      </w:r>
      <w:r w:rsidRPr="002C4504">
        <w:rPr>
          <w:rFonts w:ascii="Times New Roman" w:hAnsi="Times New Roman" w:cs="Times New Roman"/>
          <w:sz w:val="24"/>
          <w:szCs w:val="24"/>
        </w:rPr>
        <w:t xml:space="preserve">igura 2, a </w:t>
      </w:r>
      <w:r w:rsidRPr="002C4504">
        <w:rPr>
          <w:rFonts w:ascii="Times New Roman" w:hAnsi="Times New Roman" w:cs="Times New Roman"/>
          <w:i/>
          <w:iCs/>
          <w:sz w:val="24"/>
          <w:szCs w:val="24"/>
        </w:rPr>
        <w:t xml:space="preserve">Availability </w:t>
      </w:r>
      <w:r w:rsidRPr="002C4504">
        <w:rPr>
          <w:rFonts w:ascii="Times New Roman" w:hAnsi="Times New Roman" w:cs="Times New Roman"/>
          <w:sz w:val="24"/>
          <w:szCs w:val="24"/>
        </w:rPr>
        <w:t xml:space="preserve">(disponibilidade) consiste em identificar se a informação é detectável e recuperável, se possui metadados e instrumentos de pesquisa, se é divulgada de forma proativa, etc. Já a </w:t>
      </w:r>
      <w:r w:rsidRPr="002C4504">
        <w:rPr>
          <w:rFonts w:ascii="Times New Roman" w:hAnsi="Times New Roman" w:cs="Times New Roman"/>
          <w:i/>
          <w:iCs/>
          <w:sz w:val="24"/>
          <w:szCs w:val="24"/>
        </w:rPr>
        <w:t xml:space="preserve">Usability </w:t>
      </w:r>
      <w:r w:rsidRPr="002C4504">
        <w:rPr>
          <w:rFonts w:ascii="Times New Roman" w:hAnsi="Times New Roman" w:cs="Times New Roman"/>
          <w:sz w:val="24"/>
          <w:szCs w:val="24"/>
        </w:rPr>
        <w:t xml:space="preserve">(usabilidade) se refere à interpretação, compreensão e apresentação. Enquanto a </w:t>
      </w:r>
      <w:r w:rsidRPr="002C4504">
        <w:rPr>
          <w:rFonts w:ascii="Times New Roman" w:hAnsi="Times New Roman" w:cs="Times New Roman"/>
          <w:i/>
          <w:iCs/>
          <w:sz w:val="24"/>
          <w:szCs w:val="24"/>
        </w:rPr>
        <w:t>preservation</w:t>
      </w:r>
      <w:r w:rsidRPr="002C4504">
        <w:rPr>
          <w:rFonts w:ascii="Times New Roman" w:hAnsi="Times New Roman" w:cs="Times New Roman"/>
          <w:sz w:val="24"/>
          <w:szCs w:val="24"/>
        </w:rPr>
        <w:t xml:space="preserve"> (preservação), consiste não somente no cuidado com a preservação do documento a longo prazo como também na gestão de documentos para acesso rápido e continuado ao conteúdo informacional. Para a autora (M</w:t>
      </w:r>
      <w:r w:rsidR="00920F26" w:rsidRPr="002C4504">
        <w:rPr>
          <w:rFonts w:ascii="Times New Roman" w:hAnsi="Times New Roman" w:cs="Times New Roman"/>
          <w:sz w:val="24"/>
          <w:szCs w:val="24"/>
        </w:rPr>
        <w:t>c</w:t>
      </w:r>
      <w:r w:rsidR="00920F26">
        <w:rPr>
          <w:rFonts w:ascii="Times New Roman" w:hAnsi="Times New Roman" w:cs="Times New Roman"/>
          <w:sz w:val="24"/>
          <w:szCs w:val="24"/>
        </w:rPr>
        <w:t>L</w:t>
      </w:r>
      <w:r w:rsidR="00920F26" w:rsidRPr="002C4504">
        <w:rPr>
          <w:rFonts w:ascii="Times New Roman" w:hAnsi="Times New Roman" w:cs="Times New Roman"/>
          <w:sz w:val="24"/>
          <w:szCs w:val="24"/>
        </w:rPr>
        <w:t>eod</w:t>
      </w:r>
      <w:r w:rsidRPr="002C4504">
        <w:rPr>
          <w:rFonts w:ascii="Times New Roman" w:hAnsi="Times New Roman" w:cs="Times New Roman"/>
          <w:sz w:val="24"/>
          <w:szCs w:val="24"/>
        </w:rPr>
        <w:t xml:space="preserve">, 2015, p. 23) é importante buscar o equilíbrio entre estes três pontos fundamentais para que o acesso possa ocorrer efetivamente. </w:t>
      </w:r>
    </w:p>
    <w:p w14:paraId="7BD0919A" w14:textId="54F10118" w:rsidR="00456A9B" w:rsidRPr="002C4504" w:rsidRDefault="00456A9B" w:rsidP="00456A9B">
      <w:pPr>
        <w:autoSpaceDE w:val="0"/>
        <w:autoSpaceDN w:val="0"/>
        <w:adjustRightInd w:val="0"/>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No contexto brasileiro, o direito de acesso recebeu uma nova pauta de discussões a partir da aprovação da lei nº 12.527, de 18 de novembro de 2011</w:t>
      </w:r>
      <w:r w:rsidRPr="002C4504">
        <w:rPr>
          <w:rStyle w:val="Refdenotaderodap"/>
          <w:rFonts w:ascii="Times New Roman" w:hAnsi="Times New Roman" w:cs="Times New Roman"/>
          <w:sz w:val="24"/>
          <w:szCs w:val="24"/>
        </w:rPr>
        <w:footnoteReference w:id="48"/>
      </w:r>
      <w:r w:rsidRPr="002C4504">
        <w:rPr>
          <w:rFonts w:ascii="Times New Roman" w:hAnsi="Times New Roman" w:cs="Times New Roman"/>
          <w:sz w:val="24"/>
          <w:szCs w:val="24"/>
        </w:rPr>
        <w:t>, conhecida como Lei de Acesso à Informação (LAI), a qual determinou que “É dever do Estado garantir o direito de acesso à informação, que será franqueada, mediante procedimentos objetivos e ágeis, de forma transparente, clara e em linguagem de fácil compreensão” (B</w:t>
      </w:r>
      <w:r w:rsidR="00920F26" w:rsidRPr="002C4504">
        <w:rPr>
          <w:rFonts w:ascii="Times New Roman" w:hAnsi="Times New Roman" w:cs="Times New Roman"/>
          <w:sz w:val="24"/>
          <w:szCs w:val="24"/>
        </w:rPr>
        <w:t>rasil</w:t>
      </w:r>
      <w:r w:rsidRPr="002C4504">
        <w:rPr>
          <w:rFonts w:ascii="Times New Roman" w:hAnsi="Times New Roman" w:cs="Times New Roman"/>
          <w:sz w:val="24"/>
          <w:szCs w:val="24"/>
        </w:rPr>
        <w:t xml:space="preserve">, 2011). </w:t>
      </w:r>
    </w:p>
    <w:p w14:paraId="0B6EB7DC" w14:textId="77777777" w:rsidR="00456A9B" w:rsidRPr="002C4504" w:rsidRDefault="00456A9B" w:rsidP="00456A9B">
      <w:pPr>
        <w:pStyle w:val="Default"/>
        <w:spacing w:line="360" w:lineRule="auto"/>
        <w:ind w:firstLine="708"/>
        <w:jc w:val="both"/>
        <w:rPr>
          <w:rFonts w:ascii="Times New Roman" w:hAnsi="Times New Roman" w:cs="Times New Roman"/>
        </w:rPr>
      </w:pPr>
      <w:r w:rsidRPr="002C4504">
        <w:rPr>
          <w:rFonts w:ascii="Times New Roman" w:hAnsi="Times New Roman" w:cs="Times New Roman"/>
        </w:rPr>
        <w:lastRenderedPageBreak/>
        <w:t xml:space="preserve">A implementação da LAI no Brasil representou, sobretudo, uma ruptura com a tradição histórica que marcava a cultura do sigilo nas práticas administrativas, principalmente pelo passado histórico recente do país marcado por 21 anos de ditadura militar </w:t>
      </w:r>
      <w:r w:rsidRPr="002C4504">
        <w:rPr>
          <w:rStyle w:val="Refdenotaderodap"/>
          <w:rFonts w:ascii="Times New Roman" w:hAnsi="Times New Roman" w:cs="Times New Roman"/>
          <w:color w:val="auto"/>
        </w:rPr>
        <w:footnoteReference w:id="49"/>
      </w:r>
      <w:r w:rsidRPr="002C4504">
        <w:rPr>
          <w:rFonts w:ascii="Times New Roman" w:hAnsi="Times New Roman" w:cs="Times New Roman"/>
        </w:rPr>
        <w:t xml:space="preserve"> (1964-1985) onde prevalecia o sigilo como regra e o acesso como exceção. </w:t>
      </w:r>
    </w:p>
    <w:p w14:paraId="31903097" w14:textId="5C94E4AA" w:rsidR="00456A9B" w:rsidRPr="002C4504" w:rsidRDefault="00456A9B" w:rsidP="00456A9B">
      <w:pPr>
        <w:pStyle w:val="Default"/>
        <w:spacing w:line="360" w:lineRule="auto"/>
        <w:ind w:firstLine="708"/>
        <w:jc w:val="both"/>
        <w:rPr>
          <w:rFonts w:ascii="Times New Roman" w:hAnsi="Times New Roman" w:cs="Times New Roman"/>
          <w:color w:val="auto"/>
          <w:sz w:val="22"/>
          <w:szCs w:val="22"/>
        </w:rPr>
      </w:pPr>
      <w:r w:rsidRPr="002C4504">
        <w:rPr>
          <w:rFonts w:ascii="Times New Roman" w:hAnsi="Times New Roman" w:cs="Times New Roman"/>
          <w:color w:val="auto"/>
        </w:rPr>
        <w:t>A LAI exigiu uma postura mais proativa da Administração Pública, destacando a adoção da ‘transparência ativa’ a qual passou a considerar como obrigação das instituições públicas a “divulgação de informações independente de solicitação” (B</w:t>
      </w:r>
      <w:r w:rsidR="00920F26" w:rsidRPr="002C4504">
        <w:rPr>
          <w:rFonts w:ascii="Times New Roman" w:hAnsi="Times New Roman" w:cs="Times New Roman"/>
          <w:color w:val="auto"/>
        </w:rPr>
        <w:t>rasil</w:t>
      </w:r>
      <w:r w:rsidRPr="002C4504">
        <w:rPr>
          <w:rFonts w:ascii="Times New Roman" w:hAnsi="Times New Roman" w:cs="Times New Roman"/>
          <w:color w:val="auto"/>
        </w:rPr>
        <w:t xml:space="preserve">, 2011). </w:t>
      </w:r>
      <w:bookmarkStart w:id="61" w:name="_Hlk73871884"/>
      <w:r w:rsidRPr="002C4504">
        <w:rPr>
          <w:rFonts w:ascii="Times New Roman" w:hAnsi="Times New Roman" w:cs="Times New Roman"/>
          <w:color w:val="auto"/>
        </w:rPr>
        <w:t xml:space="preserve">Com isso, a divulgação de informações passou a não se restringir mais aos documentos de valor histórico, vindo a englobar todos os aspectos do ciclo de vida documental. </w:t>
      </w:r>
      <w:r w:rsidRPr="002C4504">
        <w:rPr>
          <w:rFonts w:ascii="Times New Roman" w:hAnsi="Times New Roman" w:cs="Times New Roman"/>
          <w:color w:val="auto"/>
          <w:sz w:val="22"/>
          <w:szCs w:val="22"/>
        </w:rPr>
        <w:t xml:space="preserve"> </w:t>
      </w:r>
    </w:p>
    <w:p w14:paraId="03A4D724" w14:textId="6FCD498F" w:rsidR="00456A9B" w:rsidRPr="002C4504" w:rsidRDefault="00456A9B" w:rsidP="00456A9B">
      <w:pPr>
        <w:autoSpaceDE w:val="0"/>
        <w:autoSpaceDN w:val="0"/>
        <w:adjustRightInd w:val="0"/>
        <w:spacing w:after="0" w:line="360" w:lineRule="auto"/>
        <w:ind w:firstLine="720"/>
        <w:jc w:val="both"/>
        <w:rPr>
          <w:rFonts w:ascii="Times New Roman" w:hAnsi="Times New Roman" w:cs="Times New Roman"/>
          <w:sz w:val="24"/>
          <w:szCs w:val="24"/>
        </w:rPr>
      </w:pPr>
      <w:r w:rsidRPr="002C4504">
        <w:rPr>
          <w:rFonts w:ascii="Times New Roman" w:hAnsi="Times New Roman" w:cs="Times New Roman"/>
          <w:sz w:val="24"/>
          <w:szCs w:val="24"/>
        </w:rPr>
        <w:t>Nessa perspectiva, a LAI estabeleceu uma ruptura também com relação ao papel dos arquivistas, na qual “a linha divisória que existia entre o acesso prioritariamente facultado ao produtor (nas fases corrente e intermediária) e ao usuário externo (na fase permanente) se rompe” (O</w:t>
      </w:r>
      <w:r w:rsidR="00920F26" w:rsidRPr="002C4504">
        <w:rPr>
          <w:rFonts w:ascii="Times New Roman" w:hAnsi="Times New Roman" w:cs="Times New Roman"/>
          <w:sz w:val="24"/>
          <w:szCs w:val="24"/>
        </w:rPr>
        <w:t>liveira</w:t>
      </w:r>
      <w:r w:rsidRPr="002C4504">
        <w:rPr>
          <w:rFonts w:ascii="Times New Roman" w:hAnsi="Times New Roman" w:cs="Times New Roman"/>
          <w:sz w:val="24"/>
          <w:szCs w:val="24"/>
        </w:rPr>
        <w:t xml:space="preserve">, 2014, p. 26). Essa ruptura impõe mudanças tanto na administração pública em se adequar ao que determina a legislação, quanto aos arquivistas que passam a incorporar uma nova significação para o acesso no âmbito de sua atuação profissional. </w:t>
      </w:r>
    </w:p>
    <w:p w14:paraId="65DE4217" w14:textId="77777777" w:rsidR="00456A9B" w:rsidRPr="002C4504" w:rsidRDefault="00456A9B" w:rsidP="00456A9B">
      <w:pPr>
        <w:autoSpaceDE w:val="0"/>
        <w:autoSpaceDN w:val="0"/>
        <w:adjustRightInd w:val="0"/>
        <w:spacing w:after="0" w:line="360" w:lineRule="auto"/>
        <w:ind w:firstLine="720"/>
        <w:jc w:val="both"/>
        <w:rPr>
          <w:rFonts w:ascii="Times New Roman" w:hAnsi="Times New Roman" w:cs="Times New Roman"/>
          <w:sz w:val="24"/>
          <w:szCs w:val="24"/>
        </w:rPr>
      </w:pPr>
      <w:r w:rsidRPr="002C4504">
        <w:rPr>
          <w:rFonts w:ascii="Times New Roman" w:hAnsi="Times New Roman" w:cs="Times New Roman"/>
          <w:sz w:val="24"/>
          <w:szCs w:val="24"/>
        </w:rPr>
        <w:t xml:space="preserve">A seguir apresentamos algumas abordagens que consideram o acesso como um novo paradigma para a Arquivologia, a partir das rupturas observadas no campo científico da área, refletindo sobre essas mudanças e seus impactos sobre o papel dos arquivos e dos arquivistas para a sociedade.   </w:t>
      </w:r>
    </w:p>
    <w:bookmarkEnd w:id="61"/>
    <w:p w14:paraId="1A9A472C" w14:textId="77777777" w:rsidR="00456A9B" w:rsidRPr="002C4504" w:rsidRDefault="00456A9B" w:rsidP="00456A9B">
      <w:pPr>
        <w:spacing w:after="0" w:line="360" w:lineRule="auto"/>
        <w:jc w:val="both"/>
        <w:rPr>
          <w:rFonts w:ascii="Times New Roman" w:hAnsi="Times New Roman" w:cs="Times New Roman"/>
          <w:b/>
          <w:bCs/>
          <w:sz w:val="24"/>
          <w:szCs w:val="24"/>
          <w:highlight w:val="green"/>
        </w:rPr>
      </w:pPr>
    </w:p>
    <w:p w14:paraId="2BA91C28" w14:textId="77777777" w:rsidR="00456A9B" w:rsidRPr="002C4504" w:rsidRDefault="00456A9B" w:rsidP="00456A9B">
      <w:pPr>
        <w:spacing w:after="0" w:line="360" w:lineRule="auto"/>
        <w:jc w:val="both"/>
        <w:rPr>
          <w:rFonts w:ascii="Times New Roman" w:hAnsi="Times New Roman" w:cs="Times New Roman"/>
          <w:sz w:val="24"/>
          <w:szCs w:val="24"/>
        </w:rPr>
      </w:pPr>
      <w:r w:rsidRPr="00920F26">
        <w:rPr>
          <w:rFonts w:ascii="Times New Roman" w:hAnsi="Times New Roman" w:cs="Times New Roman"/>
          <w:sz w:val="24"/>
          <w:szCs w:val="24"/>
        </w:rPr>
        <w:t>4</w:t>
      </w:r>
      <w:r w:rsidRPr="002C4504">
        <w:rPr>
          <w:rFonts w:ascii="Times New Roman" w:hAnsi="Times New Roman" w:cs="Times New Roman"/>
          <w:b/>
          <w:bCs/>
          <w:sz w:val="24"/>
          <w:szCs w:val="24"/>
        </w:rPr>
        <w:t xml:space="preserve"> O ACESSO NA PERSPECTIVA ARQUIVÍSTICA: PARADIGMA OU FUNÇÃO SOCIAL?</w:t>
      </w:r>
    </w:p>
    <w:p w14:paraId="11A9F4B7"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p>
    <w:p w14:paraId="401DBD37" w14:textId="7FC2D1C0"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As discussões atuais em torno do acesso têm motivado muitos estudos e reflexões na literatura arquivística. A autora australiana Barbara Reed (2014) considera que o acesso foi um campo de estudos negligenciado pela Arquivologia durante muito tempo e o impulso atual em direção à governança informacional tem contribuído para “recuperar o nosso lugar à mesa e ajudar as organizações a </w:t>
      </w:r>
      <w:r w:rsidR="00920F26" w:rsidRPr="002C4504">
        <w:rPr>
          <w:rFonts w:ascii="Times New Roman" w:hAnsi="Times New Roman" w:cs="Times New Roman"/>
          <w:color w:val="auto"/>
        </w:rPr>
        <w:t>lidarem</w:t>
      </w:r>
      <w:r w:rsidRPr="002C4504">
        <w:rPr>
          <w:rFonts w:ascii="Times New Roman" w:hAnsi="Times New Roman" w:cs="Times New Roman"/>
          <w:color w:val="auto"/>
        </w:rPr>
        <w:t xml:space="preserve"> com a complexidade da regulamentação e exigências do acesso público” (R</w:t>
      </w:r>
      <w:r w:rsidR="00920F26" w:rsidRPr="002C4504">
        <w:rPr>
          <w:rFonts w:ascii="Times New Roman" w:hAnsi="Times New Roman" w:cs="Times New Roman"/>
          <w:color w:val="auto"/>
        </w:rPr>
        <w:t>eed</w:t>
      </w:r>
      <w:r w:rsidRPr="002C4504">
        <w:rPr>
          <w:rFonts w:ascii="Times New Roman" w:hAnsi="Times New Roman" w:cs="Times New Roman"/>
          <w:color w:val="auto"/>
        </w:rPr>
        <w:t xml:space="preserve">, 2014, p. 131, tradução nossa). Para essa autora, os profissionais </w:t>
      </w:r>
      <w:r w:rsidRPr="002C4504">
        <w:rPr>
          <w:rFonts w:ascii="Times New Roman" w:hAnsi="Times New Roman" w:cs="Times New Roman"/>
          <w:color w:val="auto"/>
        </w:rPr>
        <w:lastRenderedPageBreak/>
        <w:t xml:space="preserve">arquivistas devem aproveitar esta oportunidade para repensar seu lugar nos regimes de acesso à informação em direção aos direitos do indivíduo e não apenas os da instituição. </w:t>
      </w:r>
    </w:p>
    <w:p w14:paraId="4FF0AB50" w14:textId="77777777" w:rsidR="00456A9B" w:rsidRDefault="00456A9B" w:rsidP="007D17D0">
      <w:pPr>
        <w:pStyle w:val="Default"/>
        <w:spacing w:line="360" w:lineRule="auto"/>
        <w:ind w:firstLine="709"/>
        <w:jc w:val="both"/>
        <w:rPr>
          <w:rFonts w:ascii="Times New Roman" w:hAnsi="Times New Roman" w:cs="Times New Roman"/>
          <w:color w:val="auto"/>
        </w:rPr>
      </w:pPr>
      <w:r w:rsidRPr="002C4504">
        <w:rPr>
          <w:rFonts w:ascii="Times New Roman" w:hAnsi="Times New Roman" w:cs="Times New Roman"/>
          <w:color w:val="auto"/>
        </w:rPr>
        <w:t>Já a autora alemã Angelika Menne-Haritz, considera que as reflexões atuais em torno do acesso aos arquivos formam um novo paradigma para a Arquivologia.</w:t>
      </w:r>
    </w:p>
    <w:p w14:paraId="0F741B03" w14:textId="77777777" w:rsidR="007D17D0" w:rsidRPr="002C4504" w:rsidRDefault="007D17D0" w:rsidP="007D17D0">
      <w:pPr>
        <w:pStyle w:val="Default"/>
        <w:spacing w:line="360" w:lineRule="auto"/>
        <w:ind w:firstLine="709"/>
        <w:jc w:val="both"/>
        <w:rPr>
          <w:rFonts w:ascii="Times New Roman" w:hAnsi="Times New Roman" w:cs="Times New Roman"/>
          <w:color w:val="auto"/>
        </w:rPr>
      </w:pPr>
    </w:p>
    <w:p w14:paraId="5EE90F13" w14:textId="5CB7B65F" w:rsidR="00456A9B" w:rsidRPr="007D17D0" w:rsidRDefault="00456A9B" w:rsidP="007D17D0">
      <w:pPr>
        <w:pStyle w:val="Citao"/>
        <w:spacing w:before="0" w:after="0" w:line="240" w:lineRule="auto"/>
        <w:ind w:left="2268" w:right="0"/>
        <w:jc w:val="both"/>
        <w:rPr>
          <w:rFonts w:ascii="Times New Roman" w:hAnsi="Times New Roman" w:cs="Times New Roman"/>
          <w:i w:val="0"/>
          <w:iCs w:val="0"/>
          <w:color w:val="auto"/>
          <w:sz w:val="20"/>
          <w:szCs w:val="20"/>
        </w:rPr>
      </w:pPr>
      <w:r w:rsidRPr="007D17D0">
        <w:rPr>
          <w:rFonts w:ascii="Times New Roman" w:hAnsi="Times New Roman" w:cs="Times New Roman"/>
          <w:i w:val="0"/>
          <w:iCs w:val="0"/>
          <w:color w:val="auto"/>
          <w:sz w:val="20"/>
          <w:szCs w:val="20"/>
        </w:rPr>
        <w:t>O acesso é entendido como a chave que permite aos arquivos adquirir um perfil como instituições profissionais competentes orientadas para a gestão de serviços. Ele muda fundamentalmente a visão do pensamento arquivístico e apoia a mudança da diferença entre passado e futuro para a nova diferença de restrito ou disponível que enraíza a profissão arquivística definitivamente no presente (</w:t>
      </w:r>
      <w:r w:rsidR="007D17D0" w:rsidRPr="007D17D0">
        <w:rPr>
          <w:rFonts w:ascii="Times New Roman" w:hAnsi="Times New Roman" w:cs="Times New Roman"/>
          <w:i w:val="0"/>
          <w:iCs w:val="0"/>
          <w:color w:val="auto"/>
          <w:sz w:val="20"/>
          <w:szCs w:val="20"/>
        </w:rPr>
        <w:t>Menne-Haritz</w:t>
      </w:r>
      <w:r w:rsidRPr="007D17D0">
        <w:rPr>
          <w:rFonts w:ascii="Times New Roman" w:hAnsi="Times New Roman" w:cs="Times New Roman"/>
          <w:i w:val="0"/>
          <w:iCs w:val="0"/>
          <w:color w:val="auto"/>
          <w:sz w:val="20"/>
          <w:szCs w:val="20"/>
        </w:rPr>
        <w:t>, 2001, p. 59, tradução nossa).</w:t>
      </w:r>
    </w:p>
    <w:p w14:paraId="2DF44523" w14:textId="77777777" w:rsidR="00456A9B" w:rsidRPr="002C4504" w:rsidRDefault="00456A9B" w:rsidP="00456A9B">
      <w:pPr>
        <w:rPr>
          <w:rFonts w:ascii="Times New Roman" w:hAnsi="Times New Roman" w:cs="Times New Roman"/>
        </w:rPr>
      </w:pPr>
    </w:p>
    <w:p w14:paraId="0F0D2583" w14:textId="6049292E"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Para Menne-Haritz, o acesso deve ser neutro, de modo que os próprios usuários sejam responsáveis pela busca e pela interpretação de seu conteúdo, e o papel do arquivista centra-se em disponibilizar o material e oferecer a infraestrutura que facilita o seu manuseio. Desse modo, define o paradigma do acesso como: “a responsabilidade autônoma dos pesquisadores pelos conteúdos que eles encontram nos registros, e uma gama completa de instrumentos ajudando-os a chegar às fontes de que precisam e avaliar sua relevância” (</w:t>
      </w:r>
      <w:r w:rsidR="007D17D0" w:rsidRPr="002C4504">
        <w:rPr>
          <w:rFonts w:ascii="Times New Roman" w:hAnsi="Times New Roman" w:cs="Times New Roman"/>
          <w:color w:val="auto"/>
        </w:rPr>
        <w:t>Menne-Haritz</w:t>
      </w:r>
      <w:r w:rsidRPr="002C4504">
        <w:rPr>
          <w:rFonts w:ascii="Times New Roman" w:hAnsi="Times New Roman" w:cs="Times New Roman"/>
          <w:color w:val="auto"/>
        </w:rPr>
        <w:t xml:space="preserve">, 2001, p. 61). </w:t>
      </w:r>
    </w:p>
    <w:p w14:paraId="0664C53F" w14:textId="4E6D202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Para a autora, o paradigma do acesso reforçaria os desafios teóricos da área, bem como a implementação pragmática de métodos e ideias de arquivo que podem aproximar teoria e prática em prol da melhoria dos serviços arquivísticos, como promover estudo de usuários e a transparência informacional de forma efetiva</w:t>
      </w:r>
      <w:r w:rsidR="007D17D0">
        <w:rPr>
          <w:rFonts w:ascii="Times New Roman" w:hAnsi="Times New Roman" w:cs="Times New Roman"/>
          <w:color w:val="auto"/>
        </w:rPr>
        <w:t xml:space="preserve"> </w:t>
      </w:r>
      <w:r w:rsidRPr="002C4504">
        <w:rPr>
          <w:rFonts w:ascii="Times New Roman" w:hAnsi="Times New Roman" w:cs="Times New Roman"/>
          <w:color w:val="auto"/>
        </w:rPr>
        <w:t>(</w:t>
      </w:r>
      <w:r w:rsidR="007D17D0" w:rsidRPr="002C4504">
        <w:rPr>
          <w:rFonts w:ascii="Times New Roman" w:hAnsi="Times New Roman" w:cs="Times New Roman"/>
          <w:color w:val="auto"/>
        </w:rPr>
        <w:t>Menne-Haritz</w:t>
      </w:r>
      <w:r w:rsidRPr="002C4504">
        <w:rPr>
          <w:rFonts w:ascii="Times New Roman" w:hAnsi="Times New Roman" w:cs="Times New Roman"/>
          <w:color w:val="auto"/>
        </w:rPr>
        <w:t>, 2001, p. 77).</w:t>
      </w:r>
    </w:p>
    <w:p w14:paraId="62EFAD45" w14:textId="20C62F1E"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As discussões proporcionadas pelo acesso no campo arquivístico ressignificaram a noção de arquivo, que se desprende do objeto tangível de suporte analógico passando para a noção de “informação vinculada a processo”. De acordo com teórico holandês Theo Thomassen (1999), o objetivo atual do novo paradigma é a “qualidade arquivística, com modelos para a transparência, poder e relação estável entre a informação e a geração de processos de negócios.” Nessa concepção, o autor afirma que “o antigo paradigma não está completamente deixado de lado, mas é integrado no novo domínio de definição” (T</w:t>
      </w:r>
      <w:r w:rsidR="007D17D0" w:rsidRPr="002C4504">
        <w:rPr>
          <w:rFonts w:ascii="Times New Roman" w:hAnsi="Times New Roman" w:cs="Times New Roman"/>
          <w:sz w:val="24"/>
          <w:szCs w:val="24"/>
        </w:rPr>
        <w:t>homassen</w:t>
      </w:r>
      <w:r w:rsidRPr="002C4504">
        <w:rPr>
          <w:rFonts w:ascii="Times New Roman" w:hAnsi="Times New Roman" w:cs="Times New Roman"/>
          <w:sz w:val="24"/>
          <w:szCs w:val="24"/>
        </w:rPr>
        <w:t xml:space="preserve">, 1999, p. 5, tradução nossa). </w:t>
      </w:r>
    </w:p>
    <w:p w14:paraId="1FD7106D" w14:textId="02D5B487" w:rsidR="00456A9B" w:rsidRPr="002C4504" w:rsidRDefault="00456A9B" w:rsidP="00456A9B">
      <w:pPr>
        <w:spacing w:after="0" w:line="360" w:lineRule="auto"/>
        <w:ind w:firstLine="708"/>
        <w:jc w:val="both"/>
        <w:rPr>
          <w:rFonts w:ascii="Times New Roman" w:hAnsi="Times New Roman" w:cs="Times New Roman"/>
          <w:color w:val="000000" w:themeColor="text1"/>
          <w:sz w:val="24"/>
          <w:szCs w:val="24"/>
        </w:rPr>
      </w:pPr>
      <w:r w:rsidRPr="002C4504">
        <w:rPr>
          <w:rFonts w:ascii="Times New Roman" w:hAnsi="Times New Roman" w:cs="Times New Roman"/>
          <w:color w:val="000000" w:themeColor="text1"/>
          <w:sz w:val="24"/>
          <w:szCs w:val="24"/>
        </w:rPr>
        <w:t>As discussões sobre o acesso na perspectiva social da Arquivologia têm embasamento na corrente Pós-Custodial introduzida em meados do século XX, a qual buscou maior aproximação com os estudos de Terry Cook acerca da “abordagem social dos arquivos” (C</w:t>
      </w:r>
      <w:r w:rsidR="007D17D0" w:rsidRPr="002C4504">
        <w:rPr>
          <w:rFonts w:ascii="Times New Roman" w:hAnsi="Times New Roman" w:cs="Times New Roman"/>
          <w:color w:val="000000" w:themeColor="text1"/>
          <w:sz w:val="24"/>
          <w:szCs w:val="24"/>
        </w:rPr>
        <w:t>ook</w:t>
      </w:r>
      <w:r w:rsidRPr="002C4504">
        <w:rPr>
          <w:rFonts w:ascii="Times New Roman" w:hAnsi="Times New Roman" w:cs="Times New Roman"/>
          <w:color w:val="000000" w:themeColor="text1"/>
          <w:sz w:val="24"/>
          <w:szCs w:val="24"/>
        </w:rPr>
        <w:t>, 1997)</w:t>
      </w:r>
      <w:r w:rsidRPr="002C4504">
        <w:rPr>
          <w:rStyle w:val="Refdenotaderodap"/>
          <w:rFonts w:ascii="Times New Roman" w:hAnsi="Times New Roman" w:cs="Times New Roman"/>
          <w:color w:val="000000" w:themeColor="text1"/>
          <w:sz w:val="24"/>
          <w:szCs w:val="24"/>
        </w:rPr>
        <w:footnoteReference w:id="50"/>
      </w:r>
      <w:r w:rsidRPr="002C4504">
        <w:rPr>
          <w:rFonts w:ascii="Times New Roman" w:hAnsi="Times New Roman" w:cs="Times New Roman"/>
          <w:color w:val="000000" w:themeColor="text1"/>
          <w:sz w:val="24"/>
          <w:szCs w:val="24"/>
        </w:rPr>
        <w:t>, Brien Brothman sobre a “proposição culturalista dos arquivos” (B</w:t>
      </w:r>
      <w:r w:rsidR="007D17D0" w:rsidRPr="002C4504">
        <w:rPr>
          <w:rFonts w:ascii="Times New Roman" w:hAnsi="Times New Roman" w:cs="Times New Roman"/>
          <w:color w:val="000000" w:themeColor="text1"/>
          <w:sz w:val="24"/>
          <w:szCs w:val="24"/>
        </w:rPr>
        <w:t>rothman</w:t>
      </w:r>
      <w:r w:rsidRPr="002C4504">
        <w:rPr>
          <w:rFonts w:ascii="Times New Roman" w:hAnsi="Times New Roman" w:cs="Times New Roman"/>
          <w:color w:val="000000" w:themeColor="text1"/>
          <w:sz w:val="24"/>
          <w:szCs w:val="24"/>
        </w:rPr>
        <w:t>, 1991)</w:t>
      </w:r>
      <w:r w:rsidRPr="002C4504">
        <w:rPr>
          <w:rStyle w:val="Refdenotaderodap"/>
          <w:rFonts w:ascii="Times New Roman" w:hAnsi="Times New Roman" w:cs="Times New Roman"/>
          <w:color w:val="000000" w:themeColor="text1"/>
          <w:sz w:val="24"/>
          <w:szCs w:val="24"/>
        </w:rPr>
        <w:footnoteReference w:id="51"/>
      </w:r>
      <w:r w:rsidRPr="002C4504">
        <w:rPr>
          <w:rFonts w:ascii="Times New Roman" w:hAnsi="Times New Roman" w:cs="Times New Roman"/>
          <w:color w:val="000000" w:themeColor="text1"/>
          <w:sz w:val="24"/>
          <w:szCs w:val="24"/>
        </w:rPr>
        <w:t xml:space="preserve"> e </w:t>
      </w:r>
      <w:r w:rsidRPr="002C4504">
        <w:rPr>
          <w:rFonts w:ascii="Times New Roman" w:hAnsi="Times New Roman" w:cs="Times New Roman"/>
          <w:color w:val="000000" w:themeColor="text1"/>
          <w:sz w:val="24"/>
          <w:szCs w:val="24"/>
        </w:rPr>
        <w:lastRenderedPageBreak/>
        <w:t>Hans Booms sobre o “paradigma social dos arquivos” (B</w:t>
      </w:r>
      <w:r w:rsidR="007D17D0" w:rsidRPr="002C4504">
        <w:rPr>
          <w:rFonts w:ascii="Times New Roman" w:hAnsi="Times New Roman" w:cs="Times New Roman"/>
          <w:color w:val="000000" w:themeColor="text1"/>
          <w:sz w:val="24"/>
          <w:szCs w:val="24"/>
        </w:rPr>
        <w:t>ooms</w:t>
      </w:r>
      <w:r w:rsidRPr="002C4504">
        <w:rPr>
          <w:rFonts w:ascii="Times New Roman" w:hAnsi="Times New Roman" w:cs="Times New Roman"/>
          <w:color w:val="000000" w:themeColor="text1"/>
          <w:sz w:val="24"/>
          <w:szCs w:val="24"/>
        </w:rPr>
        <w:t>, 1987)</w:t>
      </w:r>
      <w:r w:rsidRPr="002C4504">
        <w:rPr>
          <w:rStyle w:val="Refdenotaderodap"/>
          <w:rFonts w:ascii="Times New Roman" w:hAnsi="Times New Roman" w:cs="Times New Roman"/>
          <w:color w:val="000000" w:themeColor="text1"/>
          <w:sz w:val="24"/>
          <w:szCs w:val="24"/>
        </w:rPr>
        <w:footnoteReference w:id="52"/>
      </w:r>
      <w:r w:rsidRPr="002C4504">
        <w:rPr>
          <w:rFonts w:ascii="Times New Roman" w:hAnsi="Times New Roman" w:cs="Times New Roman"/>
          <w:color w:val="000000" w:themeColor="text1"/>
          <w:sz w:val="24"/>
          <w:szCs w:val="24"/>
        </w:rPr>
        <w:t>. Essas abordagens buscavam uma maior transversalidade e receptividade às transformações sociais a partir do acesso aos arquivos, importante para o processo de construção de uma Arquivologia interdisciplinar.</w:t>
      </w:r>
    </w:p>
    <w:p w14:paraId="189DEFB4" w14:textId="77777777" w:rsidR="00456A9B" w:rsidRPr="002C4504" w:rsidRDefault="00456A9B" w:rsidP="00456A9B">
      <w:pPr>
        <w:spacing w:after="0" w:line="360" w:lineRule="auto"/>
        <w:ind w:firstLine="708"/>
        <w:jc w:val="both"/>
        <w:rPr>
          <w:rFonts w:ascii="Times New Roman" w:hAnsi="Times New Roman" w:cs="Times New Roman"/>
          <w:b/>
          <w:bCs/>
          <w:color w:val="000000" w:themeColor="text1"/>
        </w:rPr>
      </w:pPr>
      <w:r w:rsidRPr="002C4504">
        <w:rPr>
          <w:rFonts w:ascii="Times New Roman" w:hAnsi="Times New Roman" w:cs="Times New Roman"/>
          <w:color w:val="000000" w:themeColor="text1"/>
          <w:sz w:val="24"/>
          <w:szCs w:val="24"/>
        </w:rPr>
        <w:t xml:space="preserve">Para Terry Cook (1997), as novas perspectivas proporcionadas </w:t>
      </w:r>
      <w:r w:rsidRPr="002C4504">
        <w:rPr>
          <w:rFonts w:ascii="Times New Roman" w:hAnsi="Times New Roman" w:cs="Times New Roman"/>
          <w:sz w:val="24"/>
          <w:szCs w:val="24"/>
        </w:rPr>
        <w:t xml:space="preserve">pelas recentes </w:t>
      </w:r>
      <w:r w:rsidRPr="002C4504">
        <w:rPr>
          <w:rFonts w:ascii="Times New Roman" w:hAnsi="Times New Roman" w:cs="Times New Roman"/>
          <w:color w:val="000000" w:themeColor="text1"/>
          <w:sz w:val="24"/>
          <w:szCs w:val="24"/>
        </w:rPr>
        <w:t xml:space="preserve">“abordagens sociais” exploram novos conceitos da teoria e metodologia arquivísticas, representando uma mudança fundamental no discurso arquivístico, que abandona a visão estatista e passa a refletir a sociedade a que o Estado deve servir.  </w:t>
      </w:r>
    </w:p>
    <w:p w14:paraId="7E019884" w14:textId="3FF52A57" w:rsidR="00456A9B" w:rsidRPr="002C4504" w:rsidRDefault="00456A9B" w:rsidP="00456A9B">
      <w:pPr>
        <w:spacing w:after="0" w:line="360" w:lineRule="auto"/>
        <w:ind w:firstLine="708"/>
        <w:jc w:val="both"/>
        <w:rPr>
          <w:rFonts w:ascii="Times New Roman" w:hAnsi="Times New Roman" w:cs="Times New Roman"/>
          <w:color w:val="000000" w:themeColor="text1"/>
          <w:sz w:val="24"/>
          <w:szCs w:val="24"/>
        </w:rPr>
      </w:pPr>
      <w:r w:rsidRPr="002C4504">
        <w:rPr>
          <w:rFonts w:ascii="Times New Roman" w:hAnsi="Times New Roman" w:cs="Times New Roman"/>
          <w:color w:val="000000" w:themeColor="text1"/>
          <w:sz w:val="24"/>
          <w:szCs w:val="24"/>
        </w:rPr>
        <w:t>Na concepção da Ciência da Informação o paradigma epistemológico social foi proposto por Rafael Capurro (2003). Ao considerar os condicionamentos sociais inerentes a informação, o autor aponta fatores como as necessidades dos usuários, a realidade organizacional e as relações de poder envolvidas nos processos informativos e na construção da informação, evidenciando a constituição de regimes informacionais específicos nesses processos (C</w:t>
      </w:r>
      <w:r w:rsidR="007D17D0" w:rsidRPr="002C4504">
        <w:rPr>
          <w:rFonts w:ascii="Times New Roman" w:hAnsi="Times New Roman" w:cs="Times New Roman"/>
          <w:color w:val="000000" w:themeColor="text1"/>
          <w:sz w:val="24"/>
          <w:szCs w:val="24"/>
        </w:rPr>
        <w:t>apurro</w:t>
      </w:r>
      <w:r w:rsidRPr="002C4504">
        <w:rPr>
          <w:rFonts w:ascii="Times New Roman" w:hAnsi="Times New Roman" w:cs="Times New Roman"/>
          <w:color w:val="000000" w:themeColor="text1"/>
          <w:sz w:val="24"/>
          <w:szCs w:val="24"/>
        </w:rPr>
        <w:t>, 2003, não paginado).</w:t>
      </w:r>
    </w:p>
    <w:p w14:paraId="1E44EEC6" w14:textId="097B4CCB" w:rsidR="00456A9B" w:rsidRPr="002C4504" w:rsidRDefault="00456A9B" w:rsidP="00456A9B">
      <w:pPr>
        <w:spacing w:after="0" w:line="360" w:lineRule="auto"/>
        <w:ind w:firstLine="708"/>
        <w:jc w:val="both"/>
        <w:rPr>
          <w:rFonts w:ascii="Times New Roman" w:hAnsi="Times New Roman" w:cs="Times New Roman"/>
          <w:color w:val="000000" w:themeColor="text1"/>
          <w:sz w:val="24"/>
          <w:szCs w:val="24"/>
        </w:rPr>
      </w:pPr>
      <w:r w:rsidRPr="002C4504">
        <w:rPr>
          <w:rFonts w:ascii="Times New Roman" w:hAnsi="Times New Roman" w:cs="Times New Roman"/>
          <w:color w:val="000000" w:themeColor="text1"/>
          <w:sz w:val="24"/>
          <w:szCs w:val="24"/>
        </w:rPr>
        <w:t>Ao destacar o acesso como ‘função social’ nos referimos basicamente ao modelo coletivo que reflete as circunstâncias particulares em que o indivíduo está inserido (D</w:t>
      </w:r>
      <w:r w:rsidR="007D17D0" w:rsidRPr="002C4504">
        <w:rPr>
          <w:rFonts w:ascii="Times New Roman" w:hAnsi="Times New Roman" w:cs="Times New Roman"/>
          <w:color w:val="000000" w:themeColor="text1"/>
          <w:sz w:val="24"/>
          <w:szCs w:val="24"/>
        </w:rPr>
        <w:t>urkheim</w:t>
      </w:r>
      <w:r w:rsidRPr="002C4504">
        <w:rPr>
          <w:rFonts w:ascii="Times New Roman" w:hAnsi="Times New Roman" w:cs="Times New Roman"/>
          <w:color w:val="000000" w:themeColor="text1"/>
          <w:sz w:val="24"/>
          <w:szCs w:val="24"/>
        </w:rPr>
        <w:t>,1978). Desse modo, a função social do arquivo abrange o seu impacto transformador na sociedade, relacionado de modo geral a:</w:t>
      </w:r>
    </w:p>
    <w:p w14:paraId="5588EE48" w14:textId="77777777" w:rsidR="00456A9B" w:rsidRPr="002C4504" w:rsidRDefault="00456A9B" w:rsidP="00456A9B">
      <w:pPr>
        <w:spacing w:after="0" w:line="360" w:lineRule="auto"/>
        <w:ind w:firstLine="708"/>
        <w:jc w:val="both"/>
        <w:rPr>
          <w:rFonts w:ascii="Times New Roman" w:hAnsi="Times New Roman" w:cs="Times New Roman"/>
          <w:color w:val="000000" w:themeColor="text1"/>
          <w:sz w:val="24"/>
          <w:szCs w:val="24"/>
        </w:rPr>
      </w:pPr>
      <w:r w:rsidRPr="002C4504">
        <w:rPr>
          <w:rFonts w:ascii="Times New Roman" w:hAnsi="Times New Roman" w:cs="Times New Roman"/>
          <w:color w:val="000000" w:themeColor="text1"/>
          <w:sz w:val="24"/>
          <w:szCs w:val="24"/>
        </w:rPr>
        <w:t xml:space="preserve"> </w:t>
      </w:r>
    </w:p>
    <w:p w14:paraId="012A1D85" w14:textId="45DE06D9" w:rsidR="00456A9B" w:rsidRPr="00453FF6" w:rsidRDefault="007D17D0" w:rsidP="007D17D0">
      <w:pPr>
        <w:pStyle w:val="Citao"/>
        <w:spacing w:before="0" w:after="0" w:line="240" w:lineRule="auto"/>
        <w:ind w:left="2268" w:right="0"/>
        <w:jc w:val="both"/>
        <w:rPr>
          <w:rFonts w:ascii="Times New Roman" w:hAnsi="Times New Roman" w:cs="Times New Roman"/>
          <w:i w:val="0"/>
          <w:iCs w:val="0"/>
          <w:color w:val="auto"/>
          <w:sz w:val="20"/>
          <w:szCs w:val="20"/>
        </w:rPr>
      </w:pPr>
      <w:r w:rsidRPr="00453FF6">
        <w:rPr>
          <w:rFonts w:ascii="Times New Roman" w:hAnsi="Times New Roman" w:cs="Times New Roman"/>
          <w:i w:val="0"/>
          <w:iCs w:val="0"/>
          <w:color w:val="auto"/>
          <w:sz w:val="20"/>
          <w:szCs w:val="20"/>
        </w:rPr>
        <w:t xml:space="preserve">[...] </w:t>
      </w:r>
      <w:r w:rsidR="00456A9B" w:rsidRPr="00453FF6">
        <w:rPr>
          <w:rFonts w:ascii="Times New Roman" w:hAnsi="Times New Roman" w:cs="Times New Roman"/>
          <w:i w:val="0"/>
          <w:iCs w:val="0"/>
          <w:color w:val="auto"/>
          <w:sz w:val="20"/>
          <w:szCs w:val="20"/>
        </w:rPr>
        <w:t>toda maneira de fazer, fixada ou não, suscetível de exercer sobre o indivíduo uma coerção exterior; ou ainda, toda maneira de fazer que é geral na extensão de uma sociedade dada e, ao mesmo tempo, possui uma existência própria, independente de suas manifestações individuais</w:t>
      </w:r>
      <w:r w:rsidR="00320F5F">
        <w:rPr>
          <w:rFonts w:ascii="Times New Roman" w:hAnsi="Times New Roman" w:cs="Times New Roman"/>
          <w:i w:val="0"/>
          <w:iCs w:val="0"/>
          <w:color w:val="auto"/>
          <w:sz w:val="20"/>
          <w:szCs w:val="20"/>
        </w:rPr>
        <w:t xml:space="preserve"> </w:t>
      </w:r>
      <w:r w:rsidR="00456A9B" w:rsidRPr="00453FF6">
        <w:rPr>
          <w:rFonts w:ascii="Times New Roman" w:hAnsi="Times New Roman" w:cs="Times New Roman"/>
          <w:i w:val="0"/>
          <w:iCs w:val="0"/>
          <w:color w:val="auto"/>
          <w:sz w:val="20"/>
          <w:szCs w:val="20"/>
        </w:rPr>
        <w:t>(D</w:t>
      </w:r>
      <w:r w:rsidRPr="00453FF6">
        <w:rPr>
          <w:rFonts w:ascii="Times New Roman" w:hAnsi="Times New Roman" w:cs="Times New Roman"/>
          <w:i w:val="0"/>
          <w:iCs w:val="0"/>
          <w:color w:val="auto"/>
          <w:sz w:val="20"/>
          <w:szCs w:val="20"/>
        </w:rPr>
        <w:t>urkheim</w:t>
      </w:r>
      <w:r w:rsidR="00456A9B" w:rsidRPr="00453FF6">
        <w:rPr>
          <w:rFonts w:ascii="Times New Roman" w:hAnsi="Times New Roman" w:cs="Times New Roman"/>
          <w:i w:val="0"/>
          <w:iCs w:val="0"/>
          <w:color w:val="auto"/>
          <w:sz w:val="20"/>
          <w:szCs w:val="20"/>
        </w:rPr>
        <w:t>, 1978, p. 10).</w:t>
      </w:r>
    </w:p>
    <w:p w14:paraId="47BB373B" w14:textId="77777777" w:rsidR="00456A9B" w:rsidRPr="002C4504" w:rsidRDefault="00456A9B" w:rsidP="00456A9B">
      <w:pPr>
        <w:rPr>
          <w:rFonts w:ascii="Times New Roman" w:hAnsi="Times New Roman" w:cs="Times New Roman"/>
        </w:rPr>
      </w:pPr>
    </w:p>
    <w:p w14:paraId="7442A9F3" w14:textId="77777777" w:rsidR="00456A9B" w:rsidRPr="002C4504" w:rsidRDefault="00456A9B" w:rsidP="00456A9B">
      <w:pPr>
        <w:spacing w:after="0" w:line="360" w:lineRule="auto"/>
        <w:ind w:firstLine="708"/>
        <w:jc w:val="both"/>
        <w:rPr>
          <w:rFonts w:ascii="Times New Roman" w:hAnsi="Times New Roman" w:cs="Times New Roman"/>
          <w:color w:val="000000" w:themeColor="text1"/>
          <w:sz w:val="24"/>
          <w:szCs w:val="24"/>
        </w:rPr>
      </w:pPr>
      <w:r w:rsidRPr="002C4504">
        <w:rPr>
          <w:rFonts w:ascii="Times New Roman" w:hAnsi="Times New Roman" w:cs="Times New Roman"/>
          <w:color w:val="000000" w:themeColor="text1"/>
          <w:sz w:val="24"/>
          <w:szCs w:val="24"/>
        </w:rPr>
        <w:t>Neste trabalho consideramos o acesso à informação como uma função social dos arquivos, buscando ampliar os espaços de diálogos no campo de pesquisa, principalmente a partir da aprovação da legislação de acesso à informação e do reconhecimento social sobre o direito democrático que envolve o acesso à informação contida nos arquivos.</w:t>
      </w:r>
    </w:p>
    <w:p w14:paraId="3C7EBA93" w14:textId="4EF0B499"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Reconhecemos, portanto, que o documento de arquivo – produzido no decorrer de uma atividade, de acordo com as necessidades do produtor – pode vir a assumir diversas funções sociais, em razão do seu uso para o interesse público e social. Por conseguinte, em uma sociedade democrática, cujo Estado é obrigado a prestar contas acerca das ações realizadas por seus governantes, os arquivos e arquivistas devem assumir o seu papel social em fornecer o </w:t>
      </w:r>
      <w:r w:rsidRPr="002C4504">
        <w:rPr>
          <w:rFonts w:ascii="Times New Roman" w:hAnsi="Times New Roman" w:cs="Times New Roman"/>
          <w:color w:val="auto"/>
        </w:rPr>
        <w:lastRenderedPageBreak/>
        <w:t>acesso como valor principal. Conforme destacou Eric Ketelaar “o acesso permite que os cidadãos participem mais estreitamente nos processos e garante que a administração disfrute de maior legitimidade, eficácia e responsabilidade perante o cidadão em um sistema democrático” (K</w:t>
      </w:r>
      <w:r w:rsidR="00453FF6" w:rsidRPr="002C4504">
        <w:rPr>
          <w:rFonts w:ascii="Times New Roman" w:hAnsi="Times New Roman" w:cs="Times New Roman"/>
          <w:color w:val="auto"/>
        </w:rPr>
        <w:t>etelaar</w:t>
      </w:r>
      <w:r w:rsidRPr="002C4504">
        <w:rPr>
          <w:rFonts w:ascii="Times New Roman" w:hAnsi="Times New Roman" w:cs="Times New Roman"/>
          <w:color w:val="auto"/>
        </w:rPr>
        <w:t>, 2002, p. 224, tradução nossa).</w:t>
      </w:r>
    </w:p>
    <w:p w14:paraId="64C8776F" w14:textId="6ED1619C" w:rsidR="00456A9B" w:rsidRPr="002C4504" w:rsidRDefault="00456A9B" w:rsidP="00456A9B">
      <w:pPr>
        <w:spacing w:after="0" w:line="360" w:lineRule="auto"/>
        <w:ind w:firstLine="708"/>
        <w:jc w:val="both"/>
        <w:rPr>
          <w:rFonts w:ascii="Times New Roman" w:hAnsi="Times New Roman" w:cs="Times New Roman"/>
          <w:strike/>
        </w:rPr>
      </w:pPr>
      <w:r w:rsidRPr="002C4504">
        <w:rPr>
          <w:rFonts w:ascii="Times New Roman" w:hAnsi="Times New Roman" w:cs="Times New Roman"/>
          <w:sz w:val="24"/>
          <w:szCs w:val="24"/>
        </w:rPr>
        <w:t xml:space="preserve">Na mesma direção, Menne-Haritz (2001) afirma </w:t>
      </w:r>
      <w:r w:rsidRPr="00456A9B">
        <w:rPr>
          <w:rFonts w:ascii="Times New Roman" w:hAnsi="Times New Roman" w:cs="Times New Roman"/>
          <w:sz w:val="24"/>
          <w:szCs w:val="24"/>
        </w:rPr>
        <w:t>que “</w:t>
      </w:r>
      <w:r w:rsidRPr="002C4504">
        <w:rPr>
          <w:rFonts w:ascii="Times New Roman" w:hAnsi="Times New Roman" w:cs="Times New Roman"/>
          <w:sz w:val="24"/>
          <w:szCs w:val="24"/>
        </w:rPr>
        <w:t>o principal serviço que os arquivos oferecem às sociedades globais emergentes é o acesso ao material para a memória, e assim garantem a capacidade de construir e moldar a memória de uma forma que nos ajuda a compreender os problemas atuais e nos prepara para o futuro” (</w:t>
      </w:r>
      <w:r w:rsidR="00453FF6" w:rsidRPr="002C4504">
        <w:rPr>
          <w:rFonts w:ascii="Times New Roman" w:hAnsi="Times New Roman" w:cs="Times New Roman"/>
          <w:sz w:val="24"/>
          <w:szCs w:val="24"/>
        </w:rPr>
        <w:t>Menne-Haritz</w:t>
      </w:r>
      <w:r w:rsidRPr="002C4504">
        <w:rPr>
          <w:rFonts w:ascii="Times New Roman" w:hAnsi="Times New Roman" w:cs="Times New Roman"/>
          <w:sz w:val="24"/>
          <w:szCs w:val="24"/>
        </w:rPr>
        <w:t xml:space="preserve">, 2001, p. 59, tradução nossa). </w:t>
      </w:r>
    </w:p>
    <w:p w14:paraId="799ADBF3"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A seguir, apresentamos as considerações finais, onde destacamos os dados mais significativos da pesquisa realizada. </w:t>
      </w:r>
    </w:p>
    <w:p w14:paraId="44F4F86E" w14:textId="77777777" w:rsidR="00456A9B" w:rsidRPr="002C4504" w:rsidRDefault="00456A9B" w:rsidP="00456A9B">
      <w:pPr>
        <w:pStyle w:val="Default"/>
        <w:spacing w:line="360" w:lineRule="auto"/>
        <w:ind w:firstLine="708"/>
        <w:jc w:val="both"/>
        <w:rPr>
          <w:rFonts w:ascii="Times New Roman" w:hAnsi="Times New Roman" w:cs="Times New Roman"/>
          <w:b/>
          <w:bCs/>
          <w:color w:val="FF0000"/>
        </w:rPr>
      </w:pPr>
    </w:p>
    <w:p w14:paraId="04EB773F" w14:textId="50B08E43" w:rsidR="00456A9B" w:rsidRPr="002C4504" w:rsidRDefault="00453FF6" w:rsidP="00456A9B">
      <w:pPr>
        <w:pStyle w:val="Default"/>
        <w:spacing w:line="360" w:lineRule="auto"/>
        <w:jc w:val="both"/>
        <w:rPr>
          <w:rFonts w:ascii="Times New Roman" w:hAnsi="Times New Roman" w:cs="Times New Roman"/>
          <w:b/>
          <w:bCs/>
          <w:color w:val="auto"/>
        </w:rPr>
      </w:pPr>
      <w:r w:rsidRPr="00453FF6">
        <w:rPr>
          <w:rFonts w:ascii="Times New Roman" w:hAnsi="Times New Roman" w:cs="Times New Roman"/>
          <w:color w:val="auto"/>
        </w:rPr>
        <w:t>5</w:t>
      </w:r>
      <w:r>
        <w:rPr>
          <w:rFonts w:ascii="Times New Roman" w:hAnsi="Times New Roman" w:cs="Times New Roman"/>
          <w:b/>
          <w:bCs/>
          <w:color w:val="auto"/>
        </w:rPr>
        <w:t xml:space="preserve"> </w:t>
      </w:r>
      <w:r w:rsidR="00456A9B" w:rsidRPr="002C4504">
        <w:rPr>
          <w:rFonts w:ascii="Times New Roman" w:hAnsi="Times New Roman" w:cs="Times New Roman"/>
          <w:b/>
          <w:bCs/>
          <w:color w:val="auto"/>
        </w:rPr>
        <w:t xml:space="preserve">CONSIDERAÇÕES FINAIS </w:t>
      </w:r>
    </w:p>
    <w:p w14:paraId="584A52D9" w14:textId="77777777" w:rsidR="00456A9B" w:rsidRPr="002C4504" w:rsidRDefault="00456A9B" w:rsidP="00456A9B">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36593A0E" w14:textId="66C9CA05"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As transformações que o acesso à informação possibilitou para a visibilidade dos arquivos na sociedade permanecem no início de uma discussão que ainda tem muito a se desenvolver. O aprimoramento dos recursos tecnológicos que já fazem parte da vida cotidiana da sociedade ampliou as possibilidades de novos usos e usuários para os arquivos. A agenda política e social, que se volta para a transparência governamental, </w:t>
      </w:r>
      <w:r w:rsidRPr="002C4504">
        <w:rPr>
          <w:rFonts w:ascii="Times New Roman" w:hAnsi="Times New Roman" w:cs="Times New Roman"/>
          <w:i/>
          <w:iCs/>
          <w:color w:val="auto"/>
        </w:rPr>
        <w:t>accountability</w:t>
      </w:r>
      <w:r w:rsidRPr="002C4504">
        <w:rPr>
          <w:rFonts w:ascii="Times New Roman" w:hAnsi="Times New Roman" w:cs="Times New Roman"/>
          <w:color w:val="auto"/>
        </w:rPr>
        <w:t>, justiça social e diversidade, tem tornado as demandas por acesso cada vez mais emergentes no campo arquivístico.</w:t>
      </w:r>
    </w:p>
    <w:p w14:paraId="18150228" w14:textId="77777777" w:rsidR="00456A9B" w:rsidRPr="002C4504" w:rsidRDefault="00456A9B" w:rsidP="00456A9B">
      <w:pPr>
        <w:pStyle w:val="Default"/>
        <w:spacing w:line="360" w:lineRule="auto"/>
        <w:ind w:firstLine="708"/>
        <w:jc w:val="both"/>
        <w:rPr>
          <w:rFonts w:ascii="Times New Roman" w:hAnsi="Times New Roman" w:cs="Times New Roman"/>
          <w:strike/>
          <w:color w:val="auto"/>
        </w:rPr>
      </w:pPr>
      <w:r w:rsidRPr="002C4504">
        <w:rPr>
          <w:rFonts w:ascii="Times New Roman" w:hAnsi="Times New Roman" w:cs="Times New Roman"/>
          <w:color w:val="auto"/>
        </w:rPr>
        <w:t xml:space="preserve">Entretanto o acesso aos arquivos públicos esbarra muitas vezes em questões políticas, organizacionais e culturais, que comprovam que apenas o marco regulatório não garante os mecanismos necessários para efetivar o amplo acesso à informação. O pouco conhecimento da sociedade no que tange ao acesso à informação constante nos arquivos decorre da carência de uma cultura de transparência, que pode levar décadas ou até mesmo séculos para ocorrer. </w:t>
      </w:r>
    </w:p>
    <w:p w14:paraId="79006E8D" w14:textId="5B4F4BD2" w:rsidR="00456A9B" w:rsidRPr="002C4504" w:rsidRDefault="00456A9B" w:rsidP="00456A9B">
      <w:pPr>
        <w:pStyle w:val="Default"/>
        <w:spacing w:line="360" w:lineRule="auto"/>
        <w:ind w:firstLine="708"/>
        <w:jc w:val="both"/>
        <w:rPr>
          <w:rFonts w:ascii="Times New Roman" w:hAnsi="Times New Roman" w:cs="Times New Roman"/>
          <w:color w:val="auto"/>
        </w:rPr>
      </w:pPr>
      <w:bookmarkStart w:id="62" w:name="_Hlk67930525"/>
      <w:r w:rsidRPr="002C4504">
        <w:rPr>
          <w:rFonts w:ascii="Times New Roman" w:hAnsi="Times New Roman" w:cs="Times New Roman"/>
          <w:color w:val="auto"/>
        </w:rPr>
        <w:t xml:space="preserve">No Brasil, ainda que a Lei nº 12.527/2011 tenha sido uma conquista histórica fundamental para legitimar o direito de acesso à informação para a sociedade, apenas a existência da legislação não é suficiente para garantir que o acesso ocorra efetivamente. Os 10 anos de experiência de implantação da LAI denotam que o acesso à informação apresenta fragilidades e ameaças, conforme mostrou o livro “Dez anos da Lei de Acesso à Informação: limites, perspectivas e desafios” – ainda se observa a precariedade ou ausência de iniciativas que tenham o propósito de estimular os cidadãos e cidadãs a conhecerem a LAI, entenderem </w:t>
      </w:r>
      <w:r w:rsidRPr="002C4504">
        <w:rPr>
          <w:rFonts w:ascii="Times New Roman" w:hAnsi="Times New Roman" w:cs="Times New Roman"/>
          <w:color w:val="auto"/>
        </w:rPr>
        <w:lastRenderedPageBreak/>
        <w:t>seu funcionamento e sua importância para o exercício do direito à informação (G</w:t>
      </w:r>
      <w:r w:rsidR="00320F5F" w:rsidRPr="002C4504">
        <w:rPr>
          <w:rFonts w:ascii="Times New Roman" w:hAnsi="Times New Roman" w:cs="Times New Roman"/>
          <w:color w:val="auto"/>
        </w:rPr>
        <w:t>eraldes</w:t>
      </w:r>
      <w:r w:rsidRPr="002C4504">
        <w:rPr>
          <w:rFonts w:ascii="Times New Roman" w:hAnsi="Times New Roman" w:cs="Times New Roman"/>
          <w:color w:val="auto"/>
        </w:rPr>
        <w:t xml:space="preserve"> </w:t>
      </w:r>
      <w:r w:rsidRPr="00320F5F">
        <w:rPr>
          <w:rFonts w:ascii="Times New Roman" w:hAnsi="Times New Roman" w:cs="Times New Roman"/>
          <w:i/>
          <w:iCs/>
          <w:color w:val="auto"/>
        </w:rPr>
        <w:t>et al</w:t>
      </w:r>
      <w:r w:rsidRPr="002C4504">
        <w:rPr>
          <w:rFonts w:ascii="Times New Roman" w:hAnsi="Times New Roman" w:cs="Times New Roman"/>
          <w:color w:val="auto"/>
        </w:rPr>
        <w:t>., 2022, p. 13).</w:t>
      </w:r>
      <w:bookmarkEnd w:id="62"/>
    </w:p>
    <w:p w14:paraId="209E1601" w14:textId="77777777" w:rsidR="00456A9B" w:rsidRPr="002C4504" w:rsidRDefault="00456A9B" w:rsidP="00456A9B">
      <w:pPr>
        <w:spacing w:after="0" w:line="360" w:lineRule="auto"/>
        <w:ind w:firstLine="708"/>
        <w:jc w:val="both"/>
        <w:rPr>
          <w:rFonts w:ascii="Times New Roman" w:hAnsi="Times New Roman" w:cs="Times New Roman"/>
          <w:sz w:val="24"/>
          <w:szCs w:val="24"/>
        </w:rPr>
      </w:pPr>
      <w:r w:rsidRPr="002C4504">
        <w:rPr>
          <w:rFonts w:ascii="Times New Roman" w:hAnsi="Times New Roman" w:cs="Times New Roman"/>
          <w:sz w:val="24"/>
          <w:szCs w:val="24"/>
        </w:rPr>
        <w:t xml:space="preserve">Consideramos, portanto, que é fundamental que ocorra simultaneamente à aplicação da LAI, o fomento às políticas públicas e ampliação das ações do Estado em programas de apoio às políticas informacionais. O investimento em políticas públicas de gestão de documentos nos órgãos e implementação de procedimentos arquivísticos adequados são fundamentais para tornar acessíveis os documentos de arquivo que compõe o patrimônio da sociedade e apoiar o cumprimento da lei. </w:t>
      </w:r>
    </w:p>
    <w:p w14:paraId="6BBEE4B9"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bCs/>
          <w:color w:val="auto"/>
        </w:rPr>
        <w:t xml:space="preserve">Com relação ao problema de pesquisa apresentado neste trabalho, constatamos que, </w:t>
      </w:r>
      <w:r w:rsidRPr="002C4504">
        <w:rPr>
          <w:rFonts w:ascii="Times New Roman" w:hAnsi="Times New Roman" w:cs="Times New Roman"/>
          <w:color w:val="auto"/>
        </w:rPr>
        <w:t xml:space="preserve">apesar das mudanças significantes com relação a teoria e prática arquivística para atender às demandas estabelecidas pelos dispositivos que envolvem o acesso à informação, o acesso não se configura como novo paradigma para a área, mas sim como uma função social dos arquivos. Consideramos, portanto, que não houve uma ruptura ou superação com relação ao antigo paradigma, mas sim uma reconfiguração do acesso e suas dimensões sociais. A Arquivologia como campo científico é permeada pela coexistência de paradigmas e revoluções científicas decorrentes das práticas e demandas sociais existentes. </w:t>
      </w:r>
    </w:p>
    <w:p w14:paraId="15598E89" w14:textId="3E127B02"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Conforme destacamos em Silva (2021), o acesso é aqui considerado como uma função social dos arquivos, a qual </w:t>
      </w:r>
      <w:r w:rsidRPr="002C4504">
        <w:rPr>
          <w:rFonts w:ascii="Times New Roman" w:hAnsi="Times New Roman" w:cs="Times New Roman"/>
        </w:rPr>
        <w:t>evidencia o seu impacto transformador na sociedade como regra jurídica constituída e organizada, que exerce influência sobre a vida social coletiva e individual, podendo até mesmo alterar as relações sociais, principalmente as formas como os indivíduos buscam e usam informação, as construções da memória social, os mecanismos de busca por justiça e verdade e outros valores que compõem os pilares da democracia (S</w:t>
      </w:r>
      <w:r w:rsidR="00320F5F" w:rsidRPr="002C4504">
        <w:rPr>
          <w:rFonts w:ascii="Times New Roman" w:hAnsi="Times New Roman" w:cs="Times New Roman"/>
        </w:rPr>
        <w:t>ilva</w:t>
      </w:r>
      <w:r w:rsidRPr="002C4504">
        <w:rPr>
          <w:rFonts w:ascii="Times New Roman" w:hAnsi="Times New Roman" w:cs="Times New Roman"/>
        </w:rPr>
        <w:t>, 2021, p. 183).</w:t>
      </w:r>
    </w:p>
    <w:p w14:paraId="27BDE507"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color w:val="auto"/>
        </w:rPr>
        <w:t xml:space="preserve">Os arquivos estão se movendo de uma posição remota e periférica de preocupações intelectuais sociais para um lugar mais central na vida cotidiana da sociedade. Essa mudança requer que os arquivos sejam vistos e tratados como mecanismos transformadores que precisam constantemente ser redescobertos por novos significados, usos e usuários. </w:t>
      </w:r>
    </w:p>
    <w:p w14:paraId="3B080D6B" w14:textId="77777777" w:rsidR="00456A9B" w:rsidRPr="002C4504" w:rsidRDefault="00456A9B" w:rsidP="00456A9B">
      <w:pPr>
        <w:pStyle w:val="Default"/>
        <w:spacing w:line="360" w:lineRule="auto"/>
        <w:ind w:firstLine="708"/>
        <w:jc w:val="both"/>
        <w:rPr>
          <w:rFonts w:ascii="Times New Roman" w:hAnsi="Times New Roman" w:cs="Times New Roman"/>
          <w:color w:val="auto"/>
        </w:rPr>
      </w:pPr>
      <w:r w:rsidRPr="002C4504">
        <w:rPr>
          <w:rFonts w:ascii="Times New Roman" w:hAnsi="Times New Roman" w:cs="Times New Roman"/>
        </w:rPr>
        <w:t xml:space="preserve"> </w:t>
      </w:r>
      <w:r w:rsidRPr="002C4504">
        <w:rPr>
          <w:rFonts w:ascii="Times New Roman" w:hAnsi="Times New Roman" w:cs="Times New Roman"/>
          <w:color w:val="auto"/>
        </w:rPr>
        <w:t xml:space="preserve">Diante disso, acreditamos que esse trabalho oferece um olhar inovador sobre o papel social dos arquivos, mediante as abordagens e perspectivas até aqui apresentadas. O objetivo inicialmente proposto foi atingido e consideramos que a pesquisa realizada pode vir a abrir outras frentes de reflexão importantes para o campo arquivístico.  Para isso, é necessário ampliar nossas habilidades em transformar arquivo e informação em conhecimento por meio de uma abordagem contextual que ofereça múltiplas possibilidades de processos de contextos que formam e transformam o documento de arquivo ao longo de sua história. </w:t>
      </w:r>
    </w:p>
    <w:p w14:paraId="3EF78D79" w14:textId="77777777" w:rsidR="00456A9B" w:rsidRPr="002C4504" w:rsidRDefault="00456A9B" w:rsidP="00456A9B">
      <w:pPr>
        <w:pStyle w:val="Default"/>
        <w:spacing w:line="360" w:lineRule="auto"/>
        <w:jc w:val="both"/>
        <w:rPr>
          <w:rFonts w:ascii="Times New Roman" w:hAnsi="Times New Roman" w:cs="Times New Roman"/>
          <w:color w:val="auto"/>
        </w:rPr>
      </w:pPr>
    </w:p>
    <w:p w14:paraId="39FB3F5D" w14:textId="77777777" w:rsidR="00456A9B" w:rsidRPr="002C4504" w:rsidRDefault="00456A9B" w:rsidP="00456A9B">
      <w:pPr>
        <w:pBdr>
          <w:top w:val="nil"/>
          <w:left w:val="nil"/>
          <w:bottom w:val="nil"/>
          <w:right w:val="nil"/>
          <w:between w:val="nil"/>
        </w:pBdr>
        <w:spacing w:after="120" w:line="240" w:lineRule="auto"/>
        <w:rPr>
          <w:rFonts w:ascii="Times New Roman" w:hAnsi="Times New Roman" w:cs="Times New Roman"/>
          <w:b/>
          <w:bCs/>
          <w:color w:val="000000"/>
          <w:sz w:val="24"/>
          <w:szCs w:val="24"/>
        </w:rPr>
      </w:pPr>
      <w:r w:rsidRPr="002C4504">
        <w:rPr>
          <w:rFonts w:ascii="Times New Roman" w:hAnsi="Times New Roman" w:cs="Times New Roman"/>
          <w:b/>
          <w:bCs/>
          <w:color w:val="000000"/>
          <w:sz w:val="24"/>
          <w:szCs w:val="24"/>
        </w:rPr>
        <w:lastRenderedPageBreak/>
        <w:t>REFERÊNCIAS</w:t>
      </w:r>
    </w:p>
    <w:p w14:paraId="76BA958B" w14:textId="77777777" w:rsidR="00456A9B" w:rsidRPr="002C4504" w:rsidRDefault="00456A9B" w:rsidP="00456A9B">
      <w:pPr>
        <w:pBdr>
          <w:top w:val="nil"/>
          <w:left w:val="nil"/>
          <w:bottom w:val="nil"/>
          <w:right w:val="nil"/>
          <w:between w:val="nil"/>
        </w:pBdr>
        <w:spacing w:after="120" w:line="240" w:lineRule="auto"/>
        <w:rPr>
          <w:rFonts w:ascii="Times New Roman" w:hAnsi="Times New Roman" w:cs="Times New Roman"/>
          <w:b/>
          <w:bCs/>
          <w:color w:val="000000"/>
          <w:sz w:val="24"/>
          <w:szCs w:val="24"/>
        </w:rPr>
      </w:pPr>
    </w:p>
    <w:p w14:paraId="6F07EFA0" w14:textId="73DBA40A" w:rsidR="00456A9B" w:rsidRPr="002C4504" w:rsidRDefault="00456A9B" w:rsidP="00456A9B">
      <w:pPr>
        <w:spacing w:after="0" w:line="240" w:lineRule="auto"/>
        <w:rPr>
          <w:rFonts w:ascii="Times New Roman" w:eastAsia="Times New Roman" w:hAnsi="Times New Roman" w:cs="Times New Roman"/>
          <w:sz w:val="24"/>
          <w:szCs w:val="24"/>
        </w:rPr>
      </w:pPr>
      <w:r w:rsidRPr="002C4504">
        <w:rPr>
          <w:rFonts w:ascii="Times New Roman" w:hAnsi="Times New Roman" w:cs="Times New Roman"/>
          <w:sz w:val="24"/>
          <w:szCs w:val="24"/>
        </w:rPr>
        <w:t>BRASIL.</w:t>
      </w:r>
      <w:r w:rsidRPr="002C4504">
        <w:rPr>
          <w:rFonts w:ascii="Times New Roman" w:eastAsia="Times New Roman" w:hAnsi="Times New Roman" w:cs="Times New Roman"/>
          <w:sz w:val="24"/>
          <w:szCs w:val="24"/>
        </w:rPr>
        <w:t xml:space="preserve"> </w:t>
      </w:r>
      <w:r w:rsidRPr="002C4504">
        <w:rPr>
          <w:rFonts w:ascii="Times New Roman" w:eastAsia="Times New Roman" w:hAnsi="Times New Roman" w:cs="Times New Roman"/>
          <w:b/>
          <w:bCs/>
          <w:sz w:val="24"/>
          <w:szCs w:val="24"/>
        </w:rPr>
        <w:t xml:space="preserve">Lei 12.527 de 18 de novembro de 2011. </w:t>
      </w:r>
      <w:r w:rsidRPr="002C4504">
        <w:rPr>
          <w:rFonts w:ascii="Times New Roman" w:eastAsia="Times New Roman" w:hAnsi="Times New Roman" w:cs="Times New Roman"/>
          <w:sz w:val="24"/>
          <w:szCs w:val="24"/>
        </w:rPr>
        <w:t>Regula o acesso a informações previsto no inciso XXXIII do art. 5º, no inciso II do § 3º do art. 37 e no § 2º do art. 216 da Constituição Federal; altera a Lei nº 8.112, de 11 de dezembro de 1990; revoga a Lei nº 11.111, de 5 de maio de 2005, e dispositivos da Lei nº 8.159, de 8 de janeiro de 1991; e dá outras providências. Diário Oficial da União, Brasília, 2011. Disponível em: http://www.planalto.gov.br/ccivil_03/_ato2011-2014/2011/lei/l12527.htm. Acesso em: 15 jun. 2016.</w:t>
      </w:r>
    </w:p>
    <w:p w14:paraId="1E80D054" w14:textId="77777777" w:rsidR="00456A9B" w:rsidRPr="002C4504" w:rsidRDefault="00456A9B" w:rsidP="00C62081">
      <w:pPr>
        <w:spacing w:after="0" w:line="360" w:lineRule="auto"/>
        <w:rPr>
          <w:rFonts w:ascii="Times New Roman" w:eastAsia="Times New Roman" w:hAnsi="Times New Roman" w:cs="Times New Roman"/>
          <w:sz w:val="24"/>
          <w:szCs w:val="24"/>
        </w:rPr>
      </w:pPr>
    </w:p>
    <w:p w14:paraId="4EC4DC17" w14:textId="2598CBF2" w:rsidR="00456A9B" w:rsidRPr="002C4504" w:rsidRDefault="00456A9B" w:rsidP="00456A9B">
      <w:pPr>
        <w:spacing w:after="0" w:line="240" w:lineRule="auto"/>
        <w:rPr>
          <w:rFonts w:ascii="Times New Roman" w:hAnsi="Times New Roman" w:cs="Times New Roman"/>
          <w:sz w:val="24"/>
          <w:szCs w:val="24"/>
        </w:rPr>
      </w:pPr>
      <w:r w:rsidRPr="002C4504">
        <w:rPr>
          <w:rFonts w:ascii="Times New Roman" w:hAnsi="Times New Roman" w:cs="Times New Roman"/>
          <w:sz w:val="24"/>
          <w:szCs w:val="24"/>
        </w:rPr>
        <w:t xml:space="preserve">CAPURRO, Rafael. Epistemologia e Ciência da informação. In: Encontro Nacional de Pesquisa em Ciência da Informação, 5, 10 nov. 2003, Belo Horizonte. </w:t>
      </w:r>
      <w:r w:rsidR="00320F5F" w:rsidRPr="00320F5F">
        <w:rPr>
          <w:rFonts w:ascii="Times New Roman" w:hAnsi="Times New Roman" w:cs="Times New Roman"/>
          <w:b/>
          <w:bCs/>
          <w:sz w:val="24"/>
          <w:szCs w:val="24"/>
        </w:rPr>
        <w:t>[</w:t>
      </w:r>
      <w:r w:rsidRPr="002C4504">
        <w:rPr>
          <w:rFonts w:ascii="Times New Roman" w:hAnsi="Times New Roman" w:cs="Times New Roman"/>
          <w:b/>
          <w:bCs/>
          <w:sz w:val="24"/>
          <w:szCs w:val="24"/>
        </w:rPr>
        <w:t>Anais...].</w:t>
      </w:r>
      <w:r w:rsidRPr="002C4504">
        <w:rPr>
          <w:rFonts w:ascii="Times New Roman" w:hAnsi="Times New Roman" w:cs="Times New Roman"/>
          <w:sz w:val="24"/>
          <w:szCs w:val="24"/>
        </w:rPr>
        <w:t xml:space="preserve"> Belo Horizonte: UFMG, 2003. 18 p. Trad. Ana Maria Rezende Cabral, Eduardo Wense Dias, Isis Paim, Ligia Maria Moreira Dumont, Marta Pinheiro Aun e Monica Erichsen Nassif Borges. Disponível em: </w:t>
      </w:r>
      <w:r w:rsidRPr="00320F5F">
        <w:rPr>
          <w:rFonts w:ascii="Times New Roman" w:hAnsi="Times New Roman" w:cs="Times New Roman"/>
          <w:sz w:val="24"/>
          <w:szCs w:val="24"/>
        </w:rPr>
        <w:t>http://www.capurro.de/enancib_p</w:t>
      </w:r>
      <w:r w:rsidRPr="002C4504">
        <w:rPr>
          <w:rFonts w:ascii="Times New Roman" w:hAnsi="Times New Roman" w:cs="Times New Roman"/>
          <w:sz w:val="24"/>
          <w:szCs w:val="24"/>
        </w:rPr>
        <w:t>.htm. Acesso em: 7 mar. 2022.</w:t>
      </w:r>
    </w:p>
    <w:p w14:paraId="713C3352" w14:textId="77777777" w:rsidR="00456A9B" w:rsidRPr="002C4504" w:rsidRDefault="00456A9B" w:rsidP="00C62081">
      <w:pPr>
        <w:spacing w:after="0" w:line="360" w:lineRule="auto"/>
        <w:rPr>
          <w:rFonts w:ascii="Times New Roman" w:hAnsi="Times New Roman" w:cs="Times New Roman"/>
          <w:sz w:val="24"/>
          <w:szCs w:val="24"/>
        </w:rPr>
      </w:pPr>
    </w:p>
    <w:p w14:paraId="2D89D03E" w14:textId="77777777" w:rsidR="00456A9B" w:rsidRPr="002C4504" w:rsidRDefault="00456A9B" w:rsidP="00456A9B">
      <w:pPr>
        <w:spacing w:after="0" w:line="240" w:lineRule="auto"/>
        <w:rPr>
          <w:rFonts w:ascii="Times New Roman" w:eastAsia="Times New Roman" w:hAnsi="Times New Roman" w:cs="Times New Roman"/>
          <w:sz w:val="24"/>
          <w:szCs w:val="24"/>
          <w:lang w:val="en-US"/>
        </w:rPr>
      </w:pPr>
      <w:r w:rsidRPr="002C4504">
        <w:rPr>
          <w:rFonts w:ascii="Times New Roman" w:eastAsia="Times New Roman" w:hAnsi="Times New Roman" w:cs="Times New Roman"/>
          <w:sz w:val="24"/>
          <w:szCs w:val="24"/>
          <w:lang w:val="en-US"/>
        </w:rPr>
        <w:t>COOK, Terry. Archival science and postmodernism: new formulations for old concepts</w:t>
      </w:r>
      <w:r w:rsidRPr="002C4504">
        <w:rPr>
          <w:rFonts w:ascii="Times New Roman" w:eastAsia="Times New Roman" w:hAnsi="Times New Roman" w:cs="Times New Roman"/>
          <w:b/>
          <w:sz w:val="24"/>
          <w:szCs w:val="24"/>
          <w:lang w:val="en-US"/>
        </w:rPr>
        <w:t>. Archival science</w:t>
      </w:r>
      <w:r w:rsidRPr="002C4504">
        <w:rPr>
          <w:rFonts w:ascii="Times New Roman" w:eastAsia="Times New Roman" w:hAnsi="Times New Roman" w:cs="Times New Roman"/>
          <w:sz w:val="24"/>
          <w:szCs w:val="24"/>
          <w:lang w:val="en-US"/>
        </w:rPr>
        <w:t xml:space="preserve">, v. 1, n. 1, p. 3-24, 2001. </w:t>
      </w:r>
    </w:p>
    <w:p w14:paraId="1B06B351" w14:textId="77777777" w:rsidR="00456A9B" w:rsidRPr="00456A9B" w:rsidRDefault="00456A9B" w:rsidP="00C62081">
      <w:pPr>
        <w:pBdr>
          <w:top w:val="nil"/>
          <w:left w:val="nil"/>
          <w:bottom w:val="nil"/>
          <w:right w:val="nil"/>
          <w:between w:val="nil"/>
        </w:pBdr>
        <w:spacing w:after="0" w:line="360" w:lineRule="auto"/>
        <w:rPr>
          <w:rFonts w:ascii="Times New Roman" w:hAnsi="Times New Roman" w:cs="Times New Roman"/>
          <w:b/>
          <w:bCs/>
          <w:color w:val="000000"/>
          <w:sz w:val="24"/>
          <w:szCs w:val="24"/>
          <w:lang w:val="en-US"/>
        </w:rPr>
      </w:pPr>
    </w:p>
    <w:p w14:paraId="6B19E744" w14:textId="77777777" w:rsidR="00456A9B" w:rsidRPr="002C4504" w:rsidRDefault="00456A9B" w:rsidP="00456A9B">
      <w:pPr>
        <w:spacing w:after="0" w:line="240" w:lineRule="auto"/>
        <w:rPr>
          <w:rFonts w:ascii="Times New Roman" w:hAnsi="Times New Roman" w:cs="Times New Roman"/>
          <w:sz w:val="24"/>
          <w:szCs w:val="24"/>
          <w:shd w:val="clear" w:color="auto" w:fill="FFFFFF"/>
        </w:rPr>
      </w:pPr>
      <w:r w:rsidRPr="00456A9B">
        <w:rPr>
          <w:rFonts w:ascii="Times New Roman" w:hAnsi="Times New Roman" w:cs="Times New Roman"/>
          <w:sz w:val="24"/>
          <w:szCs w:val="24"/>
          <w:shd w:val="clear" w:color="auto" w:fill="FFFFFF"/>
          <w:lang w:val="en-US"/>
        </w:rPr>
        <w:t xml:space="preserve">DUCHEIN, Michel. </w:t>
      </w:r>
      <w:r w:rsidRPr="00456A9B">
        <w:rPr>
          <w:rFonts w:ascii="Times New Roman" w:hAnsi="Times New Roman" w:cs="Times New Roman"/>
          <w:b/>
          <w:bCs/>
          <w:sz w:val="24"/>
          <w:szCs w:val="24"/>
          <w:shd w:val="clear" w:color="auto" w:fill="FFFFFF"/>
          <w:lang w:val="en-US"/>
        </w:rPr>
        <w:t>Obstacles to the access, use and transfer of information from archives:</w:t>
      </w:r>
      <w:r w:rsidRPr="00456A9B">
        <w:rPr>
          <w:rFonts w:ascii="Times New Roman" w:hAnsi="Times New Roman" w:cs="Times New Roman"/>
          <w:sz w:val="24"/>
          <w:szCs w:val="24"/>
          <w:shd w:val="clear" w:color="auto" w:fill="FFFFFF"/>
          <w:lang w:val="en-US"/>
        </w:rPr>
        <w:t xml:space="preserve"> A RAMP study.  </w:t>
      </w:r>
      <w:r w:rsidRPr="002C4504">
        <w:rPr>
          <w:rFonts w:ascii="Times New Roman" w:hAnsi="Times New Roman" w:cs="Times New Roman"/>
          <w:sz w:val="24"/>
          <w:szCs w:val="24"/>
          <w:shd w:val="clear" w:color="auto" w:fill="FFFFFF"/>
        </w:rPr>
        <w:t>General Information Programme and UNISIST. Paris: UNESCO, 1983.</w:t>
      </w:r>
    </w:p>
    <w:p w14:paraId="5BCA086C" w14:textId="77777777" w:rsidR="00456A9B" w:rsidRPr="002C4504" w:rsidRDefault="00456A9B" w:rsidP="00C62081">
      <w:pPr>
        <w:spacing w:after="0" w:line="360" w:lineRule="auto"/>
        <w:rPr>
          <w:rFonts w:ascii="Times New Roman" w:hAnsi="Times New Roman" w:cs="Times New Roman"/>
          <w:sz w:val="24"/>
          <w:szCs w:val="24"/>
          <w:shd w:val="clear" w:color="auto" w:fill="FFFFFF"/>
        </w:rPr>
      </w:pPr>
    </w:p>
    <w:p w14:paraId="70B206A6" w14:textId="07D717C0" w:rsidR="00456A9B" w:rsidRPr="002C4504" w:rsidRDefault="00456A9B" w:rsidP="00456A9B">
      <w:pPr>
        <w:spacing w:after="0" w:line="240" w:lineRule="auto"/>
        <w:rPr>
          <w:rFonts w:ascii="Times New Roman" w:hAnsi="Times New Roman" w:cs="Times New Roman"/>
          <w:sz w:val="24"/>
          <w:szCs w:val="24"/>
        </w:rPr>
      </w:pPr>
      <w:r w:rsidRPr="002C4504">
        <w:rPr>
          <w:rFonts w:ascii="Times New Roman" w:hAnsi="Times New Roman" w:cs="Times New Roman"/>
          <w:sz w:val="24"/>
          <w:szCs w:val="24"/>
        </w:rPr>
        <w:t xml:space="preserve">DURKHEIM, Emile. </w:t>
      </w:r>
      <w:r w:rsidRPr="002C4504">
        <w:rPr>
          <w:rFonts w:ascii="Times New Roman" w:hAnsi="Times New Roman" w:cs="Times New Roman"/>
          <w:b/>
          <w:bCs/>
          <w:sz w:val="24"/>
          <w:szCs w:val="24"/>
        </w:rPr>
        <w:t>O que é fato social</w:t>
      </w:r>
      <w:r w:rsidRPr="002C4504">
        <w:rPr>
          <w:rFonts w:ascii="Times New Roman" w:hAnsi="Times New Roman" w:cs="Times New Roman"/>
          <w:sz w:val="24"/>
          <w:szCs w:val="24"/>
        </w:rPr>
        <w:t>. As regras do método sociológico, 1978.</w:t>
      </w:r>
      <w:r w:rsidR="00320F5F">
        <w:rPr>
          <w:rFonts w:ascii="Times New Roman" w:hAnsi="Times New Roman" w:cs="Times New Roman"/>
          <w:sz w:val="24"/>
          <w:szCs w:val="24"/>
        </w:rPr>
        <w:t xml:space="preserve"> </w:t>
      </w:r>
      <w:r w:rsidR="00320F5F" w:rsidRPr="002C4504">
        <w:rPr>
          <w:rFonts w:ascii="Times New Roman" w:hAnsi="Times New Roman" w:cs="Times New Roman"/>
          <w:sz w:val="24"/>
          <w:szCs w:val="24"/>
        </w:rPr>
        <w:t>v. 6</w:t>
      </w:r>
    </w:p>
    <w:p w14:paraId="78B61253" w14:textId="77777777" w:rsidR="00456A9B" w:rsidRPr="002C4504" w:rsidRDefault="00456A9B" w:rsidP="00C62081">
      <w:pPr>
        <w:spacing w:after="0" w:line="360" w:lineRule="auto"/>
        <w:rPr>
          <w:rFonts w:ascii="Times New Roman" w:hAnsi="Times New Roman" w:cs="Times New Roman"/>
          <w:sz w:val="24"/>
          <w:szCs w:val="24"/>
          <w:shd w:val="clear" w:color="auto" w:fill="FFFFFF"/>
        </w:rPr>
      </w:pPr>
    </w:p>
    <w:p w14:paraId="7BE9FC73" w14:textId="3DD0488E" w:rsidR="00456A9B" w:rsidRPr="002C4504" w:rsidRDefault="00456A9B" w:rsidP="00456A9B">
      <w:pPr>
        <w:spacing w:after="0" w:line="240" w:lineRule="auto"/>
        <w:rPr>
          <w:rFonts w:ascii="Times New Roman" w:hAnsi="Times New Roman" w:cs="Times New Roman"/>
          <w:sz w:val="24"/>
          <w:szCs w:val="24"/>
          <w:shd w:val="clear" w:color="auto" w:fill="FFFFFF"/>
        </w:rPr>
      </w:pPr>
      <w:r w:rsidRPr="002C4504">
        <w:rPr>
          <w:rFonts w:ascii="Times New Roman" w:hAnsi="Times New Roman" w:cs="Times New Roman"/>
          <w:sz w:val="24"/>
          <w:szCs w:val="24"/>
          <w:shd w:val="clear" w:color="auto" w:fill="FFFFFF"/>
        </w:rPr>
        <w:t xml:space="preserve">GERALDES, Elen (et al). </w:t>
      </w:r>
      <w:r w:rsidRPr="002C4504">
        <w:rPr>
          <w:rFonts w:ascii="Times New Roman" w:hAnsi="Times New Roman" w:cs="Times New Roman"/>
          <w:b/>
          <w:bCs/>
          <w:sz w:val="24"/>
          <w:szCs w:val="24"/>
          <w:shd w:val="clear" w:color="auto" w:fill="FFFFFF"/>
        </w:rPr>
        <w:t xml:space="preserve">Dez anos da lei de acesso a informação: </w:t>
      </w:r>
      <w:r w:rsidRPr="002C4504">
        <w:rPr>
          <w:rFonts w:ascii="Times New Roman" w:hAnsi="Times New Roman" w:cs="Times New Roman"/>
          <w:sz w:val="24"/>
          <w:szCs w:val="24"/>
          <w:shd w:val="clear" w:color="auto" w:fill="FFFFFF"/>
        </w:rPr>
        <w:t xml:space="preserve">limites, perspectivas e desafios. Sao Paulo: INTERCOM, 2022. Disponível em: https://10anoslai.com/wp-content/uploads/2022/05/Livro_DALAI_digital_FINAL_17.05.2022.pdf. Acesso em: 18 maio. 2022. </w:t>
      </w:r>
    </w:p>
    <w:p w14:paraId="5A86C32F" w14:textId="77777777" w:rsidR="00456A9B" w:rsidRPr="002C4504" w:rsidRDefault="00456A9B" w:rsidP="00C62081">
      <w:pPr>
        <w:spacing w:after="0" w:line="360" w:lineRule="auto"/>
        <w:rPr>
          <w:rFonts w:ascii="Times New Roman" w:hAnsi="Times New Roman" w:cs="Times New Roman"/>
          <w:sz w:val="24"/>
          <w:szCs w:val="24"/>
          <w:shd w:val="clear" w:color="auto" w:fill="FFFFFF"/>
        </w:rPr>
      </w:pPr>
    </w:p>
    <w:p w14:paraId="7EFAC234" w14:textId="2370C7A9" w:rsidR="00456A9B" w:rsidRPr="00863B19" w:rsidRDefault="00456A9B" w:rsidP="00456A9B">
      <w:pPr>
        <w:spacing w:after="0" w:line="240" w:lineRule="auto"/>
        <w:rPr>
          <w:rFonts w:ascii="Times New Roman" w:hAnsi="Times New Roman" w:cs="Times New Roman"/>
          <w:sz w:val="24"/>
          <w:szCs w:val="24"/>
          <w:shd w:val="clear" w:color="auto" w:fill="FFFFFF"/>
          <w:lang w:val="en-US"/>
        </w:rPr>
      </w:pPr>
      <w:r w:rsidRPr="002C4504">
        <w:rPr>
          <w:rFonts w:ascii="Times New Roman" w:hAnsi="Times New Roman" w:cs="Times New Roman"/>
          <w:sz w:val="24"/>
          <w:szCs w:val="24"/>
          <w:shd w:val="clear" w:color="auto" w:fill="FFFFFF"/>
        </w:rPr>
        <w:t>HOTT, Daniela Francescutti Martins; RODRIGUES, Georgete Medleg. Os direitos de acesso e de acessibilidade dos cidadãos: uma análise preliminar na legislação arquivística brasileira. </w:t>
      </w:r>
      <w:r w:rsidRPr="00863B19">
        <w:rPr>
          <w:rFonts w:ascii="Times New Roman" w:hAnsi="Times New Roman" w:cs="Times New Roman"/>
          <w:b/>
          <w:bCs/>
          <w:sz w:val="24"/>
          <w:szCs w:val="24"/>
          <w:shd w:val="clear" w:color="auto" w:fill="FFFFFF"/>
          <w:lang w:val="en-US"/>
        </w:rPr>
        <w:t>Archeion Online</w:t>
      </w:r>
      <w:r w:rsidR="00320F5F" w:rsidRPr="00863B19">
        <w:rPr>
          <w:rFonts w:ascii="Times New Roman" w:hAnsi="Times New Roman" w:cs="Times New Roman"/>
          <w:sz w:val="24"/>
          <w:szCs w:val="24"/>
          <w:shd w:val="clear" w:color="auto" w:fill="FFFFFF"/>
          <w:lang w:val="en-US"/>
        </w:rPr>
        <w:t>,</w:t>
      </w:r>
      <w:r w:rsidRPr="00863B19">
        <w:rPr>
          <w:rFonts w:ascii="Times New Roman" w:hAnsi="Times New Roman" w:cs="Times New Roman"/>
          <w:b/>
          <w:bCs/>
          <w:sz w:val="24"/>
          <w:szCs w:val="24"/>
          <w:shd w:val="clear" w:color="auto" w:fill="FFFFFF"/>
          <w:lang w:val="en-US"/>
        </w:rPr>
        <w:t xml:space="preserve"> </w:t>
      </w:r>
      <w:r w:rsidRPr="00863B19">
        <w:rPr>
          <w:rFonts w:ascii="Times New Roman" w:hAnsi="Times New Roman" w:cs="Times New Roman"/>
          <w:sz w:val="24"/>
          <w:szCs w:val="24"/>
          <w:shd w:val="clear" w:color="auto" w:fill="FFFFFF"/>
          <w:lang w:val="en-US"/>
        </w:rPr>
        <w:t>v. 7</w:t>
      </w:r>
      <w:r w:rsidR="00320F5F" w:rsidRPr="00863B19">
        <w:rPr>
          <w:rFonts w:ascii="Times New Roman" w:hAnsi="Times New Roman" w:cs="Times New Roman"/>
          <w:sz w:val="24"/>
          <w:szCs w:val="24"/>
          <w:shd w:val="clear" w:color="auto" w:fill="FFFFFF"/>
          <w:lang w:val="en-US"/>
        </w:rPr>
        <w:t>,</w:t>
      </w:r>
      <w:r w:rsidRPr="00863B19">
        <w:rPr>
          <w:rFonts w:ascii="Times New Roman" w:hAnsi="Times New Roman" w:cs="Times New Roman"/>
          <w:sz w:val="24"/>
          <w:szCs w:val="24"/>
          <w:shd w:val="clear" w:color="auto" w:fill="FFFFFF"/>
          <w:lang w:val="en-US"/>
        </w:rPr>
        <w:t xml:space="preserve"> n. 1</w:t>
      </w:r>
      <w:r w:rsidR="00320F5F" w:rsidRPr="00863B19">
        <w:rPr>
          <w:rFonts w:ascii="Times New Roman" w:hAnsi="Times New Roman" w:cs="Times New Roman"/>
          <w:sz w:val="24"/>
          <w:szCs w:val="24"/>
          <w:shd w:val="clear" w:color="auto" w:fill="FFFFFF"/>
          <w:lang w:val="en-US"/>
        </w:rPr>
        <w:t>,</w:t>
      </w:r>
      <w:r w:rsidRPr="00863B19">
        <w:rPr>
          <w:rFonts w:ascii="Times New Roman" w:hAnsi="Times New Roman" w:cs="Times New Roman"/>
          <w:sz w:val="24"/>
          <w:szCs w:val="24"/>
          <w:shd w:val="clear" w:color="auto" w:fill="FFFFFF"/>
          <w:lang w:val="en-US"/>
        </w:rPr>
        <w:t xml:space="preserve"> 2019.</w:t>
      </w:r>
    </w:p>
    <w:p w14:paraId="74F946D0" w14:textId="77777777" w:rsidR="00456A9B" w:rsidRPr="00863B19" w:rsidRDefault="00456A9B" w:rsidP="00C62081">
      <w:pPr>
        <w:spacing w:after="0" w:line="360" w:lineRule="auto"/>
        <w:rPr>
          <w:rFonts w:ascii="Times New Roman" w:hAnsi="Times New Roman" w:cs="Times New Roman"/>
          <w:sz w:val="24"/>
          <w:szCs w:val="24"/>
          <w:lang w:val="en-US"/>
        </w:rPr>
      </w:pPr>
    </w:p>
    <w:p w14:paraId="1A1E9892" w14:textId="4202EF3E" w:rsidR="00456A9B" w:rsidRPr="002C4504" w:rsidRDefault="00456A9B" w:rsidP="00456A9B">
      <w:pPr>
        <w:pStyle w:val="naovisivelimpressao"/>
        <w:spacing w:beforeAutospacing="0" w:after="0" w:afterAutospacing="0"/>
        <w:rPr>
          <w:color w:val="auto"/>
        </w:rPr>
      </w:pPr>
      <w:r w:rsidRPr="002C4504">
        <w:rPr>
          <w:color w:val="auto"/>
          <w:lang w:val="en-US"/>
        </w:rPr>
        <w:t xml:space="preserve">KETELAAR, Eric. </w:t>
      </w:r>
      <w:bookmarkStart w:id="63" w:name="_Hlk67919389"/>
      <w:r w:rsidRPr="002C4504">
        <w:rPr>
          <w:color w:val="auto"/>
          <w:lang w:val="en-US"/>
        </w:rPr>
        <w:t xml:space="preserve">Archival Temples, Archival Prisons: Modes of Power and protection. </w:t>
      </w:r>
      <w:bookmarkEnd w:id="63"/>
      <w:r w:rsidRPr="002C4504">
        <w:rPr>
          <w:b/>
          <w:color w:val="auto"/>
        </w:rPr>
        <w:t>Archival Science 2</w:t>
      </w:r>
      <w:r w:rsidRPr="002C4504">
        <w:rPr>
          <w:color w:val="auto"/>
        </w:rPr>
        <w:t xml:space="preserve">: 221-238, 2002. Disponível em: </w:t>
      </w:r>
      <w:r w:rsidR="00C62081" w:rsidRPr="00C62081">
        <w:rPr>
          <w:rFonts w:eastAsia="Calibri"/>
        </w:rPr>
        <w:t>https://www.nyu.edu/classes/bkg/methods/ketelaar1.pdf</w:t>
      </w:r>
      <w:r w:rsidRPr="002C4504">
        <w:rPr>
          <w:color w:val="auto"/>
        </w:rPr>
        <w:t xml:space="preserve">  Acesso em: 29 jul. 2015.</w:t>
      </w:r>
    </w:p>
    <w:p w14:paraId="22CFC805" w14:textId="77777777" w:rsidR="00456A9B" w:rsidRPr="00456A9B" w:rsidRDefault="00456A9B" w:rsidP="00C62081">
      <w:pPr>
        <w:pStyle w:val="Default"/>
        <w:spacing w:line="360" w:lineRule="auto"/>
        <w:rPr>
          <w:rFonts w:ascii="Times New Roman" w:hAnsi="Times New Roman" w:cs="Times New Roman"/>
          <w:color w:val="auto"/>
        </w:rPr>
      </w:pPr>
    </w:p>
    <w:p w14:paraId="18393D63" w14:textId="77777777" w:rsidR="00456A9B" w:rsidRPr="002C4504" w:rsidRDefault="00456A9B" w:rsidP="00456A9B">
      <w:pPr>
        <w:pStyle w:val="naovisivelimpressao"/>
        <w:spacing w:beforeAutospacing="0" w:after="0" w:afterAutospacing="0"/>
        <w:rPr>
          <w:color w:val="auto"/>
        </w:rPr>
      </w:pPr>
      <w:r w:rsidRPr="00456A9B">
        <w:rPr>
          <w:color w:val="auto"/>
          <w:lang w:val="en-US"/>
        </w:rPr>
        <w:t xml:space="preserve">MCLEOD, Julie. Access to information: challenges and opportunities for the records profession. </w:t>
      </w:r>
      <w:r w:rsidRPr="002C4504">
        <w:rPr>
          <w:i/>
          <w:iCs/>
          <w:color w:val="auto"/>
        </w:rPr>
        <w:t>In:</w:t>
      </w:r>
      <w:r w:rsidRPr="002C4504">
        <w:rPr>
          <w:color w:val="auto"/>
        </w:rPr>
        <w:t xml:space="preserve"> OLIVEIRA, L.M.V; SILVA, M.C.S. (Org.) </w:t>
      </w:r>
      <w:r w:rsidRPr="002C4504">
        <w:rPr>
          <w:b/>
          <w:bCs/>
          <w:color w:val="auto"/>
        </w:rPr>
        <w:t>Gestão de documentos e acesso à informação:</w:t>
      </w:r>
      <w:r w:rsidRPr="002C4504">
        <w:rPr>
          <w:color w:val="auto"/>
        </w:rPr>
        <w:t xml:space="preserve"> desafios e diretrizes para as instituições de ensino e pesquisa. Rio de Janeiro: Fundação Casa de Rui Barbosa. 2015.   </w:t>
      </w:r>
    </w:p>
    <w:p w14:paraId="66F4C313" w14:textId="77777777" w:rsidR="00456A9B" w:rsidRPr="002C4504" w:rsidRDefault="00456A9B" w:rsidP="00C62081">
      <w:pPr>
        <w:pStyle w:val="naovisivelimpressao"/>
        <w:spacing w:beforeAutospacing="0" w:after="0" w:afterAutospacing="0" w:line="360" w:lineRule="auto"/>
        <w:rPr>
          <w:color w:val="auto"/>
        </w:rPr>
      </w:pPr>
    </w:p>
    <w:p w14:paraId="56EC8E03" w14:textId="77777777" w:rsidR="00456A9B" w:rsidRPr="00863B19" w:rsidRDefault="00456A9B" w:rsidP="00456A9B">
      <w:pPr>
        <w:pStyle w:val="naovisivelimpressao"/>
        <w:spacing w:beforeAutospacing="0" w:after="0" w:afterAutospacing="0"/>
        <w:rPr>
          <w:color w:val="auto"/>
        </w:rPr>
      </w:pPr>
      <w:r w:rsidRPr="002C4504">
        <w:rPr>
          <w:color w:val="auto"/>
        </w:rPr>
        <w:t xml:space="preserve">MENNE-HARITZ, Angelika. </w:t>
      </w:r>
      <w:bookmarkStart w:id="64" w:name="_Hlk67919202"/>
      <w:r w:rsidRPr="002C4504">
        <w:rPr>
          <w:color w:val="auto"/>
          <w:lang w:val="en-US"/>
        </w:rPr>
        <w:t>Access: the reformulation of an archival paradigm</w:t>
      </w:r>
      <w:bookmarkEnd w:id="64"/>
      <w:r w:rsidRPr="002C4504">
        <w:rPr>
          <w:color w:val="auto"/>
          <w:lang w:val="en-US"/>
        </w:rPr>
        <w:t>. </w:t>
      </w:r>
      <w:r w:rsidRPr="00863B19">
        <w:rPr>
          <w:b/>
          <w:color w:val="auto"/>
        </w:rPr>
        <w:t>Archival science</w:t>
      </w:r>
      <w:r w:rsidRPr="00863B19">
        <w:rPr>
          <w:color w:val="auto"/>
        </w:rPr>
        <w:t>, v. 1, n. 1, p. 57-82, 2001.</w:t>
      </w:r>
    </w:p>
    <w:p w14:paraId="4C10E853" w14:textId="77777777" w:rsidR="00456A9B" w:rsidRPr="00863B19" w:rsidRDefault="00456A9B" w:rsidP="00C62081">
      <w:pPr>
        <w:spacing w:after="0" w:line="360" w:lineRule="auto"/>
        <w:rPr>
          <w:rFonts w:ascii="Times New Roman" w:hAnsi="Times New Roman" w:cs="Times New Roman"/>
          <w:sz w:val="24"/>
          <w:szCs w:val="24"/>
        </w:rPr>
      </w:pPr>
    </w:p>
    <w:p w14:paraId="3FAD8CD2" w14:textId="77777777" w:rsidR="00456A9B" w:rsidRPr="002C4504" w:rsidRDefault="00456A9B" w:rsidP="00456A9B">
      <w:pPr>
        <w:pStyle w:val="Default"/>
        <w:rPr>
          <w:rFonts w:ascii="Times New Roman" w:hAnsi="Times New Roman" w:cs="Times New Roman"/>
          <w:color w:val="auto"/>
          <w:shd w:val="clear" w:color="auto" w:fill="FFFFFF"/>
        </w:rPr>
      </w:pPr>
      <w:r w:rsidRPr="002C4504">
        <w:rPr>
          <w:rFonts w:ascii="Times New Roman" w:hAnsi="Times New Roman" w:cs="Times New Roman"/>
          <w:color w:val="auto"/>
        </w:rPr>
        <w:t>OLIVEIRA, Lucia Maria Velloso de.</w:t>
      </w:r>
      <w:r w:rsidRPr="002C4504">
        <w:rPr>
          <w:rFonts w:ascii="Times New Roman" w:hAnsi="Times New Roman" w:cs="Times New Roman"/>
          <w:color w:val="auto"/>
          <w:shd w:val="clear" w:color="auto" w:fill="FFFFFF"/>
        </w:rPr>
        <w:t xml:space="preserve"> O lugar dos arquivos após a Lei de Acesso à Informação: uma perspectiva do cenário do poder público federal. </w:t>
      </w:r>
      <w:r w:rsidRPr="002C4504">
        <w:rPr>
          <w:rStyle w:val="nfase"/>
          <w:rFonts w:ascii="Times New Roman" w:hAnsi="Times New Roman" w:cs="Times New Roman"/>
          <w:color w:val="auto"/>
          <w:shd w:val="clear" w:color="auto" w:fill="FFFFFF"/>
        </w:rPr>
        <w:t>In:</w:t>
      </w:r>
      <w:r w:rsidRPr="002C4504">
        <w:rPr>
          <w:rFonts w:ascii="Times New Roman" w:hAnsi="Times New Roman" w:cs="Times New Roman"/>
          <w:color w:val="auto"/>
          <w:shd w:val="clear" w:color="auto" w:fill="FFFFFF"/>
        </w:rPr>
        <w:t xml:space="preserve"> OLIVEIRA; SILVA (org.). </w:t>
      </w:r>
      <w:r w:rsidRPr="002C4504">
        <w:rPr>
          <w:rFonts w:ascii="Times New Roman" w:hAnsi="Times New Roman" w:cs="Times New Roman"/>
          <w:b/>
          <w:bCs/>
          <w:color w:val="auto"/>
          <w:shd w:val="clear" w:color="auto" w:fill="FFFFFF"/>
        </w:rPr>
        <w:t>Lei de acesso à informação</w:t>
      </w:r>
      <w:r w:rsidRPr="002C4504">
        <w:rPr>
          <w:rFonts w:ascii="Times New Roman" w:hAnsi="Times New Roman" w:cs="Times New Roman"/>
          <w:color w:val="auto"/>
          <w:shd w:val="clear" w:color="auto" w:fill="FFFFFF"/>
        </w:rPr>
        <w:t>: Impacto e limites nos arquivos de ciência e tecnologia. Rio de Janeiro: Museu de Astronomia e Ciências Afins, 2014. </w:t>
      </w:r>
    </w:p>
    <w:p w14:paraId="000037DF" w14:textId="77777777" w:rsidR="00456A9B" w:rsidRPr="002C4504" w:rsidRDefault="00456A9B" w:rsidP="00C62081">
      <w:pPr>
        <w:pBdr>
          <w:top w:val="nil"/>
          <w:left w:val="nil"/>
          <w:bottom w:val="nil"/>
          <w:right w:val="nil"/>
          <w:between w:val="nil"/>
        </w:pBdr>
        <w:spacing w:after="0" w:line="360" w:lineRule="auto"/>
        <w:rPr>
          <w:rFonts w:ascii="Times New Roman" w:hAnsi="Times New Roman" w:cs="Times New Roman"/>
          <w:b/>
          <w:bCs/>
          <w:color w:val="000000"/>
          <w:sz w:val="24"/>
          <w:szCs w:val="24"/>
        </w:rPr>
      </w:pPr>
    </w:p>
    <w:p w14:paraId="236C28DA" w14:textId="77777777" w:rsidR="00456A9B" w:rsidRPr="00456A9B" w:rsidRDefault="00456A9B" w:rsidP="00456A9B">
      <w:pPr>
        <w:pStyle w:val="naovisivelimpressao"/>
        <w:spacing w:beforeAutospacing="0" w:after="0" w:afterAutospacing="0"/>
        <w:rPr>
          <w:color w:val="auto"/>
          <w:shd w:val="clear" w:color="auto" w:fill="FFFFFF"/>
          <w:lang w:val="en-US"/>
        </w:rPr>
      </w:pPr>
      <w:r w:rsidRPr="002C4504">
        <w:rPr>
          <w:color w:val="auto"/>
          <w:shd w:val="clear" w:color="auto" w:fill="FFFFFF"/>
        </w:rPr>
        <w:t xml:space="preserve">REED, Barbara. </w:t>
      </w:r>
      <w:r w:rsidRPr="00456A9B">
        <w:rPr>
          <w:color w:val="auto"/>
          <w:shd w:val="clear" w:color="auto" w:fill="FFFFFF"/>
          <w:lang w:val="en-US"/>
        </w:rPr>
        <w:t>Reinventing access. </w:t>
      </w:r>
      <w:r w:rsidRPr="00456A9B">
        <w:rPr>
          <w:b/>
          <w:bCs/>
          <w:color w:val="auto"/>
          <w:shd w:val="clear" w:color="auto" w:fill="FFFFFF"/>
          <w:lang w:val="en-US"/>
        </w:rPr>
        <w:t>Archives and Manuscripts</w:t>
      </w:r>
      <w:r w:rsidRPr="00456A9B">
        <w:rPr>
          <w:color w:val="auto"/>
          <w:shd w:val="clear" w:color="auto" w:fill="FFFFFF"/>
          <w:lang w:val="en-US"/>
        </w:rPr>
        <w:t>, v. 42, n. 2, p. 123-132, 2014.</w:t>
      </w:r>
    </w:p>
    <w:p w14:paraId="0767E793" w14:textId="77777777" w:rsidR="00456A9B" w:rsidRPr="00456A9B" w:rsidRDefault="00456A9B" w:rsidP="00C62081">
      <w:pPr>
        <w:pStyle w:val="naovisivelimpressao"/>
        <w:spacing w:beforeAutospacing="0" w:after="0" w:afterAutospacing="0" w:line="360" w:lineRule="auto"/>
        <w:rPr>
          <w:color w:val="auto"/>
          <w:shd w:val="clear" w:color="auto" w:fill="FFFFFF"/>
          <w:lang w:val="en-US"/>
        </w:rPr>
      </w:pPr>
    </w:p>
    <w:p w14:paraId="382BB264" w14:textId="77777777" w:rsidR="00456A9B" w:rsidRPr="002C4504" w:rsidRDefault="00456A9B" w:rsidP="00456A9B">
      <w:pPr>
        <w:pStyle w:val="naovisivelimpressao"/>
        <w:spacing w:beforeAutospacing="0" w:after="0" w:afterAutospacing="0"/>
        <w:rPr>
          <w:color w:val="auto"/>
          <w:shd w:val="clear" w:color="auto" w:fill="FFFFFF"/>
        </w:rPr>
      </w:pPr>
      <w:r w:rsidRPr="00456A9B">
        <w:rPr>
          <w:color w:val="auto"/>
          <w:shd w:val="clear" w:color="auto" w:fill="FFFFFF"/>
          <w:lang w:val="en-US"/>
        </w:rPr>
        <w:t xml:space="preserve">ROUSSEAU, Jean Yves; COUTURE, Carol. </w:t>
      </w:r>
      <w:r w:rsidRPr="002C4504">
        <w:rPr>
          <w:b/>
          <w:bCs/>
          <w:color w:val="auto"/>
          <w:shd w:val="clear" w:color="auto" w:fill="FFFFFF"/>
        </w:rPr>
        <w:t>Os fundamentos da disciplina arquivística</w:t>
      </w:r>
      <w:r w:rsidRPr="002C4504">
        <w:rPr>
          <w:color w:val="auto"/>
          <w:shd w:val="clear" w:color="auto" w:fill="FFFFFF"/>
        </w:rPr>
        <w:t>. Tradução Magda Bigotte de Figueiredo. Lisboa: Dom Quixote, 1998.</w:t>
      </w:r>
    </w:p>
    <w:p w14:paraId="7F6784CF" w14:textId="77777777" w:rsidR="00456A9B" w:rsidRPr="002C4504" w:rsidRDefault="00456A9B" w:rsidP="00C62081">
      <w:pPr>
        <w:pBdr>
          <w:top w:val="nil"/>
          <w:left w:val="nil"/>
          <w:bottom w:val="nil"/>
          <w:right w:val="nil"/>
          <w:between w:val="nil"/>
        </w:pBdr>
        <w:spacing w:after="0" w:line="360" w:lineRule="auto"/>
        <w:rPr>
          <w:rFonts w:ascii="Times New Roman" w:hAnsi="Times New Roman" w:cs="Times New Roman"/>
          <w:b/>
          <w:bCs/>
          <w:color w:val="000000"/>
          <w:sz w:val="24"/>
          <w:szCs w:val="24"/>
        </w:rPr>
      </w:pPr>
    </w:p>
    <w:p w14:paraId="415EFB46" w14:textId="77777777" w:rsidR="00456A9B" w:rsidRPr="002C4504" w:rsidRDefault="00456A9B" w:rsidP="00456A9B">
      <w:pPr>
        <w:pStyle w:val="Default"/>
        <w:rPr>
          <w:rFonts w:ascii="Times New Roman" w:eastAsia="Times New Roman" w:hAnsi="Times New Roman" w:cs="Times New Roman"/>
          <w:bCs/>
          <w:color w:val="auto"/>
          <w:lang w:eastAsia="pt-BR"/>
        </w:rPr>
      </w:pPr>
      <w:r w:rsidRPr="002C4504">
        <w:rPr>
          <w:rFonts w:ascii="Times New Roman" w:eastAsia="Times New Roman" w:hAnsi="Times New Roman" w:cs="Times New Roman"/>
          <w:bCs/>
          <w:color w:val="auto"/>
          <w:lang w:eastAsia="pt-BR"/>
        </w:rPr>
        <w:t xml:space="preserve">SILVA, I. C. </w:t>
      </w:r>
      <w:r w:rsidRPr="002C4504">
        <w:rPr>
          <w:rFonts w:ascii="Times New Roman" w:eastAsia="Times New Roman" w:hAnsi="Times New Roman" w:cs="Times New Roman"/>
          <w:b/>
          <w:color w:val="auto"/>
          <w:lang w:eastAsia="pt-BR"/>
        </w:rPr>
        <w:t>A dimensão do acesso à informação pública e os arquivos do regime militar</w:t>
      </w:r>
      <w:r w:rsidRPr="002C4504">
        <w:rPr>
          <w:rFonts w:ascii="Times New Roman" w:eastAsia="Times New Roman" w:hAnsi="Times New Roman" w:cs="Times New Roman"/>
          <w:bCs/>
          <w:color w:val="auto"/>
          <w:lang w:eastAsia="pt-BR"/>
        </w:rPr>
        <w:t>: um olhar sobre a função social dos arquivos. 2021. 228 f. Tese (Doutorado em Ciência da Informação) - Universidade Federal Fluminense, Niterói, 2021.</w:t>
      </w:r>
    </w:p>
    <w:p w14:paraId="73DA92DB" w14:textId="77777777" w:rsidR="00456A9B" w:rsidRPr="002C4504" w:rsidRDefault="00456A9B" w:rsidP="00C62081">
      <w:pPr>
        <w:pBdr>
          <w:top w:val="nil"/>
          <w:left w:val="nil"/>
          <w:bottom w:val="nil"/>
          <w:right w:val="nil"/>
          <w:between w:val="nil"/>
        </w:pBdr>
        <w:spacing w:after="0" w:line="360" w:lineRule="auto"/>
        <w:rPr>
          <w:rFonts w:ascii="Times New Roman" w:hAnsi="Times New Roman" w:cs="Times New Roman"/>
          <w:b/>
          <w:bCs/>
          <w:color w:val="000000"/>
          <w:sz w:val="24"/>
          <w:szCs w:val="24"/>
        </w:rPr>
      </w:pPr>
    </w:p>
    <w:p w14:paraId="2340C103" w14:textId="77777777" w:rsidR="00456A9B" w:rsidRPr="00456A9B" w:rsidRDefault="00456A9B" w:rsidP="00456A9B">
      <w:pPr>
        <w:spacing w:after="0" w:line="240" w:lineRule="auto"/>
        <w:rPr>
          <w:rFonts w:ascii="Times New Roman" w:hAnsi="Times New Roman" w:cs="Times New Roman"/>
          <w:sz w:val="24"/>
          <w:szCs w:val="24"/>
          <w:lang w:val="en-US"/>
        </w:rPr>
      </w:pPr>
      <w:r w:rsidRPr="00456A9B">
        <w:rPr>
          <w:rFonts w:ascii="Times New Roman" w:hAnsi="Times New Roman" w:cs="Times New Roman"/>
          <w:sz w:val="24"/>
          <w:szCs w:val="24"/>
          <w:shd w:val="clear" w:color="auto" w:fill="FFFFFF"/>
          <w:lang w:val="en-US"/>
        </w:rPr>
        <w:t xml:space="preserve">TAYLOR, Hugh A. </w:t>
      </w:r>
      <w:r w:rsidRPr="00456A9B">
        <w:rPr>
          <w:rFonts w:ascii="Times New Roman" w:hAnsi="Times New Roman" w:cs="Times New Roman"/>
          <w:b/>
          <w:bCs/>
          <w:sz w:val="24"/>
          <w:szCs w:val="24"/>
          <w:lang w:val="en-US"/>
        </w:rPr>
        <w:t>Archival services and the concept of the user</w:t>
      </w:r>
      <w:r w:rsidRPr="00456A9B">
        <w:rPr>
          <w:rFonts w:ascii="Times New Roman" w:hAnsi="Times New Roman" w:cs="Times New Roman"/>
          <w:sz w:val="24"/>
          <w:szCs w:val="24"/>
          <w:lang w:val="en-US"/>
        </w:rPr>
        <w:t>: a RAMP study</w:t>
      </w:r>
      <w:r w:rsidRPr="00456A9B">
        <w:rPr>
          <w:rFonts w:ascii="Times New Roman" w:hAnsi="Times New Roman" w:cs="Times New Roman"/>
          <w:sz w:val="24"/>
          <w:szCs w:val="24"/>
          <w:shd w:val="clear" w:color="auto" w:fill="FFFFFF"/>
          <w:lang w:val="en-US"/>
        </w:rPr>
        <w:t>.  General Information Programme and UNISIST. Paris: UNESCO, 1984.</w:t>
      </w:r>
    </w:p>
    <w:p w14:paraId="063967D6" w14:textId="77777777" w:rsidR="00456A9B" w:rsidRPr="00456A9B" w:rsidRDefault="00456A9B" w:rsidP="00C62081">
      <w:pPr>
        <w:spacing w:after="0" w:line="360" w:lineRule="auto"/>
        <w:rPr>
          <w:rFonts w:ascii="Times New Roman" w:eastAsia="Times New Roman" w:hAnsi="Times New Roman" w:cs="Times New Roman"/>
          <w:sz w:val="24"/>
          <w:szCs w:val="24"/>
          <w:lang w:val="en-US"/>
        </w:rPr>
      </w:pPr>
    </w:p>
    <w:p w14:paraId="635124C1" w14:textId="77777777" w:rsidR="00456A9B" w:rsidRPr="00863B19" w:rsidRDefault="00456A9B" w:rsidP="00456A9B">
      <w:pPr>
        <w:spacing w:after="0" w:line="240" w:lineRule="auto"/>
        <w:rPr>
          <w:rFonts w:ascii="Times New Roman" w:hAnsi="Times New Roman" w:cs="Times New Roman"/>
          <w:sz w:val="24"/>
          <w:szCs w:val="24"/>
          <w:shd w:val="clear" w:color="auto" w:fill="FFFFFF"/>
        </w:rPr>
      </w:pPr>
      <w:r w:rsidRPr="002C4504">
        <w:rPr>
          <w:rFonts w:ascii="Times New Roman" w:hAnsi="Times New Roman" w:cs="Times New Roman"/>
          <w:sz w:val="24"/>
          <w:szCs w:val="24"/>
          <w:shd w:val="clear" w:color="auto" w:fill="FFFFFF"/>
          <w:lang w:val="en-US"/>
        </w:rPr>
        <w:t xml:space="preserve">THOMASSEN, Theo. The Development of Archival Science and its European Dimension. </w:t>
      </w:r>
      <w:r w:rsidRPr="00863B19">
        <w:rPr>
          <w:rFonts w:ascii="Times New Roman" w:hAnsi="Times New Roman" w:cs="Times New Roman"/>
          <w:sz w:val="24"/>
          <w:szCs w:val="24"/>
          <w:shd w:val="clear" w:color="auto" w:fill="FFFFFF"/>
        </w:rPr>
        <w:t xml:space="preserve">Seminar for Anna Christina Ulfsparre. </w:t>
      </w:r>
      <w:r w:rsidRPr="00863B19">
        <w:rPr>
          <w:rFonts w:ascii="Times New Roman" w:hAnsi="Times New Roman" w:cs="Times New Roman"/>
          <w:b/>
          <w:sz w:val="24"/>
          <w:szCs w:val="24"/>
          <w:shd w:val="clear" w:color="auto" w:fill="FFFFFF"/>
        </w:rPr>
        <w:t>Swedish National Archives.</w:t>
      </w:r>
      <w:r w:rsidRPr="00863B19">
        <w:rPr>
          <w:rFonts w:ascii="Times New Roman" w:hAnsi="Times New Roman" w:cs="Times New Roman"/>
          <w:sz w:val="24"/>
          <w:szCs w:val="24"/>
          <w:shd w:val="clear" w:color="auto" w:fill="FFFFFF"/>
        </w:rPr>
        <w:t xml:space="preserve"> Estocolmo, Fev. 1999.</w:t>
      </w:r>
    </w:p>
    <w:p w14:paraId="3AFBD9CE" w14:textId="77777777" w:rsidR="00456A9B" w:rsidRPr="00863B19" w:rsidRDefault="00456A9B" w:rsidP="00456A9B">
      <w:pPr>
        <w:spacing w:after="0" w:line="240" w:lineRule="auto"/>
        <w:rPr>
          <w:rFonts w:ascii="Times New Roman" w:hAnsi="Times New Roman" w:cs="Times New Roman"/>
          <w:sz w:val="24"/>
          <w:szCs w:val="24"/>
          <w:shd w:val="clear" w:color="auto" w:fill="FFFFFF"/>
        </w:rPr>
      </w:pPr>
    </w:p>
    <w:p w14:paraId="6ADF7792" w14:textId="77777777" w:rsidR="00456A9B" w:rsidRPr="00863B19" w:rsidRDefault="00456A9B" w:rsidP="00456A9B">
      <w:pPr>
        <w:spacing w:after="0" w:line="240" w:lineRule="auto"/>
        <w:jc w:val="both"/>
        <w:rPr>
          <w:rFonts w:ascii="Times New Roman" w:hAnsi="Times New Roman" w:cs="Times New Roman"/>
          <w:sz w:val="24"/>
          <w:szCs w:val="24"/>
          <w:shd w:val="clear" w:color="auto" w:fill="FFFFFF"/>
        </w:rPr>
      </w:pPr>
    </w:p>
    <w:p w14:paraId="19FAFDAC" w14:textId="77777777" w:rsidR="00456A9B" w:rsidRPr="002C4504" w:rsidRDefault="00456A9B" w:rsidP="00456A9B">
      <w:pPr>
        <w:spacing w:after="0" w:line="360" w:lineRule="auto"/>
        <w:jc w:val="both"/>
        <w:rPr>
          <w:rFonts w:ascii="Times New Roman" w:eastAsia="Times New Roman" w:hAnsi="Times New Roman" w:cs="Times New Roman"/>
          <w:sz w:val="24"/>
          <w:szCs w:val="24"/>
        </w:rPr>
      </w:pPr>
    </w:p>
    <w:p w14:paraId="23265664"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23B16825"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3FA9A4F0"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50CAD294"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02EE8778"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233ED4EC" w14:textId="77777777" w:rsidR="002F7E08" w:rsidRDefault="002F7E08" w:rsidP="002F7E08">
      <w:pPr>
        <w:spacing w:after="0" w:line="360" w:lineRule="auto"/>
        <w:jc w:val="center"/>
        <w:rPr>
          <w:rFonts w:ascii="Times New Roman" w:eastAsia="Times New Roman" w:hAnsi="Times New Roman" w:cs="Times New Roman"/>
          <w:sz w:val="44"/>
          <w:szCs w:val="44"/>
        </w:rPr>
      </w:pPr>
    </w:p>
    <w:p w14:paraId="5BDD8846" w14:textId="77777777" w:rsidR="002F7E08" w:rsidRDefault="002F7E08">
      <w:pPr>
        <w:rPr>
          <w:rFonts w:ascii="Times New Roman" w:eastAsia="Times New Roman" w:hAnsi="Times New Roman" w:cs="Times New Roman"/>
          <w:sz w:val="44"/>
          <w:szCs w:val="44"/>
        </w:rPr>
      </w:pPr>
      <w:r>
        <w:rPr>
          <w:rFonts w:ascii="Times New Roman" w:eastAsia="Times New Roman" w:hAnsi="Times New Roman" w:cs="Times New Roman"/>
          <w:sz w:val="44"/>
          <w:szCs w:val="44"/>
        </w:rPr>
        <w:br w:type="page"/>
      </w:r>
    </w:p>
    <w:p w14:paraId="2AB2FE3E"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66CFE303"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7A4285F0"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1628F402"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0DB132B1"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2BEA6F75"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54698888"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0FD7BAE9"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0A92C3C3" w14:textId="77777777" w:rsidR="00456A9B" w:rsidRDefault="00456A9B" w:rsidP="002F7E08">
      <w:pPr>
        <w:spacing w:after="0" w:line="360" w:lineRule="auto"/>
        <w:jc w:val="center"/>
        <w:rPr>
          <w:rFonts w:ascii="Times New Roman" w:eastAsia="Times New Roman" w:hAnsi="Times New Roman" w:cs="Times New Roman"/>
          <w:sz w:val="44"/>
          <w:szCs w:val="44"/>
        </w:rPr>
      </w:pPr>
    </w:p>
    <w:p w14:paraId="519AA2A5" w14:textId="622A4480" w:rsidR="002F7E08" w:rsidRPr="00863B19" w:rsidRDefault="002F7E08" w:rsidP="00863B19">
      <w:pPr>
        <w:pStyle w:val="Ttulo1"/>
        <w:jc w:val="center"/>
        <w:rPr>
          <w:rFonts w:ascii="Times New Roman" w:eastAsia="Times New Roman" w:hAnsi="Times New Roman" w:cs="Times New Roman"/>
          <w:color w:val="auto"/>
          <w:sz w:val="44"/>
          <w:szCs w:val="44"/>
        </w:rPr>
      </w:pPr>
      <w:bookmarkStart w:id="65" w:name="_Toc146826502"/>
      <w:r w:rsidRPr="00863B19">
        <w:rPr>
          <w:rFonts w:ascii="Times New Roman" w:eastAsia="Times New Roman" w:hAnsi="Times New Roman" w:cs="Times New Roman"/>
          <w:color w:val="auto"/>
          <w:sz w:val="44"/>
          <w:szCs w:val="44"/>
        </w:rPr>
        <w:t>Linha de Pesquisa “Fluxos e Mediações Sócio-Técnicas da Informação”</w:t>
      </w:r>
      <w:bookmarkEnd w:id="65"/>
    </w:p>
    <w:p w14:paraId="6595D6CA" w14:textId="1C1F8BA6" w:rsidR="00B125DC" w:rsidRDefault="00B125DC">
      <w:pPr>
        <w:rPr>
          <w:sz w:val="44"/>
          <w:szCs w:val="44"/>
        </w:rPr>
      </w:pPr>
      <w:r>
        <w:rPr>
          <w:sz w:val="44"/>
          <w:szCs w:val="44"/>
        </w:rPr>
        <w:br w:type="page"/>
      </w:r>
    </w:p>
    <w:p w14:paraId="3D59C02A" w14:textId="77777777" w:rsidR="00B125DC" w:rsidRPr="00C24241" w:rsidRDefault="00B125DC" w:rsidP="00B125DC">
      <w:pPr>
        <w:pStyle w:val="Ttulo2XVIIIENANCIB"/>
        <w:spacing w:before="0" w:after="0"/>
        <w:rPr>
          <w:rFonts w:ascii="Times New Roman" w:hAnsi="Times New Roman" w:cs="Times New Roman"/>
        </w:rPr>
      </w:pPr>
    </w:p>
    <w:p w14:paraId="372DDAD5" w14:textId="77777777" w:rsidR="00B125DC" w:rsidRPr="00863B19" w:rsidRDefault="00B125DC" w:rsidP="00863B19">
      <w:pPr>
        <w:pStyle w:val="Ttulo3XVIIIENANCIB"/>
        <w:spacing w:before="0" w:after="0"/>
        <w:outlineLvl w:val="0"/>
        <w:rPr>
          <w:rFonts w:ascii="Times New Roman" w:hAnsi="Times New Roman" w:cs="Times New Roman"/>
          <w:b w:val="0"/>
          <w:bCs w:val="0"/>
        </w:rPr>
      </w:pPr>
      <w:bookmarkStart w:id="66" w:name="_Toc146826503"/>
      <w:r w:rsidRPr="00C24241">
        <w:rPr>
          <w:rFonts w:ascii="Times New Roman" w:hAnsi="Times New Roman" w:cs="Times New Roman"/>
        </w:rPr>
        <w:t xml:space="preserve">TEORIAS E “PARADIGMAS” DA CIÊNCIA DA INFORMAÇÃO: </w:t>
      </w:r>
      <w:r w:rsidRPr="00863B19">
        <w:rPr>
          <w:rFonts w:ascii="Times New Roman" w:hAnsi="Times New Roman" w:cs="Times New Roman"/>
          <w:b w:val="0"/>
          <w:bCs w:val="0"/>
        </w:rPr>
        <w:t>possibilidade de integração a partir da Semiótica</w:t>
      </w:r>
      <w:bookmarkEnd w:id="66"/>
    </w:p>
    <w:p w14:paraId="7530F378" w14:textId="77777777" w:rsidR="00B125DC" w:rsidRPr="00C24241" w:rsidRDefault="00B125DC" w:rsidP="00B125DC">
      <w:pPr>
        <w:pStyle w:val="Ttulo4XVIIIENANCIB"/>
        <w:spacing w:before="0" w:after="0"/>
        <w:jc w:val="left"/>
        <w:rPr>
          <w:rFonts w:ascii="Times New Roman" w:hAnsi="Times New Roman" w:cs="Times New Roman"/>
          <w:i w:val="0"/>
        </w:rPr>
      </w:pPr>
    </w:p>
    <w:p w14:paraId="66568DC9" w14:textId="77777777" w:rsidR="00857D78" w:rsidRPr="00857D78" w:rsidRDefault="00857D78" w:rsidP="00857D78">
      <w:pPr>
        <w:spacing w:after="0" w:line="360" w:lineRule="auto"/>
        <w:rPr>
          <w:rFonts w:ascii="Times New Roman" w:eastAsia="Times New Roman" w:hAnsi="Times New Roman" w:cs="Times New Roman"/>
          <w:kern w:val="0"/>
          <w:sz w:val="24"/>
          <w:szCs w:val="24"/>
          <w:lang w:eastAsia="pt-BR"/>
          <w14:ligatures w14:val="none"/>
        </w:rPr>
      </w:pPr>
      <w:r w:rsidRPr="00857D78">
        <w:rPr>
          <w:rFonts w:ascii="Times New Roman" w:eastAsia="Times New Roman" w:hAnsi="Times New Roman" w:cs="Times New Roman"/>
          <w:b/>
          <w:bCs/>
          <w:color w:val="000000"/>
          <w:kern w:val="0"/>
          <w:sz w:val="24"/>
          <w:szCs w:val="24"/>
          <w:lang w:eastAsia="pt-BR"/>
          <w14:ligatures w14:val="none"/>
        </w:rPr>
        <w:t>Durval Vieira Pereira</w:t>
      </w:r>
    </w:p>
    <w:p w14:paraId="218A36F5" w14:textId="77777777" w:rsidR="00857D78" w:rsidRPr="00857D78" w:rsidRDefault="00857D78" w:rsidP="00857D78">
      <w:pPr>
        <w:spacing w:after="0" w:line="360" w:lineRule="auto"/>
        <w:rPr>
          <w:rFonts w:ascii="Times New Roman" w:eastAsia="Times New Roman" w:hAnsi="Times New Roman" w:cs="Times New Roman"/>
          <w:kern w:val="0"/>
          <w:sz w:val="24"/>
          <w:szCs w:val="24"/>
          <w:lang w:eastAsia="pt-BR"/>
          <w14:ligatures w14:val="none"/>
        </w:rPr>
      </w:pPr>
      <w:r w:rsidRPr="00857D78">
        <w:rPr>
          <w:rFonts w:ascii="Times New Roman" w:eastAsia="Times New Roman" w:hAnsi="Times New Roman" w:cs="Times New Roman"/>
          <w:color w:val="000000"/>
          <w:kern w:val="0"/>
          <w:sz w:val="24"/>
          <w:szCs w:val="24"/>
          <w:lang w:eastAsia="pt-BR"/>
          <w14:ligatures w14:val="none"/>
        </w:rPr>
        <w:t>Universidade Federal do Estado do Rio de Janeiro (UNIRIO)</w:t>
      </w:r>
    </w:p>
    <w:p w14:paraId="4E6B0DCD" w14:textId="77777777" w:rsidR="00857D78" w:rsidRPr="00857D78" w:rsidRDefault="00857D78" w:rsidP="00857D78">
      <w:pPr>
        <w:spacing w:after="0" w:line="360" w:lineRule="auto"/>
        <w:rPr>
          <w:rFonts w:ascii="Times New Roman" w:eastAsia="Times New Roman" w:hAnsi="Times New Roman" w:cs="Times New Roman"/>
          <w:kern w:val="0"/>
          <w:sz w:val="24"/>
          <w:szCs w:val="24"/>
          <w:lang w:eastAsia="pt-BR"/>
          <w14:ligatures w14:val="none"/>
        </w:rPr>
      </w:pPr>
    </w:p>
    <w:p w14:paraId="7BFD3F2C" w14:textId="77777777" w:rsidR="00857D78" w:rsidRPr="00857D78" w:rsidRDefault="00857D78" w:rsidP="00857D78">
      <w:pPr>
        <w:spacing w:after="0" w:line="360" w:lineRule="auto"/>
        <w:rPr>
          <w:rFonts w:ascii="Times New Roman" w:eastAsia="Times New Roman" w:hAnsi="Times New Roman" w:cs="Times New Roman"/>
          <w:kern w:val="0"/>
          <w:sz w:val="24"/>
          <w:szCs w:val="24"/>
          <w:lang w:eastAsia="pt-BR"/>
          <w14:ligatures w14:val="none"/>
        </w:rPr>
      </w:pPr>
      <w:r w:rsidRPr="00857D78">
        <w:rPr>
          <w:rFonts w:ascii="Times New Roman" w:eastAsia="Times New Roman" w:hAnsi="Times New Roman" w:cs="Times New Roman"/>
          <w:b/>
          <w:bCs/>
          <w:color w:val="000000"/>
          <w:kern w:val="0"/>
          <w:sz w:val="24"/>
          <w:szCs w:val="24"/>
          <w:lang w:eastAsia="pt-BR"/>
          <w14:ligatures w14:val="none"/>
        </w:rPr>
        <w:t>Carlos Henrique Marcondes</w:t>
      </w:r>
    </w:p>
    <w:p w14:paraId="3D6D62B0" w14:textId="77777777" w:rsidR="00857D78" w:rsidRPr="00857D78" w:rsidRDefault="00857D78" w:rsidP="00857D78">
      <w:pPr>
        <w:spacing w:after="0" w:line="360" w:lineRule="auto"/>
        <w:rPr>
          <w:rFonts w:ascii="Times New Roman" w:eastAsia="Times New Roman" w:hAnsi="Times New Roman" w:cs="Times New Roman"/>
          <w:kern w:val="0"/>
          <w:sz w:val="24"/>
          <w:szCs w:val="24"/>
          <w:lang w:eastAsia="pt-BR"/>
          <w14:ligatures w14:val="none"/>
        </w:rPr>
      </w:pPr>
      <w:r w:rsidRPr="00857D78">
        <w:rPr>
          <w:rFonts w:ascii="Times New Roman" w:eastAsia="Times New Roman" w:hAnsi="Times New Roman" w:cs="Times New Roman"/>
          <w:color w:val="000000"/>
          <w:kern w:val="0"/>
          <w:sz w:val="24"/>
          <w:szCs w:val="24"/>
          <w:lang w:eastAsia="pt-BR"/>
          <w14:ligatures w14:val="none"/>
        </w:rPr>
        <w:t>Universidade Federal Fluminense (UFF)</w:t>
      </w:r>
    </w:p>
    <w:p w14:paraId="286FBC67" w14:textId="77777777" w:rsidR="00857D78" w:rsidRPr="00857D78" w:rsidRDefault="00857D78" w:rsidP="00857D78">
      <w:pPr>
        <w:spacing w:after="0" w:line="360" w:lineRule="auto"/>
        <w:rPr>
          <w:rFonts w:ascii="Times New Roman" w:eastAsia="Times New Roman" w:hAnsi="Times New Roman" w:cs="Times New Roman"/>
          <w:kern w:val="0"/>
          <w:sz w:val="24"/>
          <w:szCs w:val="24"/>
          <w:lang w:eastAsia="pt-BR"/>
          <w14:ligatures w14:val="none"/>
        </w:rPr>
      </w:pPr>
      <w:r w:rsidRPr="00857D78">
        <w:rPr>
          <w:rFonts w:ascii="Times New Roman" w:eastAsia="Times New Roman" w:hAnsi="Times New Roman" w:cs="Times New Roman"/>
          <w:color w:val="000000"/>
          <w:kern w:val="0"/>
          <w:sz w:val="24"/>
          <w:szCs w:val="24"/>
          <w:lang w:eastAsia="pt-BR"/>
          <w14:ligatures w14:val="none"/>
        </w:rPr>
        <w:t>Universidade Federal de Minas Gerais (UFMG)</w:t>
      </w:r>
    </w:p>
    <w:p w14:paraId="71F9377B" w14:textId="77777777" w:rsidR="00B125DC" w:rsidRPr="00B125DC" w:rsidRDefault="00B125DC" w:rsidP="00B125DC">
      <w:pPr>
        <w:pStyle w:val="Ttulo4XVIIIENANCIB"/>
        <w:spacing w:before="0" w:after="0"/>
        <w:rPr>
          <w:rFonts w:ascii="Times New Roman" w:hAnsi="Times New Roman" w:cs="Times New Roman"/>
        </w:rPr>
      </w:pPr>
    </w:p>
    <w:p w14:paraId="33C2B6D9" w14:textId="77777777" w:rsidR="00B125DC" w:rsidRPr="00C24241" w:rsidRDefault="00B125DC" w:rsidP="00B125DC">
      <w:pPr>
        <w:pStyle w:val="ModalidadeXVIIIENANCIB"/>
        <w:spacing w:before="0" w:after="0"/>
        <w:rPr>
          <w:rFonts w:ascii="Times New Roman" w:hAnsi="Times New Roman" w:cs="Times New Roman"/>
        </w:rPr>
      </w:pPr>
    </w:p>
    <w:p w14:paraId="4FED849D" w14:textId="77777777" w:rsidR="00B125DC" w:rsidRDefault="00B125DC" w:rsidP="00B125DC">
      <w:pPr>
        <w:pStyle w:val="SeoXVIIIENANCIB"/>
        <w:spacing w:before="0" w:after="0"/>
        <w:rPr>
          <w:rFonts w:ascii="Times New Roman" w:hAnsi="Times New Roman" w:cs="Times New Roman"/>
        </w:rPr>
      </w:pPr>
      <w:r w:rsidRPr="00C24241">
        <w:rPr>
          <w:rFonts w:ascii="Times New Roman" w:hAnsi="Times New Roman" w:cs="Times New Roman"/>
          <w:b w:val="0"/>
          <w:bCs w:val="0"/>
        </w:rPr>
        <w:t>1</w:t>
      </w:r>
      <w:r w:rsidRPr="00C24241">
        <w:rPr>
          <w:rFonts w:ascii="Times New Roman" w:hAnsi="Times New Roman" w:cs="Times New Roman"/>
        </w:rPr>
        <w:t xml:space="preserve"> INTRODUÇÃO</w:t>
      </w:r>
    </w:p>
    <w:p w14:paraId="66055672" w14:textId="77777777" w:rsidR="00B125DC" w:rsidRPr="00C24241" w:rsidRDefault="00B125DC" w:rsidP="00B125DC">
      <w:pPr>
        <w:pStyle w:val="SeoXVIIIENANCIB"/>
        <w:spacing w:before="0" w:after="0" w:line="360" w:lineRule="auto"/>
        <w:rPr>
          <w:rFonts w:ascii="Times New Roman" w:hAnsi="Times New Roman" w:cs="Times New Roman"/>
        </w:rPr>
      </w:pPr>
    </w:p>
    <w:p w14:paraId="75D24454" w14:textId="7F192FC1" w:rsidR="00B125DC" w:rsidRPr="00556853" w:rsidRDefault="00B125DC" w:rsidP="00B125DC">
      <w:pPr>
        <w:pStyle w:val="NormalWeb"/>
        <w:spacing w:before="0" w:beforeAutospacing="0" w:after="0" w:afterAutospacing="0"/>
        <w:ind w:left="2268"/>
        <w:jc w:val="both"/>
        <w:rPr>
          <w:sz w:val="22"/>
          <w:szCs w:val="22"/>
        </w:rPr>
      </w:pPr>
      <w:r w:rsidRPr="00556853">
        <w:rPr>
          <w:sz w:val="20"/>
          <w:szCs w:val="20"/>
        </w:rPr>
        <w:t>[…] são aprofundados três paradigmas epistemológicos. Em primeiro lugar expõe-se o paradigma físico. Tomando como ponto de partida a teoria de Shannon e Weaver, mencionam-se os experimentos de Cranfield e a teoria da “informação-como-coisa” de Michael Buckland. Em segundo lugar analisa-se o paradigma cognitivo, representado dentre outros por B.C. Brookes, Nicholas Belkin, Pertti Vakkari e Peter Ingwersen. Por fim, expõe-se o paradigma social que tem suas origens na obra de Jesse Shera, atualmente representado pelas teorias de Bernd Frohmann, Birger Hjørland, Rafael Capurro e Søren Brier. (C</w:t>
      </w:r>
      <w:r w:rsidR="00556853" w:rsidRPr="00556853">
        <w:rPr>
          <w:sz w:val="20"/>
          <w:szCs w:val="20"/>
        </w:rPr>
        <w:t>apurro</w:t>
      </w:r>
      <w:r w:rsidRPr="00556853">
        <w:rPr>
          <w:sz w:val="20"/>
          <w:szCs w:val="20"/>
        </w:rPr>
        <w:t>, 2003, p. 2).</w:t>
      </w:r>
    </w:p>
    <w:p w14:paraId="1E944075" w14:textId="77777777" w:rsidR="00B125DC" w:rsidRPr="00C24241" w:rsidRDefault="00B125DC" w:rsidP="00B125DC">
      <w:pPr>
        <w:pStyle w:val="TextoXVIIIENANCIB"/>
        <w:ind w:firstLine="709"/>
        <w:rPr>
          <w:rFonts w:ascii="Times New Roman" w:hAnsi="Times New Roman" w:cs="Times New Roman"/>
        </w:rPr>
      </w:pPr>
    </w:p>
    <w:p w14:paraId="38797862" w14:textId="77777777" w:rsidR="00B125DC" w:rsidRPr="00C24241" w:rsidRDefault="00B125DC" w:rsidP="00556853">
      <w:pPr>
        <w:pStyle w:val="NormalWeb"/>
        <w:spacing w:before="0" w:beforeAutospacing="0" w:after="0" w:afterAutospacing="0" w:line="360" w:lineRule="auto"/>
        <w:ind w:firstLine="720"/>
        <w:jc w:val="both"/>
      </w:pPr>
      <w:r w:rsidRPr="00C24241">
        <w:rPr>
          <w:sz w:val="22"/>
          <w:szCs w:val="22"/>
        </w:rPr>
        <w:t>O</w:t>
      </w:r>
      <w:r w:rsidRPr="00C24241">
        <w:t>s assim chamados “paradigmas” da Ciência da Informação (CI) são frequentemente utilizados como fundamentos introdutórios a todo estudante que ingressa na pós-graduação em CI, em especial, no Brasil.</w:t>
      </w:r>
    </w:p>
    <w:p w14:paraId="270C2411" w14:textId="7433B80A" w:rsidR="00B125DC" w:rsidRPr="00C24241" w:rsidRDefault="00B125DC" w:rsidP="00556853">
      <w:pPr>
        <w:pStyle w:val="NormalWeb"/>
        <w:spacing w:before="0" w:beforeAutospacing="0" w:after="0" w:afterAutospacing="0" w:line="360" w:lineRule="auto"/>
        <w:ind w:firstLine="700"/>
        <w:jc w:val="both"/>
      </w:pPr>
      <w:r w:rsidRPr="00C24241">
        <w:t>A adoção da denominação “Ciência da Informação” tinha como objeto, no período de sua criação, a “informação científica”, artigos científicos, relatórios técnicos, patentes etc. O desenvolvimento ulterior demostrou que “informação” viria a ser um termo amplo demais, e objeto de diferentes ciências que, de alguma maneira, passaram a “disputar” esse objeto; entre essas ciências pode-se arrolar a Física, a Administração, e mesmo as Ciências Biológicas. (</w:t>
      </w:r>
      <w:r w:rsidR="00556853" w:rsidRPr="00C24241">
        <w:t>Capurro, Hjorland</w:t>
      </w:r>
      <w:r w:rsidRPr="00C24241">
        <w:t>, 2007, p. 150).</w:t>
      </w:r>
    </w:p>
    <w:p w14:paraId="17D05933" w14:textId="77777777" w:rsidR="00B125DC" w:rsidRPr="00C24241" w:rsidRDefault="00B125DC" w:rsidP="00556853">
      <w:pPr>
        <w:pStyle w:val="TextoXVIIIENANCIB"/>
        <w:spacing w:line="360" w:lineRule="auto"/>
        <w:ind w:firstLine="709"/>
        <w:rPr>
          <w:rFonts w:ascii="Times New Roman" w:hAnsi="Times New Roman" w:cs="Times New Roman"/>
        </w:rPr>
      </w:pPr>
      <w:r w:rsidRPr="00C24241">
        <w:rPr>
          <w:rFonts w:ascii="Times New Roman" w:hAnsi="Times New Roman" w:cs="Times New Roman"/>
        </w:rPr>
        <w:t xml:space="preserve">Como afirma González de Gómez (2000, p. 2, grifo da autora) “desde suas primeiras manifestações, apresentava-se, assim, à Ciência da Informação, como conjunto de saberes agregados por </w:t>
      </w:r>
      <w:r w:rsidRPr="00C24241">
        <w:rPr>
          <w:rFonts w:ascii="Times New Roman" w:hAnsi="Times New Roman" w:cs="Times New Roman"/>
          <w:b/>
          <w:bCs/>
        </w:rPr>
        <w:t>questões</w:t>
      </w:r>
      <w:r w:rsidRPr="00C24241">
        <w:rPr>
          <w:rFonts w:ascii="Times New Roman" w:hAnsi="Times New Roman" w:cs="Times New Roman"/>
        </w:rPr>
        <w:t xml:space="preserve"> antes que por </w:t>
      </w:r>
      <w:r w:rsidRPr="00C24241">
        <w:rPr>
          <w:rFonts w:ascii="Times New Roman" w:hAnsi="Times New Roman" w:cs="Times New Roman"/>
          <w:b/>
          <w:bCs/>
        </w:rPr>
        <w:t>teorias</w:t>
      </w:r>
      <w:r w:rsidRPr="00C24241">
        <w:rPr>
          <w:rFonts w:ascii="Times New Roman" w:hAnsi="Times New Roman" w:cs="Times New Roman"/>
        </w:rPr>
        <w:t>”. É necessário que se busque revisitar as origens e as teorias da CI para ampliar as reflexões sobre este campo do conhecimento.</w:t>
      </w:r>
      <w:r w:rsidRPr="00C24241">
        <w:rPr>
          <w:rFonts w:ascii="Times New Roman" w:hAnsi="Times New Roman" w:cs="Times New Roman"/>
          <w:highlight w:val="red"/>
        </w:rPr>
        <w:t xml:space="preserve"> </w:t>
      </w:r>
    </w:p>
    <w:p w14:paraId="2EFAB5C5" w14:textId="77777777" w:rsidR="00B125DC" w:rsidRPr="00C24241" w:rsidRDefault="00B125DC" w:rsidP="00556853">
      <w:pPr>
        <w:pStyle w:val="NormalWeb"/>
        <w:spacing w:before="0" w:beforeAutospacing="0" w:after="0" w:afterAutospacing="0" w:line="360" w:lineRule="auto"/>
        <w:ind w:firstLine="700"/>
        <w:jc w:val="both"/>
      </w:pPr>
      <w:r w:rsidRPr="00C24241">
        <w:t xml:space="preserve">A partir do artigo de Capurro (2003) associando a epistemologia da CI à noção de paradigmas, tornou-se frequente na literatura da área a explicação, como se os paradigmas fossem se superando no tempo, a informação como estando em algo físico, a informação como </w:t>
      </w:r>
      <w:r w:rsidRPr="00C24241">
        <w:lastRenderedPageBreak/>
        <w:t xml:space="preserve">um processo cognitivo individual, e a informação como algo cujo significado é definido socialmente a partir da divisão social do trabalho. </w:t>
      </w:r>
    </w:p>
    <w:p w14:paraId="631C21E7" w14:textId="77777777" w:rsidR="00B125DC" w:rsidRPr="00C24241" w:rsidRDefault="00B125DC" w:rsidP="00556853">
      <w:pPr>
        <w:pStyle w:val="NormalWeb"/>
        <w:spacing w:before="0" w:beforeAutospacing="0" w:after="0" w:afterAutospacing="0" w:line="360" w:lineRule="auto"/>
        <w:ind w:firstLine="700"/>
        <w:jc w:val="both"/>
      </w:pPr>
      <w:r w:rsidRPr="00C24241">
        <w:t>Neste estudo, Capurro (2003, p</w:t>
      </w:r>
      <w:r>
        <w:t xml:space="preserve">. </w:t>
      </w:r>
      <w:r w:rsidRPr="00C24241">
        <w:t>1) expõe os paradigmas que influenciaram a CI, como: Hermenêutica, Racionalismo crítico, Semiótica, Construtivismo, Cibernética e Teoria dos sistemas. O autor utiliza esta explanação para introduzir sua discussão sobre os paradigmas da CI, que seriam:</w:t>
      </w:r>
    </w:p>
    <w:p w14:paraId="494D84DE" w14:textId="77777777" w:rsidR="00B125DC" w:rsidRPr="00C24241" w:rsidRDefault="00B125DC" w:rsidP="00556853">
      <w:pPr>
        <w:pStyle w:val="PargrafodaLista"/>
        <w:numPr>
          <w:ilvl w:val="0"/>
          <w:numId w:val="1"/>
        </w:numPr>
        <w:spacing w:line="360" w:lineRule="auto"/>
        <w:jc w:val="both"/>
        <w:rPr>
          <w:rFonts w:ascii="Times New Roman" w:hAnsi="Times New Roman" w:cs="Times New Roman"/>
          <w:sz w:val="24"/>
          <w:szCs w:val="24"/>
        </w:rPr>
      </w:pPr>
      <w:r w:rsidRPr="00C24241">
        <w:rPr>
          <w:rFonts w:ascii="Times New Roman" w:hAnsi="Times New Roman" w:cs="Times New Roman"/>
          <w:sz w:val="24"/>
          <w:szCs w:val="24"/>
        </w:rPr>
        <w:t>Paradigma físico: que tem sua base na Teoria Matemática da Informação de Shannon (1948) e a Cibernética de Norbert Wiener (1948). Como trabalhos são citados as pesquisas realizadas pelo Cranfield Institute of Technology em 1957, e o conceito de Buckland (1991) de “informação como coisa”.</w:t>
      </w:r>
    </w:p>
    <w:p w14:paraId="3DEF0C58" w14:textId="77777777" w:rsidR="00B125DC" w:rsidRPr="00C24241" w:rsidRDefault="00B125DC" w:rsidP="00556853">
      <w:pPr>
        <w:pStyle w:val="PargrafodaLista"/>
        <w:numPr>
          <w:ilvl w:val="0"/>
          <w:numId w:val="1"/>
        </w:numPr>
        <w:spacing w:line="360" w:lineRule="auto"/>
        <w:jc w:val="both"/>
        <w:rPr>
          <w:rFonts w:ascii="Times New Roman" w:hAnsi="Times New Roman" w:cs="Times New Roman"/>
          <w:sz w:val="24"/>
          <w:szCs w:val="24"/>
        </w:rPr>
      </w:pPr>
      <w:r w:rsidRPr="00C24241">
        <w:rPr>
          <w:rFonts w:ascii="Times New Roman" w:hAnsi="Times New Roman" w:cs="Times New Roman"/>
          <w:sz w:val="24"/>
          <w:szCs w:val="24"/>
        </w:rPr>
        <w:t>Paradigma cognitivo: que tem como base os trabalhos de Brookes (1980) e Belkin (1978) que trazem o indivíduo e seus aspectos cognitivos para o centro das pesquisas em Ciência da Informação, observando seus aspectos mentais.</w:t>
      </w:r>
    </w:p>
    <w:p w14:paraId="16B961B1" w14:textId="77777777" w:rsidR="00B125DC" w:rsidRPr="00C24241" w:rsidRDefault="00B125DC" w:rsidP="00556853">
      <w:pPr>
        <w:pStyle w:val="PargrafodaLista"/>
        <w:numPr>
          <w:ilvl w:val="0"/>
          <w:numId w:val="1"/>
        </w:numPr>
        <w:spacing w:line="360" w:lineRule="auto"/>
        <w:jc w:val="both"/>
        <w:rPr>
          <w:rFonts w:ascii="Times New Roman" w:hAnsi="Times New Roman" w:cs="Times New Roman"/>
          <w:sz w:val="24"/>
          <w:szCs w:val="24"/>
        </w:rPr>
      </w:pPr>
      <w:r w:rsidRPr="00C24241">
        <w:rPr>
          <w:rFonts w:ascii="Times New Roman" w:hAnsi="Times New Roman" w:cs="Times New Roman"/>
          <w:sz w:val="24"/>
          <w:szCs w:val="24"/>
        </w:rPr>
        <w:t>Paradigma social: tem sua fundamentação nos trabalhos de Shera (1961) e, atualmente, baseia-se nos trabalhos de Frohmann, Hjørland, Capurro e Brier. Este paradigma não separa o usuário do seu contexto (mundo que o circunda), trazendo, portanto, a discussão os condicionamentos sociais e materiais do existir humano.</w:t>
      </w:r>
    </w:p>
    <w:p w14:paraId="46184898" w14:textId="77777777" w:rsidR="00556853" w:rsidRDefault="00556853" w:rsidP="00556853">
      <w:pPr>
        <w:spacing w:after="0" w:line="360" w:lineRule="auto"/>
        <w:ind w:firstLine="700"/>
        <w:jc w:val="both"/>
        <w:rPr>
          <w:rFonts w:ascii="Times New Roman" w:hAnsi="Times New Roman" w:cs="Times New Roman"/>
          <w:sz w:val="24"/>
          <w:szCs w:val="24"/>
        </w:rPr>
      </w:pPr>
    </w:p>
    <w:p w14:paraId="60E56EFB" w14:textId="7F283F7B"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Thomas Kuhn marcou os estudos relacionados à epistemologia das ciências quando publicou, em 1962, a obra “A estrutura das revoluções científicas”. A disseminação de citações em diferentes áreas comprova a relevância que seus pensamentos trouxeram para as questões epistêmicas científicas. </w:t>
      </w:r>
    </w:p>
    <w:p w14:paraId="5CDF8F6A"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Wersig (1993) em seu artigo ironiza a noção de paradigma na CI, pois para ele:</w:t>
      </w:r>
    </w:p>
    <w:p w14:paraId="078DB57F" w14:textId="77777777" w:rsidR="00B125DC" w:rsidRPr="00C24241" w:rsidRDefault="00B125DC" w:rsidP="00B125DC">
      <w:pPr>
        <w:spacing w:line="360" w:lineRule="auto"/>
        <w:rPr>
          <w:rFonts w:ascii="Times New Roman" w:hAnsi="Times New Roman" w:cs="Times New Roman"/>
          <w:sz w:val="24"/>
          <w:szCs w:val="24"/>
        </w:rPr>
      </w:pPr>
    </w:p>
    <w:p w14:paraId="62787066" w14:textId="5DF4BF7E" w:rsidR="00B125DC" w:rsidRPr="00556853" w:rsidRDefault="00B125DC" w:rsidP="00556853">
      <w:pPr>
        <w:spacing w:after="0" w:line="240" w:lineRule="auto"/>
        <w:ind w:left="2268"/>
        <w:jc w:val="both"/>
        <w:rPr>
          <w:rFonts w:ascii="Times New Roman" w:hAnsi="Times New Roman" w:cs="Times New Roman"/>
        </w:rPr>
      </w:pPr>
      <w:r w:rsidRPr="00556853">
        <w:rPr>
          <w:rFonts w:ascii="Times New Roman" w:hAnsi="Times New Roman" w:cs="Times New Roman"/>
          <w:sz w:val="20"/>
          <w:szCs w:val="20"/>
        </w:rPr>
        <w:t>É dado como fato que há alguma coisa como ‘informação’ que é necessária e que eles se oferecem para solucionar o problema. Mas argumenta que as organizações sociais e os sistemas tecnológicos sempre apareceram na sociedade como soluções a necessidades a serem atendidas [...], mas nunca se constituíram em ciências no sentido tradicional</w:t>
      </w:r>
      <w:r w:rsidR="00556853" w:rsidRPr="00556853">
        <w:rPr>
          <w:rFonts w:ascii="Times New Roman" w:hAnsi="Times New Roman" w:cs="Times New Roman"/>
          <w:sz w:val="20"/>
          <w:szCs w:val="20"/>
        </w:rPr>
        <w:t xml:space="preserve"> </w:t>
      </w:r>
      <w:r w:rsidRPr="00556853">
        <w:rPr>
          <w:rFonts w:ascii="Times New Roman" w:hAnsi="Times New Roman" w:cs="Times New Roman"/>
          <w:sz w:val="20"/>
          <w:szCs w:val="20"/>
        </w:rPr>
        <w:t>(W</w:t>
      </w:r>
      <w:r w:rsidR="00556853" w:rsidRPr="00556853">
        <w:rPr>
          <w:rFonts w:ascii="Times New Roman" w:hAnsi="Times New Roman" w:cs="Times New Roman"/>
          <w:sz w:val="20"/>
          <w:szCs w:val="20"/>
        </w:rPr>
        <w:t>ersig</w:t>
      </w:r>
      <w:r w:rsidRPr="00556853">
        <w:rPr>
          <w:rFonts w:ascii="Times New Roman" w:hAnsi="Times New Roman" w:cs="Times New Roman"/>
          <w:sz w:val="20"/>
          <w:szCs w:val="20"/>
        </w:rPr>
        <w:t>, 1993, p. 230).</w:t>
      </w:r>
    </w:p>
    <w:p w14:paraId="417CD9CA" w14:textId="77777777" w:rsidR="00B125DC" w:rsidRPr="00C24241" w:rsidRDefault="00B125DC" w:rsidP="00556853">
      <w:pPr>
        <w:spacing w:after="0" w:line="360" w:lineRule="auto"/>
        <w:rPr>
          <w:rFonts w:ascii="Times New Roman" w:hAnsi="Times New Roman" w:cs="Times New Roman"/>
          <w:sz w:val="24"/>
          <w:szCs w:val="24"/>
        </w:rPr>
      </w:pPr>
    </w:p>
    <w:p w14:paraId="6DBBE0F6"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Em consonância com a citação acima, Assis (1993, p. 147) afirma que a “necessidade aparente que as ciências sociais têm de se mostrar científicas”, faz com que elas utilizem o conceito de “paradigma”, estabelecido por Kuhn, como base para suas analogias epistêmicas e interdisciplinaridade, outro conceito, tão utilizado pela CI para buscar sua fundamentação teórica.</w:t>
      </w:r>
    </w:p>
    <w:p w14:paraId="5BB2419D"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lastRenderedPageBreak/>
        <w:t xml:space="preserve">A </w:t>
      </w:r>
      <w:r>
        <w:rPr>
          <w:rFonts w:ascii="Times New Roman" w:hAnsi="Times New Roman" w:cs="Times New Roman"/>
          <w:sz w:val="24"/>
          <w:szCs w:val="24"/>
        </w:rPr>
        <w:t>Semiótica</w:t>
      </w:r>
      <w:r w:rsidRPr="00C24241">
        <w:rPr>
          <w:rFonts w:ascii="Times New Roman" w:hAnsi="Times New Roman" w:cs="Times New Roman"/>
          <w:sz w:val="24"/>
          <w:szCs w:val="24"/>
        </w:rPr>
        <w:t xml:space="preserve"> peirceana se dedica aos aspectos amplos que envolvem desde as primeiras sensações diante do mundo até sua interpretação, perpassando pela transferência de significados relativos a estas coisas, dentre outros aspectos. Esta percepção do mundo, sua interpretação e transferência desses sentidos estão diretamente ligadas ao conceito de Cultura, ou seja, o conhecimento adquirido através de ações e reações acumuladas e trocadas socialmente que se consolidam em experiências e conhecimentos.</w:t>
      </w:r>
    </w:p>
    <w:p w14:paraId="608C14CD"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 xml:space="preserve">O presente trabalho é parte de uma pesquisa de doutorado desenvolvida no Programa de Pós-Graduação em Ciência da Informação da Universidade Federal Fluminense (PPGCI/UFF) que sugere a Semiótica como teoria de base capaz de sustentar e </w:t>
      </w:r>
      <w:r>
        <w:rPr>
          <w:rFonts w:ascii="Times New Roman" w:hAnsi="Times New Roman" w:cs="Times New Roman"/>
          <w:sz w:val="24"/>
          <w:szCs w:val="24"/>
        </w:rPr>
        <w:t>integrar</w:t>
      </w:r>
      <w:r w:rsidRPr="00C24241">
        <w:rPr>
          <w:rFonts w:ascii="Times New Roman" w:hAnsi="Times New Roman" w:cs="Times New Roman"/>
          <w:sz w:val="24"/>
          <w:szCs w:val="24"/>
        </w:rPr>
        <w:t xml:space="preserve"> todos os fenômenos de interesse da CI. Tem como objetivo contribuir para a discussão do termo “paradigma” ligado aos estudos da CI, apresentando a Semiótica como possível teoria capaz de unificar essas visões teóricas do que são chamados “paradigmas” da CI. O trabalho está assim organizado: após esta Introdução, a seção 2 apresenta os procedimentos metodológicos, a seção 3 discute a noção de paradigma em Kuhn, a seção 4 apresenta uma visão integradora dos paradigmas da CI baseada na Semiótica e a seção 5 apresenta considerações finais.</w:t>
      </w:r>
    </w:p>
    <w:p w14:paraId="7906E478" w14:textId="77777777" w:rsidR="00B125DC" w:rsidRPr="00C24241" w:rsidRDefault="00B125DC" w:rsidP="00B125DC">
      <w:pPr>
        <w:pStyle w:val="TextoXVIIIENANCIB"/>
        <w:spacing w:line="360" w:lineRule="auto"/>
        <w:ind w:firstLine="709"/>
        <w:rPr>
          <w:rFonts w:ascii="Times New Roman" w:hAnsi="Times New Roman" w:cs="Times New Roman"/>
          <w:szCs w:val="24"/>
        </w:rPr>
      </w:pPr>
    </w:p>
    <w:p w14:paraId="1877D44B" w14:textId="77777777" w:rsidR="00B125DC" w:rsidRPr="00C24241" w:rsidRDefault="00B125DC" w:rsidP="00556853">
      <w:pPr>
        <w:pStyle w:val="SeoXVIIIENANCIB"/>
        <w:spacing w:before="0" w:after="0" w:line="360" w:lineRule="auto"/>
        <w:rPr>
          <w:rFonts w:ascii="Times New Roman" w:hAnsi="Times New Roman" w:cs="Times New Roman"/>
          <w:szCs w:val="24"/>
        </w:rPr>
      </w:pPr>
      <w:r w:rsidRPr="005C3C09">
        <w:rPr>
          <w:rFonts w:ascii="Times New Roman" w:hAnsi="Times New Roman" w:cs="Times New Roman"/>
          <w:b w:val="0"/>
          <w:bCs w:val="0"/>
          <w:szCs w:val="24"/>
        </w:rPr>
        <w:t>2</w:t>
      </w:r>
      <w:r w:rsidRPr="00C24241">
        <w:rPr>
          <w:rFonts w:ascii="Times New Roman" w:hAnsi="Times New Roman" w:cs="Times New Roman"/>
          <w:szCs w:val="24"/>
        </w:rPr>
        <w:t xml:space="preserve"> METODOLOGIA</w:t>
      </w:r>
    </w:p>
    <w:p w14:paraId="48180F19" w14:textId="77777777" w:rsidR="00B125DC" w:rsidRDefault="00B125DC" w:rsidP="00556853">
      <w:pPr>
        <w:pStyle w:val="NormalWeb"/>
        <w:spacing w:before="0" w:beforeAutospacing="0" w:after="0" w:afterAutospacing="0" w:line="360" w:lineRule="auto"/>
        <w:ind w:firstLine="720"/>
        <w:jc w:val="both"/>
      </w:pPr>
    </w:p>
    <w:p w14:paraId="5E08015B" w14:textId="77777777" w:rsidR="00B125DC" w:rsidRPr="00C24241" w:rsidRDefault="00B125DC" w:rsidP="00556853">
      <w:pPr>
        <w:pStyle w:val="NormalWeb"/>
        <w:spacing w:before="0" w:beforeAutospacing="0" w:after="0" w:afterAutospacing="0" w:line="360" w:lineRule="auto"/>
        <w:ind w:firstLine="720"/>
        <w:jc w:val="both"/>
      </w:pPr>
      <w:r w:rsidRPr="00C24241">
        <w:t xml:space="preserve">Trata-se de um trabalho teórico e qualitativo, um ensaio não exaustivo, que sugere como hipótese que a </w:t>
      </w:r>
      <w:r>
        <w:t>S</w:t>
      </w:r>
      <w:r w:rsidRPr="00C24241">
        <w:t xml:space="preserve">emiótica peirceana forneceria subsídios para a integração dos chamados “paradigmas” da CI, pois seria uma teoria abrangente sobre a emergência de significados desde em contextos de representação, cognitivos/individuais até sua transferência em contextos linguísticos/sociais de semiose, ou seja, da ação dos signos. </w:t>
      </w:r>
      <w:bookmarkStart w:id="67" w:name="_Hlk20064158"/>
      <w:r w:rsidRPr="00C24241">
        <w:t>Tem como fundamentação teórica textos de Kuhn para análise sobre a questão do paradigma e de estudiosos que abordam o conceito de paradigma na CI, como Capurro. No que diz respeito à Semiótica usa os textos fundamentais de Peirce e de seus comentadores fundamentais de Peirce, como Eco e Santaella. Usa um conjunto de requisitos para definições de informação, estabelecido originalmente por Belkin e desenvolvido por Thellefsen, Sørensen e Thellefsen como parâmetro para comparar as explicações dos paradigmas fornecidas pela Semiótica.</w:t>
      </w:r>
    </w:p>
    <w:bookmarkEnd w:id="67"/>
    <w:p w14:paraId="7428E0A3" w14:textId="77777777" w:rsidR="00B125DC" w:rsidRDefault="00B125DC" w:rsidP="00556853">
      <w:pPr>
        <w:pStyle w:val="NormalWeb"/>
        <w:spacing w:before="0" w:beforeAutospacing="0" w:after="0" w:afterAutospacing="0" w:line="360" w:lineRule="auto"/>
        <w:ind w:firstLine="720"/>
        <w:jc w:val="both"/>
      </w:pPr>
    </w:p>
    <w:p w14:paraId="5F3ED296" w14:textId="77777777" w:rsidR="00B125DC" w:rsidRDefault="00B125DC" w:rsidP="00556853">
      <w:pPr>
        <w:pStyle w:val="NormalWeb"/>
        <w:spacing w:before="0" w:beforeAutospacing="0" w:after="0" w:afterAutospacing="0" w:line="360" w:lineRule="auto"/>
        <w:ind w:firstLine="720"/>
        <w:jc w:val="both"/>
      </w:pPr>
    </w:p>
    <w:p w14:paraId="42AB37F9" w14:textId="77777777" w:rsidR="002951F4" w:rsidRDefault="002951F4" w:rsidP="00556853">
      <w:pPr>
        <w:pStyle w:val="NormalWeb"/>
        <w:spacing w:before="0" w:beforeAutospacing="0" w:after="0" w:afterAutospacing="0" w:line="360" w:lineRule="auto"/>
        <w:ind w:firstLine="720"/>
        <w:jc w:val="both"/>
      </w:pPr>
    </w:p>
    <w:p w14:paraId="38D897CC" w14:textId="77777777" w:rsidR="002951F4" w:rsidRDefault="002951F4" w:rsidP="00556853">
      <w:pPr>
        <w:pStyle w:val="NormalWeb"/>
        <w:spacing w:before="0" w:beforeAutospacing="0" w:after="0" w:afterAutospacing="0" w:line="360" w:lineRule="auto"/>
        <w:ind w:firstLine="720"/>
        <w:jc w:val="both"/>
      </w:pPr>
    </w:p>
    <w:p w14:paraId="1E236CCC" w14:textId="77777777" w:rsidR="002951F4" w:rsidRPr="00C24241" w:rsidRDefault="002951F4" w:rsidP="00556853">
      <w:pPr>
        <w:pStyle w:val="NormalWeb"/>
        <w:spacing w:before="0" w:beforeAutospacing="0" w:after="0" w:afterAutospacing="0" w:line="360" w:lineRule="auto"/>
        <w:ind w:firstLine="720"/>
        <w:jc w:val="both"/>
      </w:pPr>
    </w:p>
    <w:p w14:paraId="0821AAA0" w14:textId="77777777" w:rsidR="00B125DC" w:rsidRPr="00C24241" w:rsidRDefault="00B125DC" w:rsidP="00B125DC">
      <w:pPr>
        <w:pStyle w:val="SeoXVIIIENANCIB"/>
        <w:spacing w:before="0" w:after="0" w:line="360" w:lineRule="auto"/>
        <w:rPr>
          <w:rFonts w:ascii="Times New Roman" w:hAnsi="Times New Roman" w:cs="Times New Roman"/>
          <w:szCs w:val="24"/>
        </w:rPr>
      </w:pPr>
      <w:r w:rsidRPr="00C24241">
        <w:rPr>
          <w:rFonts w:ascii="Times New Roman" w:hAnsi="Times New Roman" w:cs="Times New Roman"/>
          <w:szCs w:val="24"/>
        </w:rPr>
        <w:lastRenderedPageBreak/>
        <w:t>3 DESENVOLVIMENTO</w:t>
      </w:r>
    </w:p>
    <w:p w14:paraId="51768D9E" w14:textId="77777777" w:rsidR="00556853" w:rsidRDefault="00556853" w:rsidP="00B125DC">
      <w:pPr>
        <w:spacing w:line="360" w:lineRule="auto"/>
        <w:ind w:firstLine="708"/>
        <w:jc w:val="both"/>
        <w:rPr>
          <w:rFonts w:ascii="Times New Roman" w:hAnsi="Times New Roman" w:cs="Times New Roman"/>
          <w:sz w:val="24"/>
          <w:szCs w:val="24"/>
        </w:rPr>
      </w:pPr>
    </w:p>
    <w:p w14:paraId="79A574AD" w14:textId="2CF86CE6" w:rsidR="00B125DC" w:rsidRPr="00C24241" w:rsidRDefault="00B125DC" w:rsidP="00B125DC">
      <w:pPr>
        <w:spacing w:line="360" w:lineRule="auto"/>
        <w:ind w:firstLine="708"/>
        <w:jc w:val="both"/>
        <w:rPr>
          <w:rFonts w:ascii="Times New Roman" w:hAnsi="Times New Roman" w:cs="Times New Roman"/>
          <w:sz w:val="24"/>
          <w:szCs w:val="24"/>
        </w:rPr>
      </w:pPr>
      <w:r w:rsidRPr="00C24241">
        <w:rPr>
          <w:rFonts w:ascii="Times New Roman" w:hAnsi="Times New Roman" w:cs="Times New Roman"/>
          <w:sz w:val="24"/>
          <w:szCs w:val="24"/>
        </w:rPr>
        <w:t>Esta seção est</w:t>
      </w:r>
      <w:r>
        <w:rPr>
          <w:rFonts w:ascii="Times New Roman" w:hAnsi="Times New Roman" w:cs="Times New Roman"/>
          <w:sz w:val="24"/>
          <w:szCs w:val="24"/>
        </w:rPr>
        <w:t>á</w:t>
      </w:r>
      <w:r w:rsidRPr="00C24241">
        <w:rPr>
          <w:rFonts w:ascii="Times New Roman" w:hAnsi="Times New Roman" w:cs="Times New Roman"/>
          <w:sz w:val="24"/>
          <w:szCs w:val="24"/>
        </w:rPr>
        <w:t xml:space="preserve"> dividida em duas partes. A primeira voltada para a discussão da noção de paradigma desenvolvido por Thomas Kuhn. A segunda parte é direcionada a </w:t>
      </w:r>
      <w:r>
        <w:rPr>
          <w:rFonts w:ascii="Times New Roman" w:hAnsi="Times New Roman" w:cs="Times New Roman"/>
          <w:sz w:val="24"/>
          <w:szCs w:val="24"/>
        </w:rPr>
        <w:t>S</w:t>
      </w:r>
      <w:r w:rsidRPr="00C24241">
        <w:rPr>
          <w:rFonts w:ascii="Times New Roman" w:hAnsi="Times New Roman" w:cs="Times New Roman"/>
          <w:sz w:val="24"/>
          <w:szCs w:val="24"/>
        </w:rPr>
        <w:t>emiótica peirciana como teoria capaz de integrar os paradigmas da CI.</w:t>
      </w:r>
    </w:p>
    <w:p w14:paraId="147B5FD9" w14:textId="77777777" w:rsidR="00556853" w:rsidRPr="00C24241" w:rsidRDefault="00556853" w:rsidP="00B125DC">
      <w:pPr>
        <w:spacing w:line="360" w:lineRule="auto"/>
        <w:rPr>
          <w:rFonts w:ascii="Times New Roman" w:hAnsi="Times New Roman" w:cs="Times New Roman"/>
          <w:sz w:val="24"/>
          <w:szCs w:val="24"/>
        </w:rPr>
      </w:pPr>
    </w:p>
    <w:p w14:paraId="76A4BD9B" w14:textId="03F018EA" w:rsidR="00B125DC" w:rsidRDefault="00B125DC" w:rsidP="00556853">
      <w:pPr>
        <w:spacing w:after="0" w:line="360" w:lineRule="auto"/>
        <w:rPr>
          <w:rFonts w:ascii="Times New Roman" w:hAnsi="Times New Roman" w:cs="Times New Roman"/>
          <w:bCs/>
          <w:sz w:val="24"/>
          <w:szCs w:val="24"/>
        </w:rPr>
      </w:pPr>
      <w:r w:rsidRPr="00556853">
        <w:rPr>
          <w:rFonts w:ascii="Times New Roman" w:hAnsi="Times New Roman" w:cs="Times New Roman"/>
          <w:bCs/>
          <w:sz w:val="24"/>
          <w:szCs w:val="24"/>
        </w:rPr>
        <w:t>3.1</w:t>
      </w:r>
      <w:r w:rsidRPr="00C24241">
        <w:rPr>
          <w:rFonts w:ascii="Times New Roman" w:hAnsi="Times New Roman" w:cs="Times New Roman"/>
          <w:b/>
          <w:sz w:val="24"/>
          <w:szCs w:val="24"/>
        </w:rPr>
        <w:t xml:space="preserve"> </w:t>
      </w:r>
      <w:r w:rsidR="00556853" w:rsidRPr="00556853">
        <w:rPr>
          <w:rFonts w:ascii="Times New Roman" w:hAnsi="Times New Roman" w:cs="Times New Roman"/>
          <w:bCs/>
          <w:sz w:val="24"/>
          <w:szCs w:val="24"/>
        </w:rPr>
        <w:t>A NOÇÃO DE PARADIGMA EM KUHN</w:t>
      </w:r>
    </w:p>
    <w:p w14:paraId="3D714204" w14:textId="77777777" w:rsidR="00556853" w:rsidRPr="00C24241" w:rsidRDefault="00556853" w:rsidP="00556853">
      <w:pPr>
        <w:spacing w:after="0" w:line="360" w:lineRule="auto"/>
        <w:rPr>
          <w:rFonts w:ascii="Times New Roman" w:hAnsi="Times New Roman" w:cs="Times New Roman"/>
          <w:b/>
          <w:sz w:val="24"/>
          <w:szCs w:val="24"/>
        </w:rPr>
      </w:pPr>
    </w:p>
    <w:p w14:paraId="1F34A808" w14:textId="5FFD227C" w:rsidR="00B125DC" w:rsidRPr="00C24241" w:rsidRDefault="00B125DC" w:rsidP="00556853">
      <w:pPr>
        <w:spacing w:after="0" w:line="360" w:lineRule="auto"/>
        <w:jc w:val="both"/>
        <w:rPr>
          <w:rFonts w:ascii="Times New Roman" w:hAnsi="Times New Roman" w:cs="Times New Roman"/>
          <w:sz w:val="24"/>
          <w:szCs w:val="24"/>
          <w:shd w:val="clear" w:color="auto" w:fill="FFFFFF"/>
        </w:rPr>
      </w:pPr>
      <w:r w:rsidRPr="00C24241">
        <w:rPr>
          <w:rFonts w:ascii="Times New Roman" w:hAnsi="Times New Roman" w:cs="Times New Roman"/>
          <w:sz w:val="24"/>
          <w:szCs w:val="24"/>
        </w:rPr>
        <w:tab/>
        <w:t>“Considero ‘paradigmas’ as realizações científicas universalmente reconhecidas que, durante algum tempo, fornecem problemas e soluções modelares para uma comunidade de praticantes de uma ciência” (K</w:t>
      </w:r>
      <w:r w:rsidR="00556853" w:rsidRPr="00C24241">
        <w:rPr>
          <w:rFonts w:ascii="Times New Roman" w:hAnsi="Times New Roman" w:cs="Times New Roman"/>
          <w:sz w:val="24"/>
          <w:szCs w:val="24"/>
        </w:rPr>
        <w:t>uhn</w:t>
      </w:r>
      <w:r w:rsidRPr="00C24241">
        <w:rPr>
          <w:rFonts w:ascii="Times New Roman" w:hAnsi="Times New Roman" w:cs="Times New Roman"/>
          <w:sz w:val="24"/>
          <w:szCs w:val="24"/>
        </w:rPr>
        <w:t xml:space="preserve">, 2007, p. 13). </w:t>
      </w:r>
      <w:r w:rsidRPr="00C24241">
        <w:rPr>
          <w:rFonts w:ascii="Times New Roman" w:hAnsi="Times New Roman" w:cs="Times New Roman"/>
          <w:sz w:val="24"/>
          <w:szCs w:val="24"/>
          <w:shd w:val="clear" w:color="auto" w:fill="FFFFFF"/>
        </w:rPr>
        <w:t> A Ciência evolui através de revoluções científicas, que substituem um paradigma por outro: “essas transformações de paradigmas da ótica física são revoluções científicas e a transição sucessiva de um paradigma a outro, por meio de uma revolução, é o padrão usual de desenvolvimento da ciência amadurecida.” (Kuhn, 2007, p. 32).</w:t>
      </w:r>
    </w:p>
    <w:p w14:paraId="421EEC82" w14:textId="158E9978" w:rsidR="00B125DC" w:rsidRPr="00C24241" w:rsidRDefault="00B125DC" w:rsidP="00556853">
      <w:pPr>
        <w:spacing w:after="0" w:line="360" w:lineRule="auto"/>
        <w:ind w:firstLine="720"/>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rPr>
        <w:t xml:space="preserve">Comentando as formulações de Kuhn a respeito das revoluções científicas Oliva afirma que “Kuhn se propõe a empreender uma via metacientífica mais abrangente” </w:t>
      </w:r>
      <w:r w:rsidRPr="00C24241">
        <w:rPr>
          <w:rFonts w:ascii="Times New Roman" w:hAnsi="Times New Roman" w:cs="Times New Roman"/>
          <w:sz w:val="24"/>
          <w:szCs w:val="24"/>
        </w:rPr>
        <w:t>(O</w:t>
      </w:r>
      <w:r w:rsidR="00556853" w:rsidRPr="00C24241">
        <w:rPr>
          <w:rFonts w:ascii="Times New Roman" w:hAnsi="Times New Roman" w:cs="Times New Roman"/>
          <w:sz w:val="24"/>
          <w:szCs w:val="24"/>
        </w:rPr>
        <w:t>liva</w:t>
      </w:r>
      <w:r w:rsidRPr="00C24241">
        <w:rPr>
          <w:rFonts w:ascii="Times New Roman" w:hAnsi="Times New Roman" w:cs="Times New Roman"/>
          <w:sz w:val="24"/>
          <w:szCs w:val="24"/>
        </w:rPr>
        <w:t>, 1994, p. 71). Essa via metacientífica significava ir além dos aspectos puramente lógicos das teorias científicas, como vinha sendo analisado pela epistemologia e filosofia da ciência anteriores:</w:t>
      </w:r>
    </w:p>
    <w:p w14:paraId="37641A82" w14:textId="77777777" w:rsidR="00B125DC" w:rsidRPr="00C24241" w:rsidRDefault="00B125DC" w:rsidP="00556853">
      <w:pPr>
        <w:spacing w:after="0" w:line="360" w:lineRule="auto"/>
        <w:jc w:val="both"/>
        <w:rPr>
          <w:rFonts w:ascii="Times New Roman" w:hAnsi="Times New Roman" w:cs="Times New Roman"/>
          <w:sz w:val="24"/>
          <w:szCs w:val="24"/>
        </w:rPr>
      </w:pPr>
      <w:r w:rsidRPr="00C24241">
        <w:rPr>
          <w:rFonts w:ascii="Times New Roman" w:hAnsi="Times New Roman" w:cs="Times New Roman"/>
          <w:sz w:val="24"/>
          <w:szCs w:val="24"/>
        </w:rPr>
        <w:t> </w:t>
      </w:r>
    </w:p>
    <w:p w14:paraId="1659BA8E" w14:textId="7AE3209A" w:rsidR="00B125DC" w:rsidRPr="00C24241" w:rsidRDefault="00B125DC" w:rsidP="00556853">
      <w:pPr>
        <w:spacing w:after="0" w:line="240" w:lineRule="auto"/>
        <w:ind w:left="2268"/>
        <w:jc w:val="both"/>
        <w:rPr>
          <w:rFonts w:ascii="Times New Roman" w:hAnsi="Times New Roman" w:cs="Times New Roman"/>
        </w:rPr>
      </w:pPr>
      <w:r w:rsidRPr="00C24241">
        <w:rPr>
          <w:rFonts w:ascii="Times New Roman" w:hAnsi="Times New Roman" w:cs="Times New Roman"/>
        </w:rPr>
        <w:t>Do ponto de vista semiótico fica claro que Kuhn se recusa a circunscrever o discurso metacientífico a considerações sintáticas (atinentes a requisitos de consistência) e semânticas (referentes aos níveis de correspondência entre teoria e “realidade), uma vez que reputa fundamental, na caracterização da cientificidade, o recurso à pragmática (aos fatores bióticos da comunicação) sob a qual caem categorias como a de persuasão (O</w:t>
      </w:r>
      <w:r w:rsidR="00556853" w:rsidRPr="00C24241">
        <w:rPr>
          <w:rFonts w:ascii="Times New Roman" w:hAnsi="Times New Roman" w:cs="Times New Roman"/>
        </w:rPr>
        <w:t>liva</w:t>
      </w:r>
      <w:r w:rsidRPr="00C24241">
        <w:rPr>
          <w:rFonts w:ascii="Times New Roman" w:hAnsi="Times New Roman" w:cs="Times New Roman"/>
        </w:rPr>
        <w:t>, 1994, p. 72).</w:t>
      </w:r>
    </w:p>
    <w:p w14:paraId="0B569E73" w14:textId="77777777" w:rsidR="00B125DC" w:rsidRPr="00C24241" w:rsidRDefault="00B125DC" w:rsidP="00556853">
      <w:pPr>
        <w:spacing w:after="0" w:line="360" w:lineRule="auto"/>
        <w:ind w:firstLine="720"/>
        <w:jc w:val="both"/>
        <w:rPr>
          <w:rFonts w:ascii="Times New Roman" w:hAnsi="Times New Roman" w:cs="Times New Roman"/>
          <w:sz w:val="24"/>
          <w:szCs w:val="24"/>
        </w:rPr>
      </w:pPr>
    </w:p>
    <w:p w14:paraId="1509527C" w14:textId="77777777" w:rsidR="00B125DC" w:rsidRPr="00C24241" w:rsidRDefault="00B125DC" w:rsidP="00556853">
      <w:pPr>
        <w:spacing w:after="0" w:line="360" w:lineRule="auto"/>
        <w:ind w:firstLine="720"/>
        <w:jc w:val="both"/>
        <w:rPr>
          <w:rFonts w:ascii="Times New Roman" w:hAnsi="Times New Roman" w:cs="Times New Roman"/>
          <w:sz w:val="24"/>
          <w:szCs w:val="24"/>
        </w:rPr>
      </w:pPr>
      <w:r w:rsidRPr="00C24241">
        <w:rPr>
          <w:rFonts w:ascii="Times New Roman" w:hAnsi="Times New Roman" w:cs="Times New Roman"/>
          <w:sz w:val="24"/>
          <w:szCs w:val="24"/>
        </w:rPr>
        <w:t xml:space="preserve">Kuhn (2007, p. 23) destaca a “incomensurabilidade” das várias escolas científicas e seus respectivos paradigmas. “Elas falam a partir daquilo que chamei de pontos de vista incomensuráveis. Se não podem nem se comunicar como poderão persuadir um ao outro?” (KUHN, 2007, p. 249). E ainda, “quando duas escolas científicas discordam sobre o que é um problema e o que é uma solução, elas inevitavelmente travarão um diálogo de surdos” (KUHN, 2007, p. 144). No entanto o que se observa nas práticas da CI de hoje são temas como: acúmulo sistemático de acervos ou “ativos de informação”; seu tratamento para fins de recuperação; os estudos de usuários e necessidades de informação; e a pesquisa em interfaces a sistemas de </w:t>
      </w:r>
      <w:r w:rsidRPr="00C24241">
        <w:rPr>
          <w:rFonts w:ascii="Times New Roman" w:hAnsi="Times New Roman" w:cs="Times New Roman"/>
          <w:sz w:val="24"/>
          <w:szCs w:val="24"/>
        </w:rPr>
        <w:lastRenderedPageBreak/>
        <w:t>recuperação de informação (SRI) que ajudem os usuários a recuperarem informações mais relevantes, ou que “ranqueiem” os resultados de acordo com sua relevância; ou estudos de vieses ideológicos ou preconceitos nas linguagens documentárias ou a adoção de diversos mecanismos de atingir consensos e comunidades de práticas, destinados a estabelecer padrões. Os “paradigmas” convivem hoje nas práticas de informação e na CI. </w:t>
      </w:r>
    </w:p>
    <w:p w14:paraId="21AE1513" w14:textId="77777777" w:rsidR="00B125DC" w:rsidRPr="00C24241" w:rsidRDefault="00B125DC" w:rsidP="00556853">
      <w:pPr>
        <w:spacing w:after="0" w:line="360" w:lineRule="auto"/>
        <w:jc w:val="both"/>
        <w:rPr>
          <w:rFonts w:ascii="Times New Roman" w:hAnsi="Times New Roman" w:cs="Times New Roman"/>
          <w:sz w:val="24"/>
          <w:szCs w:val="24"/>
        </w:rPr>
      </w:pPr>
      <w:r w:rsidRPr="00C24241">
        <w:rPr>
          <w:rFonts w:ascii="Times New Roman" w:hAnsi="Times New Roman" w:cs="Times New Roman"/>
          <w:sz w:val="24"/>
          <w:szCs w:val="24"/>
        </w:rPr>
        <w:t> </w:t>
      </w:r>
      <w:r w:rsidRPr="00C24241">
        <w:rPr>
          <w:rFonts w:ascii="Times New Roman" w:hAnsi="Times New Roman" w:cs="Times New Roman"/>
          <w:sz w:val="24"/>
          <w:szCs w:val="24"/>
        </w:rPr>
        <w:tab/>
        <w:t>Oliva</w:t>
      </w:r>
      <w:r>
        <w:rPr>
          <w:rFonts w:ascii="Times New Roman" w:hAnsi="Times New Roman" w:cs="Times New Roman"/>
          <w:sz w:val="24"/>
          <w:szCs w:val="24"/>
        </w:rPr>
        <w:t xml:space="preserve"> (1994)</w:t>
      </w:r>
      <w:r w:rsidRPr="00C24241">
        <w:rPr>
          <w:rFonts w:ascii="Times New Roman" w:hAnsi="Times New Roman" w:cs="Times New Roman"/>
          <w:sz w:val="24"/>
          <w:szCs w:val="24"/>
        </w:rPr>
        <w:t>, discutindo a questão dos paradigmas em Kuhn, afirma que a adoção de um paradigma por determinada comunidade científica garante a essa comunidade uma certa unificação ao enfrentar três tipos de questão:</w:t>
      </w:r>
    </w:p>
    <w:p w14:paraId="2E6B2BF5" w14:textId="77777777" w:rsidR="00B125DC" w:rsidRPr="00C24241" w:rsidRDefault="00B125DC" w:rsidP="00556853">
      <w:pPr>
        <w:spacing w:after="0" w:line="360" w:lineRule="auto"/>
        <w:jc w:val="both"/>
        <w:rPr>
          <w:rFonts w:ascii="Times New Roman" w:hAnsi="Times New Roman" w:cs="Times New Roman"/>
          <w:sz w:val="24"/>
          <w:szCs w:val="24"/>
        </w:rPr>
      </w:pPr>
      <w:r w:rsidRPr="00C24241">
        <w:rPr>
          <w:rFonts w:ascii="Times New Roman" w:hAnsi="Times New Roman" w:cs="Times New Roman"/>
          <w:sz w:val="24"/>
          <w:szCs w:val="24"/>
        </w:rPr>
        <w:t> </w:t>
      </w:r>
    </w:p>
    <w:p w14:paraId="6082165E" w14:textId="77777777" w:rsidR="00B125DC" w:rsidRPr="00556853" w:rsidRDefault="00B125DC" w:rsidP="00556853">
      <w:pPr>
        <w:spacing w:after="0" w:line="240" w:lineRule="auto"/>
        <w:ind w:left="2268"/>
        <w:jc w:val="both"/>
        <w:rPr>
          <w:rFonts w:ascii="Times New Roman" w:hAnsi="Times New Roman" w:cs="Times New Roman"/>
          <w:sz w:val="20"/>
          <w:szCs w:val="20"/>
        </w:rPr>
      </w:pPr>
      <w:r w:rsidRPr="00556853">
        <w:rPr>
          <w:rFonts w:ascii="Times New Roman" w:hAnsi="Times New Roman" w:cs="Times New Roman"/>
          <w:sz w:val="20"/>
          <w:szCs w:val="20"/>
        </w:rPr>
        <w:t xml:space="preserve">1. Quais as </w:t>
      </w:r>
      <w:r w:rsidRPr="00556853">
        <w:rPr>
          <w:rFonts w:ascii="Times New Roman" w:hAnsi="Times New Roman" w:cs="Times New Roman"/>
          <w:i/>
          <w:iCs/>
          <w:sz w:val="20"/>
          <w:szCs w:val="20"/>
        </w:rPr>
        <w:t>entidades fundamentais</w:t>
      </w:r>
      <w:r w:rsidRPr="00556853">
        <w:rPr>
          <w:rFonts w:ascii="Times New Roman" w:hAnsi="Times New Roman" w:cs="Times New Roman"/>
          <w:sz w:val="20"/>
          <w:szCs w:val="20"/>
        </w:rPr>
        <w:t xml:space="preserve"> de que se compõe o universo? [...]</w:t>
      </w:r>
    </w:p>
    <w:p w14:paraId="79A0EF1C" w14:textId="77777777" w:rsidR="00B125DC" w:rsidRPr="00556853" w:rsidRDefault="00B125DC" w:rsidP="00556853">
      <w:pPr>
        <w:spacing w:after="0" w:line="240" w:lineRule="auto"/>
        <w:ind w:left="2268"/>
        <w:jc w:val="both"/>
        <w:rPr>
          <w:rFonts w:ascii="Times New Roman" w:hAnsi="Times New Roman" w:cs="Times New Roman"/>
          <w:sz w:val="20"/>
          <w:szCs w:val="20"/>
        </w:rPr>
      </w:pPr>
      <w:r w:rsidRPr="00556853">
        <w:rPr>
          <w:rFonts w:ascii="Times New Roman" w:hAnsi="Times New Roman" w:cs="Times New Roman"/>
          <w:sz w:val="20"/>
          <w:szCs w:val="20"/>
        </w:rPr>
        <w:t xml:space="preserve">2. Que </w:t>
      </w:r>
      <w:r w:rsidRPr="00556853">
        <w:rPr>
          <w:rFonts w:ascii="Times New Roman" w:hAnsi="Times New Roman" w:cs="Times New Roman"/>
          <w:i/>
          <w:iCs/>
          <w:sz w:val="20"/>
          <w:szCs w:val="20"/>
        </w:rPr>
        <w:t>interrogações</w:t>
      </w:r>
      <w:r w:rsidRPr="00556853">
        <w:rPr>
          <w:rFonts w:ascii="Times New Roman" w:hAnsi="Times New Roman" w:cs="Times New Roman"/>
          <w:sz w:val="20"/>
          <w:szCs w:val="20"/>
        </w:rPr>
        <w:t xml:space="preserve"> hipotéticas podem ser legitimamente formuladas a respeito de tais entidades? [...]</w:t>
      </w:r>
    </w:p>
    <w:p w14:paraId="2E01F2A5" w14:textId="6013E5C5" w:rsidR="00B125DC" w:rsidRPr="00556853" w:rsidRDefault="00B125DC" w:rsidP="00556853">
      <w:pPr>
        <w:spacing w:after="0" w:line="240" w:lineRule="auto"/>
        <w:ind w:left="2268"/>
        <w:jc w:val="both"/>
        <w:rPr>
          <w:rFonts w:ascii="Times New Roman" w:hAnsi="Times New Roman" w:cs="Times New Roman"/>
          <w:sz w:val="20"/>
          <w:szCs w:val="20"/>
        </w:rPr>
      </w:pPr>
      <w:r w:rsidRPr="00556853">
        <w:rPr>
          <w:rFonts w:ascii="Times New Roman" w:hAnsi="Times New Roman" w:cs="Times New Roman"/>
          <w:sz w:val="20"/>
          <w:szCs w:val="20"/>
        </w:rPr>
        <w:t xml:space="preserve">3. Que </w:t>
      </w:r>
      <w:r w:rsidRPr="00556853">
        <w:rPr>
          <w:rFonts w:ascii="Times New Roman" w:hAnsi="Times New Roman" w:cs="Times New Roman"/>
          <w:i/>
          <w:iCs/>
          <w:sz w:val="20"/>
          <w:szCs w:val="20"/>
        </w:rPr>
        <w:t xml:space="preserve">técnicas </w:t>
      </w:r>
      <w:r w:rsidRPr="00556853">
        <w:rPr>
          <w:rFonts w:ascii="Times New Roman" w:hAnsi="Times New Roman" w:cs="Times New Roman"/>
          <w:sz w:val="20"/>
          <w:szCs w:val="20"/>
        </w:rPr>
        <w:t>podem ser empregadas na busca de soluções para o tipo de problema isolado como legítimo? (O</w:t>
      </w:r>
      <w:r w:rsidR="00556853" w:rsidRPr="00556853">
        <w:rPr>
          <w:rFonts w:ascii="Times New Roman" w:hAnsi="Times New Roman" w:cs="Times New Roman"/>
          <w:sz w:val="20"/>
          <w:szCs w:val="20"/>
        </w:rPr>
        <w:t>liva</w:t>
      </w:r>
      <w:r w:rsidRPr="00556853">
        <w:rPr>
          <w:rFonts w:ascii="Times New Roman" w:hAnsi="Times New Roman" w:cs="Times New Roman"/>
          <w:sz w:val="20"/>
          <w:szCs w:val="20"/>
        </w:rPr>
        <w:t>, 1994, p. 76).</w:t>
      </w:r>
    </w:p>
    <w:p w14:paraId="1BC665F5" w14:textId="77777777" w:rsidR="00B125DC" w:rsidRPr="00C24241" w:rsidRDefault="00B125DC" w:rsidP="00556853">
      <w:pPr>
        <w:spacing w:after="0" w:line="360" w:lineRule="auto"/>
        <w:rPr>
          <w:rFonts w:ascii="Times New Roman" w:hAnsi="Times New Roman" w:cs="Times New Roman"/>
          <w:sz w:val="24"/>
          <w:szCs w:val="24"/>
          <w:highlight w:val="red"/>
        </w:rPr>
      </w:pPr>
    </w:p>
    <w:p w14:paraId="25421C75" w14:textId="7CF0AA7B" w:rsidR="00B125DC" w:rsidRPr="00C24241" w:rsidRDefault="00B125DC" w:rsidP="00556853">
      <w:pPr>
        <w:spacing w:after="0" w:line="360" w:lineRule="auto"/>
        <w:jc w:val="both"/>
        <w:rPr>
          <w:rFonts w:ascii="Times New Roman" w:hAnsi="Times New Roman" w:cs="Times New Roman"/>
          <w:sz w:val="24"/>
          <w:szCs w:val="24"/>
        </w:rPr>
      </w:pPr>
      <w:r w:rsidRPr="00C24241">
        <w:rPr>
          <w:rFonts w:ascii="Times New Roman" w:hAnsi="Times New Roman" w:cs="Times New Roman"/>
          <w:sz w:val="24"/>
          <w:szCs w:val="24"/>
        </w:rPr>
        <w:tab/>
        <w:t>Logo, percebe-se que o conceito de paradigma utilizado na CI, não pode ser associado ao conceito elaborado por Kuhn, pois não há rupturas teóricas para formação de paradigmas. Existem visões teóricas que coexistem e se complementam formando uma epistemologia da CI.</w:t>
      </w:r>
    </w:p>
    <w:p w14:paraId="744A6DAC" w14:textId="77777777" w:rsidR="00B125DC" w:rsidRPr="00C24241" w:rsidRDefault="00B125DC" w:rsidP="00556853">
      <w:pPr>
        <w:spacing w:after="0" w:line="360" w:lineRule="auto"/>
        <w:jc w:val="both"/>
        <w:rPr>
          <w:rFonts w:ascii="Times New Roman" w:hAnsi="Times New Roman" w:cs="Times New Roman"/>
          <w:b/>
          <w:sz w:val="24"/>
          <w:szCs w:val="24"/>
        </w:rPr>
      </w:pPr>
    </w:p>
    <w:p w14:paraId="665E5006" w14:textId="0A125918" w:rsidR="00B125DC" w:rsidRDefault="00B125DC" w:rsidP="00556853">
      <w:pPr>
        <w:spacing w:after="0" w:line="360" w:lineRule="auto"/>
        <w:jc w:val="both"/>
        <w:rPr>
          <w:rFonts w:ascii="Times New Roman" w:hAnsi="Times New Roman" w:cs="Times New Roman"/>
          <w:bCs/>
          <w:sz w:val="24"/>
          <w:szCs w:val="24"/>
        </w:rPr>
      </w:pPr>
      <w:r w:rsidRPr="00556853">
        <w:rPr>
          <w:rFonts w:ascii="Times New Roman" w:hAnsi="Times New Roman" w:cs="Times New Roman"/>
          <w:bCs/>
          <w:sz w:val="24"/>
          <w:szCs w:val="24"/>
        </w:rPr>
        <w:t xml:space="preserve">3.2 </w:t>
      </w:r>
      <w:r w:rsidR="00556853" w:rsidRPr="00556853">
        <w:rPr>
          <w:rFonts w:ascii="Times New Roman" w:hAnsi="Times New Roman" w:cs="Times New Roman"/>
          <w:bCs/>
          <w:sz w:val="24"/>
          <w:szCs w:val="24"/>
        </w:rPr>
        <w:t>A SEMIÓTICA E A INTEGRAÇÃO DOS PARADIGMAS DA CI</w:t>
      </w:r>
    </w:p>
    <w:p w14:paraId="7B1FBFC7" w14:textId="77777777" w:rsidR="00556853" w:rsidRPr="00556853" w:rsidRDefault="00556853" w:rsidP="00556853">
      <w:pPr>
        <w:spacing w:after="0" w:line="360" w:lineRule="auto"/>
        <w:jc w:val="both"/>
        <w:rPr>
          <w:rFonts w:ascii="Times New Roman" w:hAnsi="Times New Roman" w:cs="Times New Roman"/>
          <w:bCs/>
          <w:sz w:val="24"/>
          <w:szCs w:val="24"/>
        </w:rPr>
      </w:pPr>
    </w:p>
    <w:p w14:paraId="2F6BEAA8" w14:textId="27259FC9"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 xml:space="preserve">Ao discutir a existência de fenômenos que não se enquadram no paradigma vigente, as anomalias, Kuhn destaca a importância para a mudança de paradigma, da formulação de novas categorias, que deem conta de compreender tanto a existência de um fenômeno quanto sua natureza: “Somente quando todas essas </w:t>
      </w:r>
      <w:r w:rsidRPr="00C24241">
        <w:rPr>
          <w:rFonts w:ascii="Times New Roman" w:hAnsi="Times New Roman" w:cs="Times New Roman"/>
          <w:iCs/>
          <w:sz w:val="24"/>
          <w:szCs w:val="24"/>
        </w:rPr>
        <w:t>categorias conceituais</w:t>
      </w:r>
      <w:r w:rsidRPr="00C24241">
        <w:rPr>
          <w:rFonts w:ascii="Times New Roman" w:hAnsi="Times New Roman" w:cs="Times New Roman"/>
          <w:sz w:val="24"/>
          <w:szCs w:val="24"/>
        </w:rPr>
        <w:t xml:space="preserve"> relevantes estão preparadas de antemão (e nesse caso não se trata de um novo tipo de fenômeno) pode-se descobrir ao mesmo tempo, rápida e facilmente, a existência e a natureza do que ocorre” (K</w:t>
      </w:r>
      <w:r w:rsidR="00556853" w:rsidRPr="00C24241">
        <w:rPr>
          <w:rFonts w:ascii="Times New Roman" w:hAnsi="Times New Roman" w:cs="Times New Roman"/>
          <w:sz w:val="24"/>
          <w:szCs w:val="24"/>
        </w:rPr>
        <w:t>uhn</w:t>
      </w:r>
      <w:r w:rsidRPr="00C24241">
        <w:rPr>
          <w:rFonts w:ascii="Times New Roman" w:hAnsi="Times New Roman" w:cs="Times New Roman"/>
          <w:sz w:val="24"/>
          <w:szCs w:val="24"/>
        </w:rPr>
        <w:t xml:space="preserve">, 2007, p. 81). E ainda “[...] essas características incluem: a consciência prévia das anomalias, a emergência gradual e simultânea de um reconhecimento tanto no plano conceitual como no plano da observação e a consequente mudança das </w:t>
      </w:r>
      <w:r w:rsidRPr="00C24241">
        <w:rPr>
          <w:rFonts w:ascii="Times New Roman" w:hAnsi="Times New Roman" w:cs="Times New Roman"/>
          <w:i/>
          <w:iCs/>
          <w:sz w:val="24"/>
          <w:szCs w:val="24"/>
        </w:rPr>
        <w:t>categorias</w:t>
      </w:r>
      <w:r w:rsidRPr="00C24241">
        <w:rPr>
          <w:rFonts w:ascii="Times New Roman" w:hAnsi="Times New Roman" w:cs="Times New Roman"/>
          <w:sz w:val="24"/>
          <w:szCs w:val="24"/>
        </w:rPr>
        <w:t xml:space="preserve"> e procedimentos paradigmáticos” (K</w:t>
      </w:r>
      <w:r w:rsidR="00556853" w:rsidRPr="00C24241">
        <w:rPr>
          <w:rFonts w:ascii="Times New Roman" w:hAnsi="Times New Roman" w:cs="Times New Roman"/>
          <w:sz w:val="24"/>
          <w:szCs w:val="24"/>
        </w:rPr>
        <w:t>uhn</w:t>
      </w:r>
      <w:r w:rsidRPr="00C24241">
        <w:rPr>
          <w:rFonts w:ascii="Times New Roman" w:hAnsi="Times New Roman" w:cs="Times New Roman"/>
          <w:sz w:val="24"/>
          <w:szCs w:val="24"/>
        </w:rPr>
        <w:t>, 2007, p. 89).</w:t>
      </w:r>
    </w:p>
    <w:p w14:paraId="5A15F371" w14:textId="0EBEB780"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A CI surge para endereçar o problema do excesso de informação característico das sociedades modernas (S</w:t>
      </w:r>
      <w:r w:rsidR="00556853" w:rsidRPr="00C24241">
        <w:rPr>
          <w:rFonts w:ascii="Times New Roman" w:hAnsi="Times New Roman" w:cs="Times New Roman"/>
          <w:sz w:val="24"/>
          <w:szCs w:val="24"/>
        </w:rPr>
        <w:t>aracevic</w:t>
      </w:r>
      <w:r w:rsidRPr="00C24241">
        <w:rPr>
          <w:rFonts w:ascii="Times New Roman" w:hAnsi="Times New Roman" w:cs="Times New Roman"/>
          <w:sz w:val="24"/>
          <w:szCs w:val="24"/>
        </w:rPr>
        <w:t>, 1995). Para tanto, criou uma teoria do “</w:t>
      </w:r>
      <w:r w:rsidRPr="00C24241">
        <w:rPr>
          <w:rFonts w:ascii="Times New Roman" w:hAnsi="Times New Roman" w:cs="Times New Roman"/>
          <w:i/>
          <w:iCs/>
          <w:sz w:val="24"/>
          <w:szCs w:val="24"/>
        </w:rPr>
        <w:t>Information Retrieval</w:t>
      </w:r>
      <w:r w:rsidRPr="00C24241">
        <w:rPr>
          <w:rFonts w:ascii="Times New Roman" w:hAnsi="Times New Roman" w:cs="Times New Roman"/>
          <w:sz w:val="24"/>
          <w:szCs w:val="24"/>
        </w:rPr>
        <w:t>”, outra sobre relevância, outra sobre comunicação científica, sem, no entanto, fazer esforços em interligá-las. Quem produz a informação? Com qual intenção? Quem usa? Com qual intenção? </w:t>
      </w:r>
    </w:p>
    <w:p w14:paraId="172909AC"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lastRenderedPageBreak/>
        <w:t>Percebe-se então que existem “fenômenos anômalos” ou não explicados ou superficialmente explicados, por cada um dos “paradigmas” da CI, estes seriam, em cada “paradigma”:</w:t>
      </w:r>
    </w:p>
    <w:p w14:paraId="1C64DA3D" w14:textId="77777777" w:rsidR="00B125DC" w:rsidRPr="00C24241" w:rsidRDefault="00B125DC" w:rsidP="00556853">
      <w:pPr>
        <w:pStyle w:val="PargrafodaLista"/>
        <w:numPr>
          <w:ilvl w:val="0"/>
          <w:numId w:val="2"/>
        </w:numPr>
        <w:spacing w:line="360" w:lineRule="auto"/>
        <w:jc w:val="both"/>
        <w:textAlignment w:val="baseline"/>
        <w:rPr>
          <w:rFonts w:ascii="Times New Roman" w:hAnsi="Times New Roman" w:cs="Times New Roman"/>
          <w:sz w:val="24"/>
          <w:szCs w:val="24"/>
        </w:rPr>
      </w:pPr>
      <w:r w:rsidRPr="00C24241">
        <w:rPr>
          <w:rFonts w:ascii="Times New Roman" w:hAnsi="Times New Roman" w:cs="Times New Roman"/>
          <w:sz w:val="24"/>
          <w:szCs w:val="24"/>
        </w:rPr>
        <w:t>“Paradigma físico”: o papel das necessidades e do estado de conhecimento do usuário da informação; o significado das mensagens, não considerado na teoria de Shanon e Weaver; a elaboração do processo de Comunicação Científica, estudos de comunidade científica e citação, conforme UNISIST (1971), Garvey (1979), Garfield (1994) e Meadows (1999), e as teorias da CI a este respeito, o papel do produtor de informação, de sua intencionalidade ao produzir uma mensagem.</w:t>
      </w:r>
    </w:p>
    <w:p w14:paraId="641505F6" w14:textId="37545146" w:rsidR="00B125DC" w:rsidRPr="00C24241" w:rsidRDefault="00B125DC" w:rsidP="00556853">
      <w:pPr>
        <w:pStyle w:val="PargrafodaLista"/>
        <w:numPr>
          <w:ilvl w:val="0"/>
          <w:numId w:val="2"/>
        </w:numPr>
        <w:spacing w:line="360" w:lineRule="auto"/>
        <w:jc w:val="both"/>
        <w:textAlignment w:val="baseline"/>
        <w:rPr>
          <w:rFonts w:ascii="Times New Roman" w:hAnsi="Times New Roman" w:cs="Times New Roman"/>
          <w:sz w:val="24"/>
          <w:szCs w:val="24"/>
        </w:rPr>
      </w:pPr>
      <w:r w:rsidRPr="00C24241">
        <w:rPr>
          <w:rFonts w:ascii="Times New Roman" w:hAnsi="Times New Roman" w:cs="Times New Roman"/>
          <w:sz w:val="24"/>
          <w:szCs w:val="24"/>
        </w:rPr>
        <w:t>“Paradigma cognitivo”: o papel dos domínios de conhecimento e de ação social em determinarem os significados; “The authors conclude that Belkin’s idea of information and his idea of communication lack the social aspect.” (</w:t>
      </w:r>
      <w:r w:rsidR="00556853" w:rsidRPr="00C24241">
        <w:rPr>
          <w:rFonts w:ascii="Times New Roman" w:hAnsi="Times New Roman" w:cs="Times New Roman"/>
          <w:sz w:val="24"/>
          <w:szCs w:val="24"/>
        </w:rPr>
        <w:t>Thellefsen; Sørensen; Thellefsen</w:t>
      </w:r>
      <w:r w:rsidRPr="00C24241">
        <w:rPr>
          <w:rFonts w:ascii="Times New Roman" w:hAnsi="Times New Roman" w:cs="Times New Roman"/>
          <w:sz w:val="24"/>
          <w:szCs w:val="24"/>
        </w:rPr>
        <w:t>, 2014, p. 74).</w:t>
      </w:r>
    </w:p>
    <w:p w14:paraId="1592AA3A" w14:textId="77777777" w:rsidR="00B125DC" w:rsidRPr="00C24241" w:rsidRDefault="00B125DC" w:rsidP="00556853">
      <w:pPr>
        <w:pStyle w:val="PargrafodaLista"/>
        <w:numPr>
          <w:ilvl w:val="0"/>
          <w:numId w:val="2"/>
        </w:numPr>
        <w:spacing w:line="360" w:lineRule="auto"/>
        <w:jc w:val="both"/>
        <w:textAlignment w:val="baseline"/>
        <w:rPr>
          <w:rFonts w:ascii="Times New Roman" w:hAnsi="Times New Roman" w:cs="Times New Roman"/>
          <w:sz w:val="24"/>
          <w:szCs w:val="24"/>
        </w:rPr>
      </w:pPr>
      <w:r w:rsidRPr="00C24241">
        <w:rPr>
          <w:rFonts w:ascii="Times New Roman" w:hAnsi="Times New Roman" w:cs="Times New Roman"/>
          <w:sz w:val="24"/>
          <w:szCs w:val="24"/>
        </w:rPr>
        <w:t>“Paradigma sócio-cognitivo”: se constitui em uma crítica, em especial ao “paradigma cognitivo”; tem uma formulação bastante genérica, não abrangendo todos os fenômenos de interesse da CI nem dando indicações de como poderia ser operacionalizada. Os “fenômenos anômalos seriam: o papel do produtor de informação, de sua intencionalidade ao produzir uma mensagem, o quadro conceitual do produtor e do usuário da informação, construídos ao longo das suas existências e experiências (não se reduz ao social, ver Piaget (1983), as práticas de informação de acumulação e tratamento de acervos potencialmente informativos, a noção de necessidade individual de informação (intencionalidade) para resolver um problema, de relevância.</w:t>
      </w:r>
    </w:p>
    <w:p w14:paraId="2328CC92" w14:textId="77777777" w:rsidR="00556853" w:rsidRDefault="00556853" w:rsidP="00556853">
      <w:pPr>
        <w:spacing w:after="0" w:line="360" w:lineRule="auto"/>
        <w:ind w:firstLine="700"/>
        <w:jc w:val="both"/>
        <w:rPr>
          <w:rFonts w:ascii="Times New Roman" w:hAnsi="Times New Roman" w:cs="Times New Roman"/>
          <w:sz w:val="24"/>
          <w:szCs w:val="24"/>
        </w:rPr>
      </w:pPr>
    </w:p>
    <w:p w14:paraId="36993036" w14:textId="2ABCAC40"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A seguir são descritos, com base em autores da Semiótica, todo este processo que vai desde a percepção humana individual até a transferência intersubjetiva de significados, que configuram uma abrangente epistemologia (</w:t>
      </w:r>
      <w:r w:rsidR="00556853" w:rsidRPr="00C24241">
        <w:rPr>
          <w:rFonts w:ascii="Times New Roman" w:hAnsi="Times New Roman" w:cs="Times New Roman"/>
          <w:sz w:val="24"/>
          <w:szCs w:val="24"/>
        </w:rPr>
        <w:t>Santaella</w:t>
      </w:r>
      <w:r w:rsidR="00556853">
        <w:rPr>
          <w:rFonts w:ascii="Times New Roman" w:hAnsi="Times New Roman" w:cs="Times New Roman"/>
          <w:sz w:val="24"/>
          <w:szCs w:val="24"/>
        </w:rPr>
        <w:t>;</w:t>
      </w:r>
      <w:r w:rsidR="00556853" w:rsidRPr="00C24241">
        <w:rPr>
          <w:rFonts w:ascii="Times New Roman" w:hAnsi="Times New Roman" w:cs="Times New Roman"/>
          <w:sz w:val="24"/>
          <w:szCs w:val="24"/>
        </w:rPr>
        <w:t xml:space="preserve"> Vieira</w:t>
      </w:r>
      <w:r w:rsidRPr="00C24241">
        <w:rPr>
          <w:rFonts w:ascii="Times New Roman" w:hAnsi="Times New Roman" w:cs="Times New Roman"/>
          <w:sz w:val="24"/>
          <w:szCs w:val="24"/>
        </w:rPr>
        <w:t>, 2008, p. 55). Ao descrever este processo amplo serão assinaladas as etapas ou subprocessos que correspondem aos “paradigmas” da CI.   </w:t>
      </w:r>
    </w:p>
    <w:p w14:paraId="2DDB69DA" w14:textId="77777777" w:rsidR="00B125DC" w:rsidRPr="00B125DC" w:rsidRDefault="00B125DC" w:rsidP="00556853">
      <w:pPr>
        <w:spacing w:after="0" w:line="360" w:lineRule="auto"/>
        <w:ind w:firstLine="700"/>
        <w:jc w:val="both"/>
        <w:rPr>
          <w:rFonts w:ascii="Times New Roman" w:hAnsi="Times New Roman" w:cs="Times New Roman"/>
          <w:sz w:val="24"/>
          <w:szCs w:val="24"/>
          <w:highlight w:val="yellow"/>
        </w:rPr>
      </w:pPr>
      <w:r w:rsidRPr="00C24241">
        <w:rPr>
          <w:rFonts w:ascii="Times New Roman" w:hAnsi="Times New Roman" w:cs="Times New Roman"/>
          <w:sz w:val="24"/>
          <w:szCs w:val="24"/>
        </w:rPr>
        <w:t xml:space="preserve"> Os requisitos para um conceito de informação para a CI, de Belkin (1978), delineiam um processo completo de geração e transferência de informação e vão servir de base para uma parte desse processo, ao qual, em virtude de que esse não contempla os aspectos sociais enfatizados no paradigma sócio-cognitivo, adicionamos a colocação de Thellefsen, Sørensen e Thellefsen, o chamado modelo Dynacom, como parâmetro para comparar as explicações dos </w:t>
      </w:r>
      <w:r w:rsidRPr="00C24241">
        <w:rPr>
          <w:rFonts w:ascii="Times New Roman" w:hAnsi="Times New Roman" w:cs="Times New Roman"/>
          <w:sz w:val="24"/>
          <w:szCs w:val="24"/>
        </w:rPr>
        <w:lastRenderedPageBreak/>
        <w:t xml:space="preserve">paradigmas fornecidas pela Semiótica. </w:t>
      </w:r>
      <w:r w:rsidRPr="00B125DC">
        <w:rPr>
          <w:rFonts w:ascii="Times New Roman" w:hAnsi="Times New Roman" w:cs="Times New Roman"/>
          <w:sz w:val="24"/>
          <w:szCs w:val="24"/>
        </w:rPr>
        <w:t>Esses requisitos, consolidados no modelo Dynacom, são os seguintes:</w:t>
      </w:r>
    </w:p>
    <w:p w14:paraId="0C20C67F"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rPr>
      </w:pPr>
      <w:r w:rsidRPr="00556853">
        <w:rPr>
          <w:rFonts w:ascii="Times New Roman" w:hAnsi="Times New Roman" w:cs="Times New Roman"/>
          <w:sz w:val="20"/>
          <w:szCs w:val="20"/>
        </w:rPr>
        <w:t>The Dynacom and its requirements</w:t>
      </w:r>
    </w:p>
    <w:p w14:paraId="606BA198"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(1) There must be an utterer, who is be able to intend communication, and an interpreter, who must be able to be effected by the utterer’s intention.</w:t>
      </w:r>
    </w:p>
    <w:p w14:paraId="1C232B8C"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(2) There has to be something, which is transmitted from utterer to interpreter. This something is signs.</w:t>
      </w:r>
    </w:p>
    <w:p w14:paraId="0C4A5FD9"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(3) What is transmitted must be able to cause effects in both utterer and interpreter, effects which are more or less similar.</w:t>
      </w:r>
    </w:p>
    <w:p w14:paraId="1C4BADF9"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(4) Communication has to take place inside a universe of discourse.</w:t>
      </w:r>
    </w:p>
    <w:p w14:paraId="1E5DEE65"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 xml:space="preserve">(5) Utterer and interpreter must share collateral experience. </w:t>
      </w:r>
    </w:p>
    <w:p w14:paraId="148F505E" w14:textId="77777777" w:rsidR="00B125DC" w:rsidRPr="00556853" w:rsidRDefault="00B125DC" w:rsidP="00556853">
      <w:pPr>
        <w:autoSpaceDE w:val="0"/>
        <w:autoSpaceDN w:val="0"/>
        <w:adjustRightInd w:val="0"/>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(6) The conditions for community defined by Peirce must be met.</w:t>
      </w:r>
    </w:p>
    <w:p w14:paraId="590AD80D" w14:textId="6613A7F2" w:rsidR="00B125DC" w:rsidRPr="00556853" w:rsidRDefault="00B125DC" w:rsidP="00556853">
      <w:pPr>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(7) The cominterpretant must occur. (</w:t>
      </w:r>
      <w:r w:rsidR="00556853" w:rsidRPr="00556853">
        <w:rPr>
          <w:rFonts w:ascii="Times New Roman" w:hAnsi="Times New Roman" w:cs="Times New Roman"/>
          <w:sz w:val="20"/>
          <w:szCs w:val="20"/>
          <w:lang w:val="en-US"/>
        </w:rPr>
        <w:t>Thellefsen, Sørensen, Thellefsen</w:t>
      </w:r>
      <w:r w:rsidRPr="00556853">
        <w:rPr>
          <w:rFonts w:ascii="Times New Roman" w:hAnsi="Times New Roman" w:cs="Times New Roman"/>
          <w:sz w:val="20"/>
          <w:szCs w:val="20"/>
          <w:lang w:val="en-US"/>
        </w:rPr>
        <w:t>, 2014, p. 83).</w:t>
      </w:r>
    </w:p>
    <w:p w14:paraId="100F4384" w14:textId="77777777" w:rsidR="00B125DC" w:rsidRPr="00C24241" w:rsidRDefault="00B125DC" w:rsidP="00556853">
      <w:pPr>
        <w:spacing w:after="0" w:line="360" w:lineRule="auto"/>
        <w:ind w:firstLine="700"/>
        <w:jc w:val="both"/>
        <w:rPr>
          <w:rFonts w:ascii="Times New Roman" w:hAnsi="Times New Roman" w:cs="Times New Roman"/>
          <w:sz w:val="24"/>
          <w:szCs w:val="24"/>
          <w:lang w:val="en-US"/>
        </w:rPr>
      </w:pPr>
      <w:r w:rsidRPr="00C24241">
        <w:rPr>
          <w:rFonts w:ascii="Times New Roman" w:hAnsi="Times New Roman" w:cs="Times New Roman"/>
          <w:sz w:val="24"/>
          <w:szCs w:val="24"/>
          <w:lang w:val="en-US"/>
        </w:rPr>
        <w:t> </w:t>
      </w:r>
    </w:p>
    <w:p w14:paraId="349DDBCC" w14:textId="24CB9C99"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rPr>
        <w:t>Como surgem os pensamentos humanos, sua consciência do mundo, como os homens se comunicam com seus semelhantes para articular suas ações no mundo? O processo de percepção, consciência e comunicação está ligado ao signo, visto como “h</w:t>
      </w:r>
      <w:r w:rsidRPr="00C24241">
        <w:rPr>
          <w:rFonts w:ascii="Times New Roman" w:hAnsi="Times New Roman" w:cs="Times New Roman"/>
          <w:sz w:val="24"/>
          <w:szCs w:val="24"/>
        </w:rPr>
        <w:t>á, pois, signo toda vez que um grupo humano decide usar algo como veículo de outra coisa” (E</w:t>
      </w:r>
      <w:r w:rsidR="00556853" w:rsidRPr="00C24241">
        <w:rPr>
          <w:rFonts w:ascii="Times New Roman" w:hAnsi="Times New Roman" w:cs="Times New Roman"/>
          <w:sz w:val="24"/>
          <w:szCs w:val="24"/>
        </w:rPr>
        <w:t>co</w:t>
      </w:r>
      <w:r w:rsidRPr="00C24241">
        <w:rPr>
          <w:rFonts w:ascii="Times New Roman" w:hAnsi="Times New Roman" w:cs="Times New Roman"/>
          <w:sz w:val="24"/>
          <w:szCs w:val="24"/>
        </w:rPr>
        <w:t xml:space="preserve">, 2007 p. 12). </w:t>
      </w:r>
      <w:r w:rsidRPr="00C24241">
        <w:rPr>
          <w:rFonts w:ascii="Times New Roman" w:hAnsi="Times New Roman" w:cs="Times New Roman"/>
          <w:sz w:val="24"/>
          <w:szCs w:val="24"/>
          <w:shd w:val="clear" w:color="auto" w:fill="FFFFFF"/>
        </w:rPr>
        <w:t xml:space="preserve">Peirce propõe que o processo de percepção humana se dá segundo </w:t>
      </w:r>
      <w:r w:rsidRPr="00C24241">
        <w:rPr>
          <w:rFonts w:ascii="Times New Roman" w:hAnsi="Times New Roman" w:cs="Times New Roman"/>
          <w:b/>
          <w:bCs/>
          <w:sz w:val="24"/>
          <w:szCs w:val="24"/>
          <w:shd w:val="clear" w:color="auto" w:fill="FFFFFF"/>
        </w:rPr>
        <w:t>“</w:t>
      </w:r>
      <w:r w:rsidRPr="00C24241">
        <w:rPr>
          <w:rFonts w:ascii="Times New Roman" w:hAnsi="Times New Roman" w:cs="Times New Roman"/>
          <w:sz w:val="24"/>
          <w:szCs w:val="24"/>
          <w:shd w:val="clear" w:color="auto" w:fill="FFFFFF"/>
        </w:rPr>
        <w:t>suas três categorias universais de toda a experiência e todo pensamento” (S</w:t>
      </w:r>
      <w:r w:rsidR="00556853" w:rsidRPr="00C24241">
        <w:rPr>
          <w:rFonts w:ascii="Times New Roman" w:hAnsi="Times New Roman" w:cs="Times New Roman"/>
          <w:sz w:val="24"/>
          <w:szCs w:val="24"/>
          <w:shd w:val="clear" w:color="auto" w:fill="FFFFFF"/>
        </w:rPr>
        <w:t>antaella</w:t>
      </w:r>
      <w:r w:rsidRPr="00C24241">
        <w:rPr>
          <w:rFonts w:ascii="Times New Roman" w:hAnsi="Times New Roman" w:cs="Times New Roman"/>
          <w:sz w:val="24"/>
          <w:szCs w:val="24"/>
          <w:shd w:val="clear" w:color="auto" w:fill="FFFFFF"/>
        </w:rPr>
        <w:t>, 1990, p. 45).</w:t>
      </w:r>
    </w:p>
    <w:p w14:paraId="2705E778" w14:textId="77777777" w:rsidR="00B125DC" w:rsidRPr="00C24241" w:rsidRDefault="00B125DC" w:rsidP="00556853">
      <w:pPr>
        <w:spacing w:after="0" w:line="360" w:lineRule="auto"/>
        <w:rPr>
          <w:rFonts w:ascii="Times New Roman" w:hAnsi="Times New Roman" w:cs="Times New Roman"/>
          <w:sz w:val="24"/>
          <w:szCs w:val="24"/>
        </w:rPr>
      </w:pPr>
    </w:p>
    <w:p w14:paraId="288DAF93" w14:textId="77777777" w:rsidR="00B125DC" w:rsidRPr="00C24241" w:rsidRDefault="00B125DC" w:rsidP="00556853">
      <w:pPr>
        <w:spacing w:after="0"/>
        <w:ind w:left="2268"/>
        <w:jc w:val="both"/>
        <w:rPr>
          <w:rFonts w:ascii="Times New Roman" w:hAnsi="Times New Roman" w:cs="Times New Roman"/>
          <w:lang w:val="en-US"/>
        </w:rPr>
      </w:pPr>
      <w:r w:rsidRPr="00C24241">
        <w:rPr>
          <w:rFonts w:ascii="Times New Roman" w:hAnsi="Times New Roman" w:cs="Times New Roman"/>
          <w:shd w:val="clear" w:color="auto" w:fill="FFFFFF"/>
          <w:lang w:val="en-US"/>
        </w:rPr>
        <w:t xml:space="preserve">First. Those whose relation to their objects is a mere community in some quality, and these representations may be termed </w:t>
      </w:r>
      <w:r w:rsidRPr="00C24241">
        <w:rPr>
          <w:rFonts w:ascii="Times New Roman" w:hAnsi="Times New Roman" w:cs="Times New Roman"/>
          <w:i/>
          <w:iCs/>
          <w:shd w:val="clear" w:color="auto" w:fill="FFFFFF"/>
          <w:lang w:val="en-US"/>
        </w:rPr>
        <w:t>Likenesses</w:t>
      </w:r>
      <w:r w:rsidRPr="00C24241">
        <w:rPr>
          <w:rFonts w:ascii="Times New Roman" w:hAnsi="Times New Roman" w:cs="Times New Roman"/>
          <w:shd w:val="clear" w:color="auto" w:fill="FFFFFF"/>
          <w:lang w:val="en-US"/>
        </w:rPr>
        <w:t>.</w:t>
      </w:r>
    </w:p>
    <w:p w14:paraId="5E957118" w14:textId="77777777" w:rsidR="00B125DC" w:rsidRPr="00C24241" w:rsidRDefault="00B125DC" w:rsidP="00556853">
      <w:pPr>
        <w:spacing w:after="0"/>
        <w:ind w:left="2268"/>
        <w:jc w:val="both"/>
        <w:rPr>
          <w:rFonts w:ascii="Times New Roman" w:hAnsi="Times New Roman" w:cs="Times New Roman"/>
          <w:lang w:val="en-US"/>
        </w:rPr>
      </w:pPr>
      <w:r w:rsidRPr="00C24241">
        <w:rPr>
          <w:rFonts w:ascii="Times New Roman" w:hAnsi="Times New Roman" w:cs="Times New Roman"/>
          <w:shd w:val="clear" w:color="auto" w:fill="FFFFFF"/>
          <w:lang w:val="en-US"/>
        </w:rPr>
        <w:t xml:space="preserve">Second. Those whose relation to their objects consists in a correspondence in fact, and these may be termed </w:t>
      </w:r>
      <w:r w:rsidRPr="00C24241">
        <w:rPr>
          <w:rFonts w:ascii="Times New Roman" w:hAnsi="Times New Roman" w:cs="Times New Roman"/>
          <w:i/>
          <w:iCs/>
          <w:shd w:val="clear" w:color="auto" w:fill="FFFFFF"/>
          <w:lang w:val="en-US"/>
        </w:rPr>
        <w:t xml:space="preserve">Indices </w:t>
      </w:r>
      <w:r w:rsidRPr="00C24241">
        <w:rPr>
          <w:rFonts w:ascii="Times New Roman" w:hAnsi="Times New Roman" w:cs="Times New Roman"/>
          <w:shd w:val="clear" w:color="auto" w:fill="FFFFFF"/>
          <w:lang w:val="en-US"/>
        </w:rPr>
        <w:t xml:space="preserve">or </w:t>
      </w:r>
      <w:r w:rsidRPr="00C24241">
        <w:rPr>
          <w:rFonts w:ascii="Times New Roman" w:hAnsi="Times New Roman" w:cs="Times New Roman"/>
          <w:i/>
          <w:iCs/>
          <w:shd w:val="clear" w:color="auto" w:fill="FFFFFF"/>
          <w:lang w:val="en-US"/>
        </w:rPr>
        <w:t>Signs</w:t>
      </w:r>
      <w:r w:rsidRPr="00C24241">
        <w:rPr>
          <w:rFonts w:ascii="Times New Roman" w:hAnsi="Times New Roman" w:cs="Times New Roman"/>
          <w:shd w:val="clear" w:color="auto" w:fill="FFFFFF"/>
          <w:lang w:val="en-US"/>
        </w:rPr>
        <w:t>.</w:t>
      </w:r>
    </w:p>
    <w:p w14:paraId="262085A1" w14:textId="498EE8C7" w:rsidR="00B125DC" w:rsidRPr="00556853" w:rsidRDefault="00B125DC" w:rsidP="00556853">
      <w:pPr>
        <w:spacing w:after="0"/>
        <w:ind w:left="2268"/>
        <w:jc w:val="both"/>
        <w:rPr>
          <w:rFonts w:ascii="Times New Roman" w:hAnsi="Times New Roman" w:cs="Times New Roman"/>
          <w:lang w:val="en-US"/>
        </w:rPr>
      </w:pPr>
      <w:r w:rsidRPr="00C24241">
        <w:rPr>
          <w:rFonts w:ascii="Times New Roman" w:hAnsi="Times New Roman" w:cs="Times New Roman"/>
          <w:shd w:val="clear" w:color="auto" w:fill="FFFFFF"/>
          <w:lang w:val="en-US"/>
        </w:rPr>
        <w:t xml:space="preserve">Third. Those the ground of whose relation to their objects is an imputed character, which are the same as </w:t>
      </w:r>
      <w:r w:rsidRPr="00C24241">
        <w:rPr>
          <w:rFonts w:ascii="Times New Roman" w:hAnsi="Times New Roman" w:cs="Times New Roman"/>
          <w:i/>
          <w:iCs/>
          <w:shd w:val="clear" w:color="auto" w:fill="FFFFFF"/>
          <w:lang w:val="en-US"/>
        </w:rPr>
        <w:t>general signs</w:t>
      </w:r>
      <w:r w:rsidRPr="00C24241">
        <w:rPr>
          <w:rFonts w:ascii="Times New Roman" w:hAnsi="Times New Roman" w:cs="Times New Roman"/>
          <w:shd w:val="clear" w:color="auto" w:fill="FFFFFF"/>
          <w:lang w:val="en-US"/>
        </w:rPr>
        <w:t xml:space="preserve">, and these may be termed </w:t>
      </w:r>
      <w:r w:rsidRPr="00C24241">
        <w:rPr>
          <w:rFonts w:ascii="Times New Roman" w:hAnsi="Times New Roman" w:cs="Times New Roman"/>
          <w:i/>
          <w:iCs/>
          <w:shd w:val="clear" w:color="auto" w:fill="FFFFFF"/>
          <w:lang w:val="en-US"/>
        </w:rPr>
        <w:t>Symbols</w:t>
      </w:r>
      <w:r w:rsidRPr="00C24241">
        <w:rPr>
          <w:rFonts w:ascii="Times New Roman" w:hAnsi="Times New Roman" w:cs="Times New Roman"/>
          <w:shd w:val="clear" w:color="auto" w:fill="FFFFFF"/>
          <w:lang w:val="en-US"/>
        </w:rPr>
        <w:t xml:space="preserve"> </w:t>
      </w:r>
      <w:r w:rsidRPr="00556853">
        <w:rPr>
          <w:rFonts w:ascii="Times New Roman" w:hAnsi="Times New Roman" w:cs="Times New Roman"/>
          <w:shd w:val="clear" w:color="auto" w:fill="FFFFFF"/>
          <w:lang w:val="en-US"/>
        </w:rPr>
        <w:t>(P</w:t>
      </w:r>
      <w:r w:rsidR="00556853" w:rsidRPr="00556853">
        <w:rPr>
          <w:rFonts w:ascii="Times New Roman" w:hAnsi="Times New Roman" w:cs="Times New Roman"/>
          <w:shd w:val="clear" w:color="auto" w:fill="FFFFFF"/>
          <w:lang w:val="en-US"/>
        </w:rPr>
        <w:t>eirce</w:t>
      </w:r>
      <w:r w:rsidRPr="00556853">
        <w:rPr>
          <w:rFonts w:ascii="Times New Roman" w:hAnsi="Times New Roman" w:cs="Times New Roman"/>
          <w:shd w:val="clear" w:color="auto" w:fill="FFFFFF"/>
          <w:lang w:val="en-US"/>
        </w:rPr>
        <w:t>, 1994, CP 1.558). </w:t>
      </w:r>
    </w:p>
    <w:p w14:paraId="48B33825" w14:textId="77777777" w:rsidR="00B125DC" w:rsidRPr="00556853" w:rsidRDefault="00B125DC" w:rsidP="00556853">
      <w:pPr>
        <w:spacing w:after="0" w:line="360" w:lineRule="auto"/>
        <w:rPr>
          <w:rFonts w:ascii="Times New Roman" w:hAnsi="Times New Roman" w:cs="Times New Roman"/>
          <w:sz w:val="24"/>
          <w:szCs w:val="24"/>
          <w:lang w:val="en-US"/>
        </w:rPr>
      </w:pPr>
    </w:p>
    <w:p w14:paraId="1E7DC84C" w14:textId="0D5826D4" w:rsidR="00B125DC" w:rsidRPr="00C24241" w:rsidRDefault="00B125DC" w:rsidP="00556853">
      <w:pPr>
        <w:spacing w:after="0" w:line="360" w:lineRule="auto"/>
        <w:ind w:firstLine="697"/>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rPr>
        <w:t xml:space="preserve">De acordo com os requisitos de Belkin, um fenômeno informacional pressupõe um emissor/produtor que observa a realidade (externa ou sua, interior); toma consciência dessa realidade, através de um processo de primeiridade, secundidade e terceiridade, formulando um pensamento. </w:t>
      </w:r>
      <w:r w:rsidRPr="00C24241">
        <w:rPr>
          <w:rFonts w:ascii="Times New Roman" w:hAnsi="Times New Roman" w:cs="Times New Roman"/>
          <w:sz w:val="24"/>
          <w:szCs w:val="24"/>
          <w:shd w:val="clear" w:color="auto" w:fill="FFFFFF"/>
          <w:lang w:val="en-US"/>
        </w:rPr>
        <w:t>“</w:t>
      </w:r>
      <w:r w:rsidRPr="004C5EAB">
        <w:rPr>
          <w:rFonts w:ascii="Times New Roman" w:hAnsi="Times New Roman" w:cs="Times New Roman"/>
          <w:i/>
          <w:iCs/>
          <w:sz w:val="24"/>
          <w:szCs w:val="24"/>
          <w:lang w:val="en-US"/>
        </w:rPr>
        <w:t>All thought being performed by means of signs, logic may be regarded as the science of the general laws of signs</w:t>
      </w:r>
      <w:r w:rsidRPr="00C24241">
        <w:rPr>
          <w:rFonts w:ascii="Times New Roman" w:hAnsi="Times New Roman" w:cs="Times New Roman"/>
          <w:sz w:val="24"/>
          <w:szCs w:val="24"/>
          <w:shd w:val="clear" w:color="auto" w:fill="FFFFFF"/>
          <w:lang w:val="en-US"/>
        </w:rPr>
        <w:t>” (P</w:t>
      </w:r>
      <w:r w:rsidR="00556853" w:rsidRPr="00C24241">
        <w:rPr>
          <w:rFonts w:ascii="Times New Roman" w:hAnsi="Times New Roman" w:cs="Times New Roman"/>
          <w:sz w:val="24"/>
          <w:szCs w:val="24"/>
          <w:shd w:val="clear" w:color="auto" w:fill="FFFFFF"/>
          <w:lang w:val="en-US"/>
        </w:rPr>
        <w:t>eirce</w:t>
      </w:r>
      <w:r w:rsidRPr="00C24241">
        <w:rPr>
          <w:rFonts w:ascii="Times New Roman" w:hAnsi="Times New Roman" w:cs="Times New Roman"/>
          <w:sz w:val="24"/>
          <w:szCs w:val="24"/>
          <w:shd w:val="clear" w:color="auto" w:fill="FFFFFF"/>
          <w:lang w:val="en-US"/>
        </w:rPr>
        <w:t>, 1994, CP 1.191); e ainda “</w:t>
      </w:r>
      <w:r w:rsidRPr="004C5EAB">
        <w:rPr>
          <w:rFonts w:ascii="Times New Roman" w:hAnsi="Times New Roman" w:cs="Times New Roman"/>
          <w:i/>
          <w:iCs/>
          <w:sz w:val="24"/>
          <w:szCs w:val="24"/>
          <w:lang w:val="en-US"/>
        </w:rPr>
        <w:t>To say, therefore, that thought cannot happen in an instant, but requires a time, is but another way of saying that every thought must be interpreted in another, or that all thought is in signs</w:t>
      </w:r>
      <w:r w:rsidRPr="00C24241">
        <w:rPr>
          <w:rFonts w:ascii="Times New Roman" w:hAnsi="Times New Roman" w:cs="Times New Roman"/>
          <w:sz w:val="24"/>
          <w:szCs w:val="24"/>
          <w:lang w:val="en-US"/>
        </w:rPr>
        <w:t>.</w:t>
      </w:r>
      <w:r w:rsidRPr="00C24241">
        <w:rPr>
          <w:rFonts w:ascii="Times New Roman" w:hAnsi="Times New Roman" w:cs="Times New Roman"/>
          <w:sz w:val="24"/>
          <w:szCs w:val="24"/>
          <w:shd w:val="clear" w:color="auto" w:fill="FFFFFF"/>
          <w:lang w:val="en-US"/>
        </w:rPr>
        <w:t xml:space="preserve">” </w:t>
      </w:r>
      <w:r w:rsidRPr="00863B19">
        <w:rPr>
          <w:rFonts w:ascii="Times New Roman" w:hAnsi="Times New Roman" w:cs="Times New Roman"/>
          <w:sz w:val="24"/>
          <w:szCs w:val="24"/>
          <w:shd w:val="clear" w:color="auto" w:fill="FFFFFF"/>
        </w:rPr>
        <w:t>(P</w:t>
      </w:r>
      <w:r w:rsidR="00556853" w:rsidRPr="00863B19">
        <w:rPr>
          <w:rFonts w:ascii="Times New Roman" w:hAnsi="Times New Roman" w:cs="Times New Roman"/>
          <w:sz w:val="24"/>
          <w:szCs w:val="24"/>
          <w:shd w:val="clear" w:color="auto" w:fill="FFFFFF"/>
        </w:rPr>
        <w:t>eirce</w:t>
      </w:r>
      <w:r w:rsidRPr="00863B19">
        <w:rPr>
          <w:rFonts w:ascii="Times New Roman" w:hAnsi="Times New Roman" w:cs="Times New Roman"/>
          <w:sz w:val="24"/>
          <w:szCs w:val="24"/>
          <w:shd w:val="clear" w:color="auto" w:fill="FFFFFF"/>
        </w:rPr>
        <w:t xml:space="preserve"> , 1994, CP 5.253). </w:t>
      </w:r>
      <w:r w:rsidRPr="00C24241">
        <w:rPr>
          <w:rFonts w:ascii="Times New Roman" w:hAnsi="Times New Roman" w:cs="Times New Roman"/>
          <w:sz w:val="24"/>
          <w:szCs w:val="24"/>
          <w:shd w:val="clear" w:color="auto" w:fill="FFFFFF"/>
        </w:rPr>
        <w:t>Esse emissor/produtor intenciona produzir uma mensagem dirigida a um receptor definido ou indefinido. Traduz então seus pensamentos através de um sistema de signos (os símbolos – termos – da linguagem natural, ou um texto na linguagem escrita por exemplo), formulando uma mensagem. Essa mensagem é emitida/transmitida através de diferentes meios.</w:t>
      </w:r>
    </w:p>
    <w:p w14:paraId="5A79D1D1" w14:textId="109625CB" w:rsidR="00B125DC" w:rsidRPr="00C24241" w:rsidRDefault="00B125DC" w:rsidP="00556853">
      <w:pPr>
        <w:spacing w:after="0" w:line="360" w:lineRule="auto"/>
        <w:ind w:firstLine="697"/>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rPr>
        <w:lastRenderedPageBreak/>
        <w:t> Segundo Capurro (2003, p. 12) “</w:t>
      </w:r>
      <w:r w:rsidRPr="00C24241">
        <w:rPr>
          <w:rFonts w:ascii="Times New Roman" w:hAnsi="Times New Roman" w:cs="Times New Roman"/>
          <w:sz w:val="24"/>
          <w:szCs w:val="24"/>
        </w:rPr>
        <w:t xml:space="preserve">a diferença entre mensagem, ou oferta de sentido, e informação, ou seleção de sentido, é, </w:t>
      </w:r>
      <w:r w:rsidR="00556853" w:rsidRPr="00C24241">
        <w:rPr>
          <w:rFonts w:ascii="Times New Roman" w:hAnsi="Times New Roman" w:cs="Times New Roman"/>
          <w:sz w:val="24"/>
          <w:szCs w:val="24"/>
        </w:rPr>
        <w:t>a meu ver</w:t>
      </w:r>
      <w:r w:rsidRPr="00C24241">
        <w:rPr>
          <w:rFonts w:ascii="Times New Roman" w:hAnsi="Times New Roman" w:cs="Times New Roman"/>
          <w:sz w:val="24"/>
          <w:szCs w:val="24"/>
        </w:rPr>
        <w:t>, a diferença crucial de nossa disciplina entendida assim como teoria das mensagens e não só como teoria da informação”. Como são geradas as mensagens? Segundo Santaella e Vieira (2008, p. 62): “Para Peirce os signos que importam são aqueles que são externalizados, pois, ao se corporificarem, adquirem mais permanência, livrando-se do caráter evanescente dos signos mentais. Além disso, permitem a transação do pensamento entre pessoas”.</w:t>
      </w:r>
    </w:p>
    <w:p w14:paraId="0E732056"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rPr>
        <w:t> A partir da colocação de Capurro, um receptor/usuário, diante de um problema ou necessidade de informação, recebe/busca intencionalmente mensagens que possam endereçar seu problema ou necessidade de informação. Essas mensagens vão poder ser compreensíveis para esse receptor/usuário à medida que ele compartilhe um quadro mental de conhecimento e de experiências semelhante ao do emissor/produtor, o que Peirce chama de “</w:t>
      </w:r>
      <w:r w:rsidRPr="00C24241">
        <w:rPr>
          <w:rFonts w:ascii="Times New Roman" w:hAnsi="Times New Roman" w:cs="Times New Roman"/>
          <w:i/>
          <w:sz w:val="24"/>
          <w:szCs w:val="24"/>
          <w:shd w:val="clear" w:color="auto" w:fill="FFFFFF"/>
        </w:rPr>
        <w:t>acquaintance</w:t>
      </w:r>
      <w:r w:rsidRPr="00C24241">
        <w:rPr>
          <w:rFonts w:ascii="Times New Roman" w:hAnsi="Times New Roman" w:cs="Times New Roman"/>
          <w:sz w:val="24"/>
          <w:szCs w:val="24"/>
          <w:shd w:val="clear" w:color="auto" w:fill="FFFFFF"/>
        </w:rPr>
        <w:t>”:</w:t>
      </w:r>
    </w:p>
    <w:p w14:paraId="71AC3BCF" w14:textId="77777777" w:rsidR="00B125DC" w:rsidRPr="00C24241" w:rsidRDefault="00B125DC" w:rsidP="00556853">
      <w:pPr>
        <w:spacing w:after="0" w:line="360" w:lineRule="auto"/>
        <w:rPr>
          <w:rFonts w:ascii="Times New Roman" w:hAnsi="Times New Roman" w:cs="Times New Roman"/>
          <w:sz w:val="24"/>
          <w:szCs w:val="24"/>
        </w:rPr>
      </w:pPr>
    </w:p>
    <w:p w14:paraId="777F79B8" w14:textId="3AE8EF49" w:rsidR="00B125DC" w:rsidRPr="00C24241" w:rsidRDefault="00B125DC" w:rsidP="00556853">
      <w:pPr>
        <w:spacing w:after="0" w:line="240" w:lineRule="auto"/>
        <w:ind w:left="2160"/>
        <w:jc w:val="both"/>
        <w:rPr>
          <w:rFonts w:ascii="Times New Roman" w:hAnsi="Times New Roman" w:cs="Times New Roman"/>
          <w:sz w:val="24"/>
          <w:szCs w:val="24"/>
          <w:lang w:val="en-US"/>
        </w:rPr>
      </w:pPr>
      <w:r w:rsidRPr="00C24241">
        <w:rPr>
          <w:rFonts w:ascii="Times New Roman" w:hAnsi="Times New Roman" w:cs="Times New Roman"/>
          <w:lang w:val="en-US"/>
        </w:rPr>
        <w:t>231. The Sign can only represent the Object and tell about it. It cannot furnish acquaintance with or recognition of that Object; for that is what is meant in this volume by the Object of a Sign; namely, that with which it presupposes an acquaintance in order to convey some further information concerning it</w:t>
      </w:r>
      <w:r w:rsidRPr="00C24241">
        <w:rPr>
          <w:rFonts w:ascii="Times New Roman" w:hAnsi="Times New Roman" w:cs="Times New Roman"/>
          <w:shd w:val="clear" w:color="auto" w:fill="FFFFFF"/>
          <w:lang w:val="en-US"/>
        </w:rPr>
        <w:t>.</w:t>
      </w:r>
      <w:r w:rsidRPr="00C24241">
        <w:rPr>
          <w:rFonts w:ascii="Times New Roman" w:hAnsi="Times New Roman" w:cs="Times New Roman"/>
          <w:sz w:val="24"/>
          <w:szCs w:val="24"/>
          <w:shd w:val="clear" w:color="auto" w:fill="FFFFFF"/>
          <w:lang w:val="en-US"/>
        </w:rPr>
        <w:t xml:space="preserve"> (P</w:t>
      </w:r>
      <w:r w:rsidR="00556853" w:rsidRPr="00C24241">
        <w:rPr>
          <w:rFonts w:ascii="Times New Roman" w:hAnsi="Times New Roman" w:cs="Times New Roman"/>
          <w:sz w:val="24"/>
          <w:szCs w:val="24"/>
          <w:shd w:val="clear" w:color="auto" w:fill="FFFFFF"/>
          <w:lang w:val="en-US"/>
        </w:rPr>
        <w:t>eirce</w:t>
      </w:r>
      <w:r w:rsidRPr="00C24241">
        <w:rPr>
          <w:rFonts w:ascii="Times New Roman" w:hAnsi="Times New Roman" w:cs="Times New Roman"/>
          <w:sz w:val="24"/>
          <w:szCs w:val="24"/>
          <w:shd w:val="clear" w:color="auto" w:fill="FFFFFF"/>
          <w:lang w:val="en-US"/>
        </w:rPr>
        <w:t>, 1994, CP 8.179). </w:t>
      </w:r>
    </w:p>
    <w:p w14:paraId="706D7C0E" w14:textId="77777777" w:rsidR="00B125DC" w:rsidRPr="00C24241" w:rsidRDefault="00B125DC" w:rsidP="00556853">
      <w:pPr>
        <w:spacing w:after="0" w:line="240" w:lineRule="auto"/>
        <w:rPr>
          <w:rFonts w:ascii="Times New Roman" w:hAnsi="Times New Roman" w:cs="Times New Roman"/>
          <w:sz w:val="24"/>
          <w:szCs w:val="24"/>
          <w:lang w:val="en-US"/>
        </w:rPr>
      </w:pPr>
    </w:p>
    <w:p w14:paraId="333D1ACD" w14:textId="50998AF1" w:rsidR="00B125DC" w:rsidRPr="00C24241" w:rsidRDefault="00B125DC" w:rsidP="00556853">
      <w:pPr>
        <w:spacing w:after="0" w:line="360" w:lineRule="auto"/>
        <w:ind w:firstLine="720"/>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lang w:val="en-US"/>
        </w:rPr>
        <w:t>E ainda: “</w:t>
      </w:r>
      <w:r w:rsidRPr="004C5EAB">
        <w:rPr>
          <w:rFonts w:ascii="Times New Roman" w:hAnsi="Times New Roman" w:cs="Times New Roman"/>
          <w:i/>
          <w:iCs/>
          <w:sz w:val="24"/>
          <w:szCs w:val="24"/>
          <w:lang w:val="en-US"/>
        </w:rPr>
        <w:t>It is on the contrary the prerequisite for getting any idea signified by the sign. But by colateral observation, I mean previous acquaintance with what the sign denotes</w:t>
      </w:r>
      <w:r w:rsidRPr="00C24241">
        <w:rPr>
          <w:rFonts w:ascii="Times New Roman" w:hAnsi="Times New Roman" w:cs="Times New Roman"/>
          <w:sz w:val="24"/>
          <w:szCs w:val="24"/>
          <w:lang w:val="en-US"/>
        </w:rPr>
        <w:t>.</w:t>
      </w:r>
      <w:r w:rsidRPr="00C24241">
        <w:rPr>
          <w:rFonts w:ascii="Times New Roman" w:hAnsi="Times New Roman" w:cs="Times New Roman"/>
          <w:sz w:val="24"/>
          <w:szCs w:val="24"/>
          <w:shd w:val="clear" w:color="auto" w:fill="FFFFFF"/>
          <w:lang w:val="en-US"/>
        </w:rPr>
        <w:t xml:space="preserve">” </w:t>
      </w:r>
      <w:r w:rsidRPr="00C24241">
        <w:rPr>
          <w:rFonts w:ascii="Times New Roman" w:hAnsi="Times New Roman" w:cs="Times New Roman"/>
          <w:sz w:val="24"/>
          <w:szCs w:val="24"/>
          <w:shd w:val="clear" w:color="auto" w:fill="FFFFFF"/>
        </w:rPr>
        <w:t>(P</w:t>
      </w:r>
      <w:r w:rsidR="00556853" w:rsidRPr="00C24241">
        <w:rPr>
          <w:rFonts w:ascii="Times New Roman" w:hAnsi="Times New Roman" w:cs="Times New Roman"/>
          <w:sz w:val="24"/>
          <w:szCs w:val="24"/>
          <w:shd w:val="clear" w:color="auto" w:fill="FFFFFF"/>
        </w:rPr>
        <w:t>eirce</w:t>
      </w:r>
      <w:r w:rsidRPr="00C24241">
        <w:rPr>
          <w:rFonts w:ascii="Times New Roman" w:hAnsi="Times New Roman" w:cs="Times New Roman"/>
          <w:sz w:val="24"/>
          <w:szCs w:val="24"/>
          <w:shd w:val="clear" w:color="auto" w:fill="FFFFFF"/>
        </w:rPr>
        <w:t>, 1994, CP 8.179). </w:t>
      </w:r>
    </w:p>
    <w:p w14:paraId="4A39EBBC" w14:textId="77777777" w:rsidR="00B125DC" w:rsidRPr="00C24241" w:rsidRDefault="00B125DC" w:rsidP="00556853">
      <w:pPr>
        <w:spacing w:after="0" w:line="360" w:lineRule="auto"/>
        <w:ind w:firstLine="700"/>
        <w:jc w:val="both"/>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t>Para que a mensagem seja inteligível é necessário também que emissor/produtor e receptor/usuário compartilhem também o sistema de signos que permite compreender/interpretar a mensagem. </w:t>
      </w:r>
    </w:p>
    <w:p w14:paraId="2B156D28" w14:textId="77777777" w:rsidR="00B125DC" w:rsidRPr="00C24241" w:rsidRDefault="00B125DC" w:rsidP="00556853">
      <w:pPr>
        <w:spacing w:after="0" w:line="360" w:lineRule="auto"/>
        <w:ind w:left="2268" w:firstLine="700"/>
        <w:jc w:val="both"/>
        <w:rPr>
          <w:rFonts w:ascii="Times New Roman" w:hAnsi="Times New Roman" w:cs="Times New Roman"/>
          <w:shd w:val="clear" w:color="auto" w:fill="FFFFFF"/>
        </w:rPr>
      </w:pPr>
      <w:r w:rsidRPr="00C24241">
        <w:rPr>
          <w:rFonts w:ascii="Times New Roman" w:hAnsi="Times New Roman" w:cs="Times New Roman"/>
          <w:shd w:val="clear" w:color="auto" w:fill="FFFFFF"/>
        </w:rPr>
        <w:t xml:space="preserve"> </w:t>
      </w:r>
    </w:p>
    <w:p w14:paraId="7009538C" w14:textId="4606477B" w:rsidR="00B125DC" w:rsidRPr="00556853" w:rsidRDefault="00B125DC" w:rsidP="00556853">
      <w:pPr>
        <w:spacing w:after="0" w:line="240" w:lineRule="auto"/>
        <w:ind w:left="2268"/>
        <w:jc w:val="both"/>
        <w:rPr>
          <w:rFonts w:ascii="Times New Roman" w:hAnsi="Times New Roman" w:cs="Times New Roman"/>
          <w:sz w:val="20"/>
          <w:szCs w:val="20"/>
        </w:rPr>
      </w:pPr>
      <w:bookmarkStart w:id="68" w:name="_Hlk20064877"/>
      <w:r w:rsidRPr="00556853">
        <w:rPr>
          <w:rFonts w:ascii="Times New Roman" w:hAnsi="Times New Roman" w:cs="Times New Roman"/>
          <w:sz w:val="20"/>
          <w:szCs w:val="20"/>
        </w:rPr>
        <w:t>[...] há sistema de significação (e portanto código) quando existe uma possibilidade socialmente convencionada de gerar funções sígnicas, independentemente do fato de serem os funtivos de tais funções unidades discretas, chamadas ‘signos’, ou vastas porções discursivas, contando que a correlação tenha sido estabelecida, precedente e preliminarmente, por uma convenção social. (E</w:t>
      </w:r>
      <w:r w:rsidR="00556853" w:rsidRPr="00556853">
        <w:rPr>
          <w:rFonts w:ascii="Times New Roman" w:hAnsi="Times New Roman" w:cs="Times New Roman"/>
          <w:sz w:val="20"/>
          <w:szCs w:val="20"/>
        </w:rPr>
        <w:t>co</w:t>
      </w:r>
      <w:r w:rsidRPr="00556853">
        <w:rPr>
          <w:rFonts w:ascii="Times New Roman" w:hAnsi="Times New Roman" w:cs="Times New Roman"/>
          <w:sz w:val="20"/>
          <w:szCs w:val="20"/>
        </w:rPr>
        <w:t>, 2007, p. 2).</w:t>
      </w:r>
    </w:p>
    <w:bookmarkEnd w:id="68"/>
    <w:p w14:paraId="30D70EA8" w14:textId="77777777" w:rsidR="00B125DC" w:rsidRPr="00C24241" w:rsidRDefault="00B125DC" w:rsidP="00B125DC">
      <w:pPr>
        <w:spacing w:line="360" w:lineRule="auto"/>
        <w:ind w:left="2268" w:firstLine="700"/>
        <w:jc w:val="both"/>
        <w:rPr>
          <w:rFonts w:ascii="Times New Roman" w:hAnsi="Times New Roman" w:cs="Times New Roman"/>
          <w:shd w:val="clear" w:color="auto" w:fill="FFFFFF"/>
        </w:rPr>
      </w:pPr>
    </w:p>
    <w:p w14:paraId="455A12FB" w14:textId="69F136DE" w:rsidR="00B125DC" w:rsidRPr="00C24241" w:rsidRDefault="00B125DC" w:rsidP="00556853">
      <w:pPr>
        <w:spacing w:after="0" w:line="360" w:lineRule="auto"/>
        <w:ind w:firstLine="697"/>
        <w:jc w:val="both"/>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t xml:space="preserve">Naturalmente este sistema de signos é dado socialmente, uma vez que, </w:t>
      </w:r>
      <w:r w:rsidRPr="00C24241">
        <w:rPr>
          <w:rFonts w:ascii="Times New Roman" w:hAnsi="Times New Roman" w:cs="Times New Roman"/>
          <w:sz w:val="24"/>
          <w:szCs w:val="24"/>
        </w:rPr>
        <w:t>“humanidade e sociedade só existem quando se estabelecem relações de significação e processos de comunicação.” (</w:t>
      </w:r>
      <w:r w:rsidR="00556853" w:rsidRPr="00C24241">
        <w:rPr>
          <w:rFonts w:ascii="Times New Roman" w:hAnsi="Times New Roman" w:cs="Times New Roman"/>
          <w:sz w:val="24"/>
          <w:szCs w:val="24"/>
        </w:rPr>
        <w:t>Eco</w:t>
      </w:r>
      <w:r w:rsidRPr="00C24241">
        <w:rPr>
          <w:rFonts w:ascii="Times New Roman" w:hAnsi="Times New Roman" w:cs="Times New Roman"/>
          <w:sz w:val="24"/>
          <w:szCs w:val="24"/>
        </w:rPr>
        <w:t xml:space="preserve">, 2007, p. 16). E mais, </w:t>
      </w:r>
      <w:bookmarkStart w:id="69" w:name="_Hlk26845692"/>
      <w:r w:rsidRPr="00C24241">
        <w:rPr>
          <w:rFonts w:ascii="Times New Roman" w:hAnsi="Times New Roman" w:cs="Times New Roman"/>
          <w:sz w:val="24"/>
          <w:szCs w:val="24"/>
        </w:rPr>
        <w:t>“toda tentativa de estabelecer o referente de um signo nos leva a defini-lo em termos de uma entidade abstrata que representa uma convenção cultural.” (</w:t>
      </w:r>
      <w:r w:rsidR="00556853" w:rsidRPr="00C24241">
        <w:rPr>
          <w:rFonts w:ascii="Times New Roman" w:hAnsi="Times New Roman" w:cs="Times New Roman"/>
          <w:sz w:val="24"/>
          <w:szCs w:val="24"/>
        </w:rPr>
        <w:t>Eco</w:t>
      </w:r>
      <w:r w:rsidRPr="00C24241">
        <w:rPr>
          <w:rFonts w:ascii="Times New Roman" w:hAnsi="Times New Roman" w:cs="Times New Roman"/>
          <w:sz w:val="24"/>
          <w:szCs w:val="24"/>
        </w:rPr>
        <w:t>, 2007, p. 56).</w:t>
      </w:r>
      <w:bookmarkEnd w:id="69"/>
      <w:r w:rsidRPr="00C24241">
        <w:rPr>
          <w:rFonts w:ascii="Times New Roman" w:hAnsi="Times New Roman" w:cs="Times New Roman"/>
          <w:sz w:val="24"/>
          <w:szCs w:val="24"/>
        </w:rPr>
        <w:t xml:space="preserve"> </w:t>
      </w:r>
      <w:r w:rsidRPr="00C24241">
        <w:rPr>
          <w:rFonts w:ascii="Times New Roman" w:hAnsi="Times New Roman" w:cs="Times New Roman"/>
          <w:sz w:val="24"/>
          <w:szCs w:val="24"/>
          <w:shd w:val="clear" w:color="auto" w:fill="FFFFFF"/>
        </w:rPr>
        <w:t>Esta colocação está de acordo com o que estabelece o terceiro paradigma, o sócio-cognitivo.</w:t>
      </w:r>
    </w:p>
    <w:p w14:paraId="2B96F9C2" w14:textId="0D2A7F97" w:rsidR="00B125DC" w:rsidRPr="00C24241" w:rsidRDefault="00B125DC" w:rsidP="00556853">
      <w:pPr>
        <w:spacing w:after="0" w:line="360" w:lineRule="auto"/>
        <w:ind w:firstLine="697"/>
        <w:jc w:val="both"/>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lastRenderedPageBreak/>
        <w:t> O receptor/usuário, diante de um conjunto de mensagens, fará uma “escolha de sentidos”, conforme Capurro, comparando sua necessidade de informação com as diferentes mensagens ofertadas (primeiro paradigma). Cabe destacar que, a significação da mensagem pode existir mesmo que não haja um receptor, porém “todo processo de comunicação entre seres humanos [...] pressupõe um sistema de significação como condição necessária” (E</w:t>
      </w:r>
      <w:r w:rsidR="00556853" w:rsidRPr="00C24241">
        <w:rPr>
          <w:rFonts w:ascii="Times New Roman" w:hAnsi="Times New Roman" w:cs="Times New Roman"/>
          <w:sz w:val="24"/>
          <w:szCs w:val="24"/>
          <w:shd w:val="clear" w:color="auto" w:fill="FFFFFF"/>
        </w:rPr>
        <w:t>co</w:t>
      </w:r>
      <w:r w:rsidRPr="00C24241">
        <w:rPr>
          <w:rFonts w:ascii="Times New Roman" w:hAnsi="Times New Roman" w:cs="Times New Roman"/>
          <w:sz w:val="24"/>
          <w:szCs w:val="24"/>
          <w:shd w:val="clear" w:color="auto" w:fill="FFFFFF"/>
        </w:rPr>
        <w:t xml:space="preserve">, 2007, p. 6).  </w:t>
      </w:r>
    </w:p>
    <w:p w14:paraId="59F84165" w14:textId="77777777" w:rsidR="00B125DC" w:rsidRPr="00C24241" w:rsidRDefault="00B125DC" w:rsidP="00556853">
      <w:pPr>
        <w:spacing w:after="0" w:line="240" w:lineRule="auto"/>
        <w:jc w:val="both"/>
        <w:rPr>
          <w:rFonts w:ascii="Times New Roman" w:hAnsi="Times New Roman" w:cs="Times New Roman"/>
          <w:sz w:val="24"/>
          <w:szCs w:val="24"/>
          <w:shd w:val="clear" w:color="auto" w:fill="FFFFFF"/>
        </w:rPr>
      </w:pPr>
    </w:p>
    <w:p w14:paraId="23F1A931" w14:textId="63E9BE5F" w:rsidR="00B125DC" w:rsidRPr="00C24241" w:rsidRDefault="00B125DC" w:rsidP="00556853">
      <w:pPr>
        <w:spacing w:after="0" w:line="240" w:lineRule="auto"/>
        <w:ind w:left="2268"/>
        <w:jc w:val="both"/>
        <w:rPr>
          <w:rFonts w:ascii="Times New Roman" w:hAnsi="Times New Roman" w:cs="Times New Roman"/>
        </w:rPr>
      </w:pPr>
      <w:r w:rsidRPr="00C24241">
        <w:rPr>
          <w:rFonts w:ascii="Times New Roman" w:hAnsi="Times New Roman" w:cs="Times New Roman"/>
        </w:rPr>
        <w:t>O ato perceptivo do destinatário e seu comportamento interpretativo não são condições necessárias da relação de significação: basta que o código estabeleça uma correspondência entre o que ESTÁ PARA e seu correlato, correspondência válida para todo destinatário possível, ainda que não exista ou não possa existir nunca um destinatário (E</w:t>
      </w:r>
      <w:r w:rsidR="00556853" w:rsidRPr="00C24241">
        <w:rPr>
          <w:rFonts w:ascii="Times New Roman" w:hAnsi="Times New Roman" w:cs="Times New Roman"/>
        </w:rPr>
        <w:t>co</w:t>
      </w:r>
      <w:r w:rsidRPr="00C24241">
        <w:rPr>
          <w:rFonts w:ascii="Times New Roman" w:hAnsi="Times New Roman" w:cs="Times New Roman"/>
        </w:rPr>
        <w:t>, 2007, p. 6).</w:t>
      </w:r>
    </w:p>
    <w:p w14:paraId="08F48D0D" w14:textId="77777777" w:rsidR="00B125DC" w:rsidRPr="00C24241" w:rsidRDefault="00B125DC" w:rsidP="00556853">
      <w:pPr>
        <w:spacing w:after="0" w:line="240" w:lineRule="auto"/>
        <w:ind w:firstLine="700"/>
        <w:jc w:val="both"/>
        <w:rPr>
          <w:rFonts w:ascii="Times New Roman" w:hAnsi="Times New Roman" w:cs="Times New Roman"/>
          <w:sz w:val="24"/>
          <w:szCs w:val="24"/>
          <w:shd w:val="clear" w:color="auto" w:fill="FFFFFF"/>
        </w:rPr>
      </w:pPr>
    </w:p>
    <w:p w14:paraId="28D3F3CE" w14:textId="43A3E36C" w:rsidR="00B125DC" w:rsidRPr="00C24241" w:rsidRDefault="00B125DC" w:rsidP="00556853">
      <w:pPr>
        <w:spacing w:after="0" w:line="360" w:lineRule="auto"/>
        <w:ind w:firstLine="697"/>
        <w:jc w:val="both"/>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t>Quando é representado algo em um SRI no qual o destinatário da mensagem é o receptor/usuário há a existência de significação, ou seja, o código (mensagem) possui uma função sígnica estabelecida. “Mas igualmente a suposta presença do eminente humano não é de forma alguma garantia da natureza sígnica de um suposto signo.” (</w:t>
      </w:r>
      <w:r w:rsidR="00556853" w:rsidRPr="00C24241">
        <w:rPr>
          <w:rFonts w:ascii="Times New Roman" w:hAnsi="Times New Roman" w:cs="Times New Roman"/>
          <w:sz w:val="24"/>
          <w:szCs w:val="24"/>
          <w:shd w:val="clear" w:color="auto" w:fill="FFFFFF"/>
        </w:rPr>
        <w:t>Eco</w:t>
      </w:r>
      <w:r w:rsidRPr="00C24241">
        <w:rPr>
          <w:rFonts w:ascii="Times New Roman" w:hAnsi="Times New Roman" w:cs="Times New Roman"/>
          <w:sz w:val="24"/>
          <w:szCs w:val="24"/>
          <w:shd w:val="clear" w:color="auto" w:fill="FFFFFF"/>
        </w:rPr>
        <w:t>, 2007, p. 11).</w:t>
      </w:r>
    </w:p>
    <w:p w14:paraId="663CF5A2" w14:textId="4DC38A65" w:rsidR="00B125DC" w:rsidRPr="00556853" w:rsidRDefault="00B125DC" w:rsidP="00556853">
      <w:pPr>
        <w:spacing w:after="0" w:line="360" w:lineRule="auto"/>
        <w:ind w:firstLine="697"/>
        <w:jc w:val="both"/>
        <w:rPr>
          <w:rFonts w:ascii="Times New Roman" w:hAnsi="Times New Roman" w:cs="Times New Roman"/>
          <w:sz w:val="24"/>
          <w:szCs w:val="24"/>
        </w:rPr>
      </w:pPr>
      <w:r w:rsidRPr="00C24241">
        <w:rPr>
          <w:rFonts w:ascii="Times New Roman" w:hAnsi="Times New Roman" w:cs="Times New Roman"/>
          <w:sz w:val="24"/>
          <w:szCs w:val="24"/>
          <w:shd w:val="clear" w:color="auto" w:fill="FFFFFF"/>
        </w:rPr>
        <w:t xml:space="preserve">A mensagem terá uma ação, um efeito no quadro conceitual do receptor/usuário, a partir da ação dos signos da mensagem, ou semiose (segundo paradigma). Eco (2007) associa a </w:t>
      </w:r>
      <w:r>
        <w:rPr>
          <w:rFonts w:ascii="Times New Roman" w:hAnsi="Times New Roman" w:cs="Times New Roman"/>
          <w:sz w:val="24"/>
          <w:szCs w:val="24"/>
          <w:shd w:val="clear" w:color="auto" w:fill="FFFFFF"/>
        </w:rPr>
        <w:t>S</w:t>
      </w:r>
      <w:r w:rsidRPr="00C24241">
        <w:rPr>
          <w:rFonts w:ascii="Times New Roman" w:hAnsi="Times New Roman" w:cs="Times New Roman"/>
          <w:sz w:val="24"/>
          <w:szCs w:val="24"/>
          <w:shd w:val="clear" w:color="auto" w:fill="FFFFFF"/>
        </w:rPr>
        <w:t>emiótica peirciana à cognição, ao afirma</w:t>
      </w:r>
      <w:r>
        <w:rPr>
          <w:rFonts w:ascii="Times New Roman" w:hAnsi="Times New Roman" w:cs="Times New Roman"/>
          <w:sz w:val="24"/>
          <w:szCs w:val="24"/>
          <w:shd w:val="clear" w:color="auto" w:fill="FFFFFF"/>
        </w:rPr>
        <w:t>r</w:t>
      </w:r>
      <w:r w:rsidRPr="00C24241">
        <w:rPr>
          <w:rFonts w:ascii="Times New Roman" w:hAnsi="Times New Roman" w:cs="Times New Roman"/>
          <w:sz w:val="24"/>
          <w:szCs w:val="24"/>
          <w:shd w:val="clear" w:color="auto" w:fill="FFFFFF"/>
        </w:rPr>
        <w:t xml:space="preserve"> que “</w:t>
      </w:r>
      <w:r w:rsidRPr="00C24241">
        <w:rPr>
          <w:rFonts w:ascii="Times New Roman" w:hAnsi="Times New Roman" w:cs="Times New Roman"/>
          <w:sz w:val="24"/>
          <w:szCs w:val="24"/>
        </w:rPr>
        <w:t xml:space="preserve">não se pode negar que Peirce tenha alguma vez pensado no interpretante (que é um outro signo, o qual traduz e explica o signo precedente, e assim ao infinito) como um evento psicológico que ‘ocorre’ na mente de um possível interprete” </w:t>
      </w:r>
      <w:r w:rsidRPr="00556853">
        <w:rPr>
          <w:rFonts w:ascii="Times New Roman" w:hAnsi="Times New Roman" w:cs="Times New Roman"/>
          <w:sz w:val="24"/>
          <w:szCs w:val="24"/>
        </w:rPr>
        <w:t>(E</w:t>
      </w:r>
      <w:r w:rsidR="00556853" w:rsidRPr="00556853">
        <w:rPr>
          <w:rFonts w:ascii="Times New Roman" w:hAnsi="Times New Roman" w:cs="Times New Roman"/>
          <w:sz w:val="24"/>
          <w:szCs w:val="24"/>
        </w:rPr>
        <w:t>co</w:t>
      </w:r>
      <w:r w:rsidRPr="00556853">
        <w:rPr>
          <w:rFonts w:ascii="Times New Roman" w:hAnsi="Times New Roman" w:cs="Times New Roman"/>
          <w:sz w:val="24"/>
          <w:szCs w:val="24"/>
        </w:rPr>
        <w:t>, 2007, p. 10).</w:t>
      </w:r>
    </w:p>
    <w:p w14:paraId="4BA832D9" w14:textId="2AA70406" w:rsidR="00B125DC" w:rsidRPr="00C24241" w:rsidRDefault="00B125DC" w:rsidP="00556853">
      <w:pPr>
        <w:spacing w:after="0" w:line="360" w:lineRule="auto"/>
        <w:ind w:firstLine="697"/>
        <w:jc w:val="both"/>
        <w:rPr>
          <w:rFonts w:ascii="Times New Roman" w:hAnsi="Times New Roman" w:cs="Times New Roman"/>
          <w:sz w:val="24"/>
          <w:szCs w:val="24"/>
          <w:lang w:val="en-US"/>
        </w:rPr>
      </w:pPr>
      <w:r w:rsidRPr="00C24241">
        <w:rPr>
          <w:rFonts w:ascii="Times New Roman" w:hAnsi="Times New Roman" w:cs="Times New Roman"/>
          <w:sz w:val="24"/>
          <w:szCs w:val="24"/>
          <w:shd w:val="clear" w:color="auto" w:fill="FFFFFF"/>
          <w:lang w:val="en-US"/>
        </w:rPr>
        <w:t>De acordo com Peirce (1994, CP 5.488) “</w:t>
      </w:r>
      <w:r w:rsidRPr="004C5EAB">
        <w:rPr>
          <w:rFonts w:ascii="Times New Roman" w:hAnsi="Times New Roman" w:cs="Times New Roman"/>
          <w:i/>
          <w:iCs/>
          <w:sz w:val="24"/>
          <w:szCs w:val="24"/>
          <w:lang w:val="en-US"/>
        </w:rPr>
        <w:t>I call semiotic, that is, the doctrine of the essential nature and fundamental varieties of possible semiosis</w:t>
      </w:r>
      <w:r w:rsidRPr="004C5EAB">
        <w:rPr>
          <w:rFonts w:ascii="Times New Roman" w:hAnsi="Times New Roman" w:cs="Times New Roman"/>
          <w:i/>
          <w:iCs/>
          <w:sz w:val="24"/>
          <w:szCs w:val="24"/>
          <w:shd w:val="clear" w:color="auto" w:fill="FFFFFF"/>
          <w:lang w:val="en-US"/>
        </w:rPr>
        <w:t xml:space="preserve">”; </w:t>
      </w:r>
      <w:r w:rsidRPr="00277277">
        <w:rPr>
          <w:rFonts w:ascii="Times New Roman" w:hAnsi="Times New Roman" w:cs="Times New Roman"/>
          <w:sz w:val="24"/>
          <w:szCs w:val="24"/>
          <w:shd w:val="clear" w:color="auto" w:fill="FFFFFF"/>
          <w:lang w:val="en-US"/>
        </w:rPr>
        <w:t>isso é</w:t>
      </w:r>
      <w:r w:rsidRPr="004C5EAB">
        <w:rPr>
          <w:rFonts w:ascii="Times New Roman" w:hAnsi="Times New Roman" w:cs="Times New Roman"/>
          <w:i/>
          <w:iCs/>
          <w:sz w:val="24"/>
          <w:szCs w:val="24"/>
          <w:shd w:val="clear" w:color="auto" w:fill="FFFFFF"/>
          <w:lang w:val="en-US"/>
        </w:rPr>
        <w:t xml:space="preserve"> “</w:t>
      </w:r>
      <w:r w:rsidRPr="00277277">
        <w:rPr>
          <w:rFonts w:ascii="Times New Roman" w:hAnsi="Times New Roman" w:cs="Times New Roman"/>
          <w:i/>
          <w:iCs/>
          <w:sz w:val="24"/>
          <w:szCs w:val="24"/>
          <w:lang w:val="en-US"/>
        </w:rPr>
        <w:t>meant the action of almost any kind of sign</w:t>
      </w:r>
      <w:r w:rsidRPr="00C24241">
        <w:rPr>
          <w:rFonts w:ascii="Times New Roman" w:hAnsi="Times New Roman" w:cs="Times New Roman"/>
          <w:sz w:val="24"/>
          <w:szCs w:val="24"/>
          <w:shd w:val="clear" w:color="auto" w:fill="FFFFFF"/>
          <w:lang w:val="en-US"/>
        </w:rPr>
        <w:t>” (P</w:t>
      </w:r>
      <w:r w:rsidR="00556853" w:rsidRPr="00C24241">
        <w:rPr>
          <w:rFonts w:ascii="Times New Roman" w:hAnsi="Times New Roman" w:cs="Times New Roman"/>
          <w:sz w:val="24"/>
          <w:szCs w:val="24"/>
          <w:shd w:val="clear" w:color="auto" w:fill="FFFFFF"/>
          <w:lang w:val="en-US"/>
        </w:rPr>
        <w:t>eirce</w:t>
      </w:r>
      <w:r w:rsidRPr="00C24241">
        <w:rPr>
          <w:rFonts w:ascii="Times New Roman" w:hAnsi="Times New Roman" w:cs="Times New Roman"/>
          <w:sz w:val="24"/>
          <w:szCs w:val="24"/>
          <w:shd w:val="clear" w:color="auto" w:fill="FFFFFF"/>
          <w:lang w:val="en-US"/>
        </w:rPr>
        <w:t xml:space="preserve">, 1994, CP 5.484). Ele acrescenta que “[…] </w:t>
      </w:r>
      <w:r w:rsidRPr="00277277">
        <w:rPr>
          <w:rFonts w:ascii="Times New Roman" w:hAnsi="Times New Roman" w:cs="Times New Roman"/>
          <w:i/>
          <w:iCs/>
          <w:sz w:val="24"/>
          <w:szCs w:val="24"/>
          <w:lang w:val="en-US"/>
        </w:rPr>
        <w:t xml:space="preserve">by "semiosis" I mean, on the contrary, an action, or influence, which is, or involves, a cooperation of </w:t>
      </w:r>
      <w:r w:rsidRPr="00277277">
        <w:rPr>
          <w:rFonts w:ascii="Times New Roman" w:hAnsi="Times New Roman" w:cs="Times New Roman"/>
          <w:b/>
          <w:bCs/>
          <w:i/>
          <w:iCs/>
          <w:sz w:val="24"/>
          <w:szCs w:val="24"/>
          <w:lang w:val="en-US"/>
        </w:rPr>
        <w:t xml:space="preserve">three </w:t>
      </w:r>
      <w:r w:rsidRPr="00277277">
        <w:rPr>
          <w:rFonts w:ascii="Times New Roman" w:hAnsi="Times New Roman" w:cs="Times New Roman"/>
          <w:i/>
          <w:iCs/>
          <w:sz w:val="24"/>
          <w:szCs w:val="24"/>
          <w:lang w:val="en-US"/>
        </w:rPr>
        <w:t>subjects, such as a sign, its object, and its interpretant, this tri-relative influence not being in any way resolvable into actions between pairs</w:t>
      </w:r>
      <w:r w:rsidRPr="00C24241">
        <w:rPr>
          <w:rFonts w:ascii="Times New Roman" w:hAnsi="Times New Roman" w:cs="Times New Roman"/>
          <w:sz w:val="24"/>
          <w:szCs w:val="24"/>
          <w:shd w:val="clear" w:color="auto" w:fill="FFFFFF"/>
          <w:lang w:val="en-US"/>
        </w:rPr>
        <w:t>” (P</w:t>
      </w:r>
      <w:r w:rsidR="00556853" w:rsidRPr="00C24241">
        <w:rPr>
          <w:rFonts w:ascii="Times New Roman" w:hAnsi="Times New Roman" w:cs="Times New Roman"/>
          <w:sz w:val="24"/>
          <w:szCs w:val="24"/>
          <w:shd w:val="clear" w:color="auto" w:fill="FFFFFF"/>
          <w:lang w:val="en-US"/>
        </w:rPr>
        <w:t>eirce</w:t>
      </w:r>
      <w:r w:rsidRPr="00C24241">
        <w:rPr>
          <w:rFonts w:ascii="Times New Roman" w:hAnsi="Times New Roman" w:cs="Times New Roman"/>
          <w:sz w:val="24"/>
          <w:szCs w:val="24"/>
          <w:shd w:val="clear" w:color="auto" w:fill="FFFFFF"/>
          <w:lang w:val="en-US"/>
        </w:rPr>
        <w:t xml:space="preserve">, 1994, CP 5.484, grifo do autor), e que “[…] </w:t>
      </w:r>
      <w:r w:rsidRPr="00277277">
        <w:rPr>
          <w:rFonts w:ascii="Times New Roman" w:hAnsi="Times New Roman" w:cs="Times New Roman"/>
          <w:i/>
          <w:iCs/>
          <w:sz w:val="24"/>
          <w:szCs w:val="24"/>
          <w:lang w:val="en-US"/>
        </w:rPr>
        <w:t xml:space="preserve">the interpretant is, at least, in all cases, a sufficiently close analogue of a </w:t>
      </w:r>
      <w:r w:rsidRPr="00277277">
        <w:rPr>
          <w:rFonts w:ascii="Times New Roman" w:hAnsi="Times New Roman" w:cs="Times New Roman"/>
          <w:b/>
          <w:i/>
          <w:iCs/>
          <w:sz w:val="24"/>
          <w:szCs w:val="24"/>
          <w:lang w:val="en-US"/>
        </w:rPr>
        <w:t>modification of consciousness</w:t>
      </w:r>
      <w:r w:rsidRPr="00C24241">
        <w:rPr>
          <w:rFonts w:ascii="Times New Roman" w:hAnsi="Times New Roman" w:cs="Times New Roman"/>
          <w:sz w:val="24"/>
          <w:szCs w:val="24"/>
          <w:lang w:val="en-US"/>
        </w:rPr>
        <w:t>”</w:t>
      </w:r>
      <w:r w:rsidRPr="00C24241">
        <w:rPr>
          <w:rFonts w:ascii="Times New Roman" w:hAnsi="Times New Roman" w:cs="Times New Roman"/>
          <w:sz w:val="24"/>
          <w:szCs w:val="24"/>
          <w:shd w:val="clear" w:color="auto" w:fill="FFFFFF"/>
          <w:lang w:val="en-US"/>
        </w:rPr>
        <w:t xml:space="preserve"> (P</w:t>
      </w:r>
      <w:r w:rsidR="00556853" w:rsidRPr="00C24241">
        <w:rPr>
          <w:rFonts w:ascii="Times New Roman" w:hAnsi="Times New Roman" w:cs="Times New Roman"/>
          <w:sz w:val="24"/>
          <w:szCs w:val="24"/>
          <w:shd w:val="clear" w:color="auto" w:fill="FFFFFF"/>
          <w:lang w:val="en-US"/>
        </w:rPr>
        <w:t>eirce</w:t>
      </w:r>
      <w:r w:rsidRPr="00C24241">
        <w:rPr>
          <w:rFonts w:ascii="Times New Roman" w:hAnsi="Times New Roman" w:cs="Times New Roman"/>
          <w:sz w:val="24"/>
          <w:szCs w:val="24"/>
          <w:shd w:val="clear" w:color="auto" w:fill="FFFFFF"/>
          <w:lang w:val="en-US"/>
        </w:rPr>
        <w:t>, 1994, CP 5.485, grifo nosso).</w:t>
      </w:r>
    </w:p>
    <w:p w14:paraId="0EB3975C" w14:textId="77777777" w:rsidR="00B125DC" w:rsidRPr="00B125DC" w:rsidRDefault="00B125DC" w:rsidP="00556853">
      <w:pPr>
        <w:spacing w:after="0" w:line="360" w:lineRule="auto"/>
        <w:ind w:firstLine="697"/>
        <w:jc w:val="both"/>
        <w:rPr>
          <w:rFonts w:ascii="Times New Roman" w:hAnsi="Times New Roman" w:cs="Times New Roman"/>
          <w:sz w:val="24"/>
          <w:szCs w:val="24"/>
        </w:rPr>
      </w:pPr>
      <w:r w:rsidRPr="00B125DC">
        <w:rPr>
          <w:rFonts w:ascii="Times New Roman" w:hAnsi="Times New Roman" w:cs="Times New Roman"/>
          <w:sz w:val="24"/>
          <w:szCs w:val="24"/>
        </w:rPr>
        <w:t>Pela discussão mostrada, pode se dizer que a Semiótica consegue integrar os “paradigmas” da CI, pois consegue explicar os processos e os fenômenos que ocorrem em cada abordagem: seja físico, cognitive ou social.</w:t>
      </w:r>
    </w:p>
    <w:p w14:paraId="1AC266D0" w14:textId="77777777" w:rsidR="00B125DC" w:rsidRDefault="00B125DC" w:rsidP="00556853">
      <w:pPr>
        <w:spacing w:after="0" w:line="360" w:lineRule="auto"/>
        <w:ind w:firstLine="697"/>
        <w:rPr>
          <w:rFonts w:ascii="Times New Roman" w:hAnsi="Times New Roman" w:cs="Times New Roman"/>
          <w:sz w:val="24"/>
          <w:szCs w:val="24"/>
        </w:rPr>
      </w:pPr>
    </w:p>
    <w:p w14:paraId="4CAA91E3" w14:textId="77777777" w:rsidR="002951F4" w:rsidRPr="00B125DC" w:rsidRDefault="002951F4" w:rsidP="00556853">
      <w:pPr>
        <w:spacing w:after="0" w:line="360" w:lineRule="auto"/>
        <w:ind w:firstLine="697"/>
        <w:rPr>
          <w:rFonts w:ascii="Times New Roman" w:hAnsi="Times New Roman" w:cs="Times New Roman"/>
          <w:sz w:val="24"/>
          <w:szCs w:val="24"/>
        </w:rPr>
      </w:pPr>
    </w:p>
    <w:p w14:paraId="2EEEEA7E" w14:textId="77777777" w:rsidR="00B125DC" w:rsidRDefault="00B125DC" w:rsidP="00556853">
      <w:pPr>
        <w:spacing w:after="0" w:line="360" w:lineRule="auto"/>
        <w:jc w:val="both"/>
        <w:rPr>
          <w:rFonts w:ascii="Times New Roman" w:hAnsi="Times New Roman" w:cs="Times New Roman"/>
          <w:b/>
          <w:sz w:val="24"/>
          <w:szCs w:val="24"/>
          <w:shd w:val="clear" w:color="auto" w:fill="FFFFFF"/>
        </w:rPr>
      </w:pPr>
      <w:r w:rsidRPr="00C24241">
        <w:rPr>
          <w:rFonts w:ascii="Times New Roman" w:hAnsi="Times New Roman" w:cs="Times New Roman"/>
          <w:b/>
          <w:sz w:val="24"/>
          <w:szCs w:val="24"/>
          <w:shd w:val="clear" w:color="auto" w:fill="FFFFFF"/>
        </w:rPr>
        <w:lastRenderedPageBreak/>
        <w:t>4 DISCUSSÃO</w:t>
      </w:r>
    </w:p>
    <w:p w14:paraId="11E8A503" w14:textId="77777777" w:rsidR="00556853" w:rsidRPr="00C24241" w:rsidRDefault="00556853" w:rsidP="00556853">
      <w:pPr>
        <w:spacing w:after="0" w:line="360" w:lineRule="auto"/>
        <w:jc w:val="both"/>
        <w:rPr>
          <w:rFonts w:ascii="Times New Roman" w:hAnsi="Times New Roman" w:cs="Times New Roman"/>
          <w:b/>
          <w:sz w:val="24"/>
          <w:szCs w:val="24"/>
        </w:rPr>
      </w:pPr>
    </w:p>
    <w:p w14:paraId="7B88FB71" w14:textId="5BA3AF3D" w:rsidR="00B125DC" w:rsidRPr="00C24241" w:rsidRDefault="00B125DC" w:rsidP="00556853">
      <w:pPr>
        <w:spacing w:after="0" w:line="360" w:lineRule="auto"/>
        <w:ind w:firstLine="697"/>
        <w:jc w:val="both"/>
        <w:rPr>
          <w:rFonts w:ascii="Times New Roman" w:hAnsi="Times New Roman" w:cs="Times New Roman"/>
          <w:sz w:val="24"/>
          <w:szCs w:val="24"/>
        </w:rPr>
      </w:pPr>
      <w:r w:rsidRPr="00C24241">
        <w:rPr>
          <w:rFonts w:ascii="Times New Roman" w:hAnsi="Times New Roman" w:cs="Times New Roman"/>
          <w:sz w:val="24"/>
          <w:szCs w:val="24"/>
        </w:rPr>
        <w:t xml:space="preserve">A </w:t>
      </w:r>
      <w:r>
        <w:rPr>
          <w:rFonts w:ascii="Times New Roman" w:hAnsi="Times New Roman" w:cs="Times New Roman"/>
          <w:sz w:val="24"/>
          <w:szCs w:val="24"/>
        </w:rPr>
        <w:t>S</w:t>
      </w:r>
      <w:r w:rsidRPr="00C24241">
        <w:rPr>
          <w:rFonts w:ascii="Times New Roman" w:hAnsi="Times New Roman" w:cs="Times New Roman"/>
          <w:sz w:val="24"/>
          <w:szCs w:val="24"/>
        </w:rPr>
        <w:t>emiótica peirceana, considerada como uma teoria geral dos signos (</w:t>
      </w:r>
      <w:r w:rsidR="00556853" w:rsidRPr="00C24241">
        <w:rPr>
          <w:rFonts w:ascii="Times New Roman" w:hAnsi="Times New Roman" w:cs="Times New Roman"/>
          <w:sz w:val="24"/>
          <w:szCs w:val="24"/>
        </w:rPr>
        <w:t>Santaella, Vieira</w:t>
      </w:r>
      <w:r w:rsidRPr="00C24241">
        <w:rPr>
          <w:rFonts w:ascii="Times New Roman" w:hAnsi="Times New Roman" w:cs="Times New Roman"/>
          <w:sz w:val="24"/>
          <w:szCs w:val="24"/>
        </w:rPr>
        <w:t>, 2008, p. 55) dedica-se a estudar e integrar fenômenos humanos dentro de um contexto amplo, “como uma espécie de teoria de fundamentação para uma outra ciência” (</w:t>
      </w:r>
      <w:r w:rsidR="00556853" w:rsidRPr="00C24241">
        <w:rPr>
          <w:rFonts w:ascii="Times New Roman" w:hAnsi="Times New Roman" w:cs="Times New Roman"/>
          <w:sz w:val="24"/>
          <w:szCs w:val="24"/>
        </w:rPr>
        <w:t>Coelho Netto</w:t>
      </w:r>
      <w:r w:rsidRPr="00C24241">
        <w:rPr>
          <w:rFonts w:ascii="Times New Roman" w:hAnsi="Times New Roman" w:cs="Times New Roman"/>
          <w:sz w:val="24"/>
          <w:szCs w:val="24"/>
        </w:rPr>
        <w:t>, 1980, p. 53), ou seja, considera “um grupo vasto de fenômenos, tais como uso natural das diversas ‘linguagens’, a evolução e transformação dos códigos, a comunicação estética, os vários tipos de interação comunicativa, o uso dos signos para mencionar coisas e estados do mundo” (E</w:t>
      </w:r>
      <w:r w:rsidR="00556853" w:rsidRPr="00C24241">
        <w:rPr>
          <w:rFonts w:ascii="Times New Roman" w:hAnsi="Times New Roman" w:cs="Times New Roman"/>
          <w:sz w:val="24"/>
          <w:szCs w:val="24"/>
        </w:rPr>
        <w:t>co</w:t>
      </w:r>
      <w:r w:rsidRPr="00C24241">
        <w:rPr>
          <w:rFonts w:ascii="Times New Roman" w:hAnsi="Times New Roman" w:cs="Times New Roman"/>
          <w:sz w:val="24"/>
          <w:szCs w:val="24"/>
        </w:rPr>
        <w:t>, 2007, p. 1). </w:t>
      </w:r>
    </w:p>
    <w:p w14:paraId="512305E7"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O paradigma físico é baseado na informação como objeto físico, que é transmitido de um emissor para um receptor, por meio de um canal. Neste contexto, a informação passou a se chamar mensagem. Este paradigma possui como base os estudos de Shannon e Wiener, e sua Teoria Matemática da Informação, que influenciou diversos estudos entre os anos de 1945 a 1960. Essa corrente de pensamento pregava a informação como sinal que é transmitido de um ponto a outro em um sistema. É nesse contexto que se firmam os principais estudos teóricos e práticos em CI sobre sistemas e técnicas de recuperação da informação. Um exemplo foi a elaboração do conceito de relevância. Saracevic (1975, p. 324) afirma que o que diferencia uma informação para uma informação relevante está no modo como o sistema de recuperação da informação seleciona a informação seguindo as orientações de busca do usuário.</w:t>
      </w:r>
    </w:p>
    <w:p w14:paraId="47A63F77"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Estudos como o de Cleverdon, Mills e Keen (1966) buscam associar as perguntas dos usuários e as respostas dos sistemas para identificar a relevância de determinado documento, pois</w:t>
      </w:r>
    </w:p>
    <w:p w14:paraId="4FDD9C2F" w14:textId="7BCF5FB7" w:rsidR="00B125DC" w:rsidRPr="00556853" w:rsidRDefault="00B125DC" w:rsidP="00556853">
      <w:pPr>
        <w:spacing w:after="0"/>
        <w:ind w:left="2268"/>
        <w:jc w:val="both"/>
        <w:rPr>
          <w:rFonts w:ascii="Times New Roman" w:hAnsi="Times New Roman" w:cs="Times New Roman"/>
          <w:lang w:val="en-US"/>
        </w:rPr>
      </w:pPr>
      <w:r w:rsidRPr="00C24241">
        <w:rPr>
          <w:rFonts w:ascii="Times New Roman" w:hAnsi="Times New Roman" w:cs="Times New Roman"/>
          <w:lang w:val="en-US"/>
        </w:rPr>
        <w:t xml:space="preserve">With the aid of a set of documents and a set of questions [for which document/question relevance assessments have been previously made by the questioner] it will be possible to test each index language in turn and and so get precise figures of the effect on recall and precision ratios </w:t>
      </w:r>
      <w:r w:rsidRPr="00556853">
        <w:rPr>
          <w:rFonts w:ascii="Times New Roman" w:hAnsi="Times New Roman" w:cs="Times New Roman"/>
          <w:lang w:val="en-US"/>
        </w:rPr>
        <w:t>(</w:t>
      </w:r>
      <w:r w:rsidR="00556853" w:rsidRPr="00556853">
        <w:rPr>
          <w:rFonts w:ascii="Times New Roman" w:hAnsi="Times New Roman" w:cs="Times New Roman"/>
          <w:lang w:val="en-US"/>
        </w:rPr>
        <w:t>Cleverdon, Mills, Keen</w:t>
      </w:r>
      <w:r w:rsidRPr="00556853">
        <w:rPr>
          <w:rFonts w:ascii="Times New Roman" w:hAnsi="Times New Roman" w:cs="Times New Roman"/>
          <w:lang w:val="en-US"/>
        </w:rPr>
        <w:t>, 1966, p. 13).</w:t>
      </w:r>
    </w:p>
    <w:p w14:paraId="03BD9CC2" w14:textId="77777777" w:rsidR="00B125DC" w:rsidRPr="00556853" w:rsidRDefault="00B125DC" w:rsidP="00556853">
      <w:pPr>
        <w:spacing w:after="0" w:line="360" w:lineRule="auto"/>
        <w:ind w:firstLine="700"/>
        <w:jc w:val="both"/>
        <w:rPr>
          <w:rFonts w:ascii="Times New Roman" w:hAnsi="Times New Roman" w:cs="Times New Roman"/>
          <w:sz w:val="24"/>
          <w:szCs w:val="24"/>
          <w:lang w:val="en-US"/>
        </w:rPr>
      </w:pPr>
    </w:p>
    <w:p w14:paraId="1C335E40" w14:textId="5D3BF954" w:rsidR="00B125DC" w:rsidRPr="00C24241" w:rsidRDefault="00B125DC" w:rsidP="00556853">
      <w:pPr>
        <w:spacing w:after="0" w:line="360" w:lineRule="auto"/>
        <w:ind w:firstLine="697"/>
        <w:jc w:val="both"/>
        <w:rPr>
          <w:rFonts w:ascii="Times New Roman" w:hAnsi="Times New Roman" w:cs="Times New Roman"/>
          <w:sz w:val="24"/>
          <w:szCs w:val="24"/>
        </w:rPr>
      </w:pPr>
      <w:r w:rsidRPr="00C24241">
        <w:rPr>
          <w:rFonts w:ascii="Times New Roman" w:hAnsi="Times New Roman" w:cs="Times New Roman"/>
          <w:sz w:val="24"/>
          <w:szCs w:val="24"/>
        </w:rPr>
        <w:t xml:space="preserve">São abordagens voltadas para a representação de objetos de informação e de consultas, e de recuperação da informação. </w:t>
      </w:r>
      <w:r w:rsidRPr="00C24241">
        <w:rPr>
          <w:rFonts w:ascii="Times New Roman" w:hAnsi="Times New Roman" w:cs="Times New Roman"/>
          <w:sz w:val="24"/>
          <w:szCs w:val="24"/>
          <w:lang w:val="en-US"/>
        </w:rPr>
        <w:t>Representação é “</w:t>
      </w:r>
      <w:r w:rsidRPr="00B94444">
        <w:rPr>
          <w:rFonts w:ascii="Times New Roman" w:hAnsi="Times New Roman" w:cs="Times New Roman"/>
          <w:i/>
          <w:iCs/>
          <w:sz w:val="24"/>
          <w:szCs w:val="24"/>
          <w:lang w:val="en-US"/>
        </w:rPr>
        <w:t>all represent something else, in their several ways, to minds who consider them in that way</w:t>
      </w:r>
      <w:r w:rsidRPr="00C24241">
        <w:rPr>
          <w:rFonts w:ascii="Times New Roman" w:hAnsi="Times New Roman" w:cs="Times New Roman"/>
          <w:sz w:val="24"/>
          <w:szCs w:val="24"/>
          <w:lang w:val="en-US"/>
        </w:rPr>
        <w:t xml:space="preserve">” </w:t>
      </w:r>
      <w:r w:rsidRPr="00556853">
        <w:rPr>
          <w:rFonts w:ascii="Times New Roman" w:hAnsi="Times New Roman" w:cs="Times New Roman"/>
          <w:sz w:val="24"/>
          <w:szCs w:val="24"/>
          <w:lang w:val="en-US"/>
        </w:rPr>
        <w:t>(P</w:t>
      </w:r>
      <w:r w:rsidR="00556853" w:rsidRPr="00556853">
        <w:rPr>
          <w:rFonts w:ascii="Times New Roman" w:hAnsi="Times New Roman" w:cs="Times New Roman"/>
          <w:sz w:val="24"/>
          <w:szCs w:val="24"/>
          <w:lang w:val="en-US"/>
        </w:rPr>
        <w:t>eirce</w:t>
      </w:r>
      <w:r w:rsidRPr="00556853">
        <w:rPr>
          <w:rFonts w:ascii="Times New Roman" w:hAnsi="Times New Roman" w:cs="Times New Roman"/>
          <w:sz w:val="24"/>
          <w:szCs w:val="24"/>
          <w:lang w:val="en-US"/>
        </w:rPr>
        <w:t xml:space="preserve">, 1994, CP 2.273). </w:t>
      </w:r>
      <w:r w:rsidRPr="00C24241">
        <w:rPr>
          <w:rFonts w:ascii="Times New Roman" w:hAnsi="Times New Roman" w:cs="Times New Roman"/>
          <w:sz w:val="24"/>
          <w:szCs w:val="24"/>
        </w:rPr>
        <w:t xml:space="preserve">Enquanto o processo de semiose se dá na mente humana, sua representação/materialização em signos permite que o processo de comunicação seja efetivado. </w:t>
      </w:r>
      <w:r>
        <w:rPr>
          <w:rFonts w:ascii="Times New Roman" w:hAnsi="Times New Roman" w:cs="Times New Roman"/>
          <w:sz w:val="24"/>
          <w:szCs w:val="24"/>
        </w:rPr>
        <w:t>Grande parte dos</w:t>
      </w:r>
      <w:r w:rsidRPr="00C24241">
        <w:rPr>
          <w:rFonts w:ascii="Times New Roman" w:hAnsi="Times New Roman" w:cs="Times New Roman"/>
          <w:sz w:val="24"/>
          <w:szCs w:val="24"/>
        </w:rPr>
        <w:t xml:space="preserve"> estudos semióticos</w:t>
      </w:r>
      <w:r>
        <w:rPr>
          <w:rFonts w:ascii="Times New Roman" w:hAnsi="Times New Roman" w:cs="Times New Roman"/>
          <w:sz w:val="24"/>
          <w:szCs w:val="24"/>
        </w:rPr>
        <w:t xml:space="preserve"> utilizados </w:t>
      </w:r>
      <w:r w:rsidRPr="00C24241">
        <w:rPr>
          <w:rFonts w:ascii="Times New Roman" w:hAnsi="Times New Roman" w:cs="Times New Roman"/>
          <w:sz w:val="24"/>
          <w:szCs w:val="24"/>
        </w:rPr>
        <w:t>na CI</w:t>
      </w:r>
      <w:r>
        <w:rPr>
          <w:rFonts w:ascii="Times New Roman" w:hAnsi="Times New Roman" w:cs="Times New Roman"/>
          <w:sz w:val="24"/>
          <w:szCs w:val="24"/>
        </w:rPr>
        <w:t xml:space="preserve"> brasileira</w:t>
      </w:r>
      <w:r w:rsidRPr="00C24241">
        <w:rPr>
          <w:rFonts w:ascii="Times New Roman" w:hAnsi="Times New Roman" w:cs="Times New Roman"/>
          <w:sz w:val="24"/>
          <w:szCs w:val="24"/>
        </w:rPr>
        <w:t xml:space="preserve">, </w:t>
      </w:r>
      <w:r>
        <w:rPr>
          <w:rFonts w:ascii="Times New Roman" w:hAnsi="Times New Roman" w:cs="Times New Roman"/>
          <w:sz w:val="24"/>
          <w:szCs w:val="24"/>
        </w:rPr>
        <w:t>aborda</w:t>
      </w:r>
      <w:r w:rsidRPr="00C24241">
        <w:rPr>
          <w:rFonts w:ascii="Times New Roman" w:hAnsi="Times New Roman" w:cs="Times New Roman"/>
          <w:sz w:val="24"/>
          <w:szCs w:val="24"/>
        </w:rPr>
        <w:t xml:space="preserve"> questões sobre representação da informação. Tópicos como: tratamento e representação de materiais não textuais (imagem, música e audiovisual), elaboração e análise </w:t>
      </w:r>
      <w:r w:rsidRPr="00C24241">
        <w:rPr>
          <w:rFonts w:ascii="Times New Roman" w:hAnsi="Times New Roman" w:cs="Times New Roman"/>
          <w:sz w:val="24"/>
          <w:szCs w:val="24"/>
        </w:rPr>
        <w:lastRenderedPageBreak/>
        <w:t>de índices e instrumentos de indexação de documentos, como as linguagens documentárias são as maiores ocorrências entre os estudos de Semiótica e CI (</w:t>
      </w:r>
      <w:r w:rsidR="00556853" w:rsidRPr="00C24241">
        <w:rPr>
          <w:rFonts w:ascii="Times New Roman" w:hAnsi="Times New Roman" w:cs="Times New Roman"/>
          <w:sz w:val="24"/>
          <w:szCs w:val="24"/>
        </w:rPr>
        <w:t>Pereira, Martins, Marcondes, 2017; Brier,</w:t>
      </w:r>
      <w:r w:rsidRPr="00C24241">
        <w:rPr>
          <w:rFonts w:ascii="Times New Roman" w:hAnsi="Times New Roman" w:cs="Times New Roman"/>
          <w:sz w:val="24"/>
          <w:szCs w:val="24"/>
        </w:rPr>
        <w:t xml:space="preserve"> 1996). Principalmente, a divisão dos signos nas tricotomias elaborada por Peirce: ícone, índice e símbolo, são a base de muitos estudos incluídos neste primeiro paradigma proposto por Capurro (2003).</w:t>
      </w:r>
    </w:p>
    <w:p w14:paraId="79B37152"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Chega-se ao paradigma cognitivo, que teve o pensamento de Karl Popper como principal influenciador e seu modelo foi proposto por Brookes (1980).  Neste viés, Popper apresenta o terceiro mundo como sendo o mundo do conhecimento objetivo, lugar das teorias científicas. Estudos voltados para os perfil e necessidades dos usuários surgem nesse contexto, apoiados em teóricas externas a CI, provenientes, por exemplo, da psicologia cognitiva.</w:t>
      </w:r>
    </w:p>
    <w:p w14:paraId="740F6034" w14:textId="333CCFA8" w:rsidR="00B125DC" w:rsidRPr="00C24241" w:rsidRDefault="00B125DC" w:rsidP="00556853">
      <w:pPr>
        <w:spacing w:after="0" w:line="360" w:lineRule="auto"/>
        <w:ind w:firstLine="700"/>
        <w:jc w:val="both"/>
        <w:rPr>
          <w:rFonts w:ascii="Times New Roman" w:hAnsi="Times New Roman" w:cs="Times New Roman"/>
          <w:sz w:val="24"/>
          <w:szCs w:val="24"/>
          <w:lang w:val="en-US"/>
        </w:rPr>
      </w:pPr>
      <w:bookmarkStart w:id="70" w:name="_Hlk20060957"/>
      <w:r w:rsidRPr="00C24241">
        <w:rPr>
          <w:rFonts w:ascii="Times New Roman" w:hAnsi="Times New Roman" w:cs="Times New Roman"/>
          <w:sz w:val="24"/>
          <w:szCs w:val="24"/>
        </w:rPr>
        <w:t>Belkin apresenta sua teoria acreditando na existência de um “estado de insatisfação”, que levaria a um “estado anômalo” de conhecimento, que “</w:t>
      </w:r>
      <w:r w:rsidRPr="008E122E">
        <w:rPr>
          <w:rFonts w:ascii="Times New Roman" w:hAnsi="Times New Roman" w:cs="Times New Roman"/>
          <w:i/>
          <w:iCs/>
          <w:sz w:val="24"/>
          <w:szCs w:val="24"/>
        </w:rPr>
        <w:t>converts this anomalous state of knowledge into some communicable structure, which is used to retrieve from the corpus of texts some text or texts which might be appropriate for resolving the anomaly</w:t>
      </w:r>
      <w:r w:rsidRPr="00C24241">
        <w:rPr>
          <w:rFonts w:ascii="Times New Roman" w:hAnsi="Times New Roman" w:cs="Times New Roman"/>
          <w:sz w:val="24"/>
          <w:szCs w:val="24"/>
        </w:rPr>
        <w:t xml:space="preserve">” (BELKIN, 1978, p. 81). </w:t>
      </w:r>
      <w:r w:rsidRPr="00C24241">
        <w:rPr>
          <w:rFonts w:ascii="Times New Roman" w:hAnsi="Times New Roman" w:cs="Times New Roman"/>
          <w:sz w:val="24"/>
          <w:szCs w:val="24"/>
          <w:lang w:val="en-US"/>
        </w:rPr>
        <w:t>Ou seja, “</w:t>
      </w:r>
      <w:r w:rsidRPr="008E122E">
        <w:rPr>
          <w:rFonts w:ascii="Times New Roman" w:hAnsi="Times New Roman" w:cs="Times New Roman"/>
          <w:i/>
          <w:iCs/>
          <w:sz w:val="24"/>
          <w:szCs w:val="24"/>
          <w:lang w:val="en-US"/>
        </w:rPr>
        <w:t>Information is that which is capable of transforming structure</w:t>
      </w:r>
      <w:r w:rsidRPr="00C24241">
        <w:rPr>
          <w:rFonts w:ascii="Times New Roman" w:hAnsi="Times New Roman" w:cs="Times New Roman"/>
          <w:sz w:val="24"/>
          <w:szCs w:val="24"/>
          <w:lang w:val="en-US"/>
        </w:rPr>
        <w:t>” (</w:t>
      </w:r>
      <w:r w:rsidR="00556853" w:rsidRPr="00C24241">
        <w:rPr>
          <w:rFonts w:ascii="Times New Roman" w:hAnsi="Times New Roman" w:cs="Times New Roman"/>
          <w:sz w:val="24"/>
          <w:szCs w:val="24"/>
          <w:lang w:val="en-US"/>
        </w:rPr>
        <w:t>Belkin; Robertson</w:t>
      </w:r>
      <w:r w:rsidRPr="00C24241">
        <w:rPr>
          <w:rFonts w:ascii="Times New Roman" w:hAnsi="Times New Roman" w:cs="Times New Roman"/>
          <w:sz w:val="24"/>
          <w:szCs w:val="24"/>
          <w:lang w:val="en-US"/>
        </w:rPr>
        <w:t>, 1976, p. 198).</w:t>
      </w:r>
    </w:p>
    <w:p w14:paraId="0CEAB031" w14:textId="77777777" w:rsidR="00B125DC" w:rsidRPr="00C24241" w:rsidRDefault="00B125DC" w:rsidP="00556853">
      <w:pPr>
        <w:spacing w:after="0" w:line="360" w:lineRule="auto"/>
        <w:ind w:firstLine="700"/>
        <w:jc w:val="both"/>
        <w:rPr>
          <w:rFonts w:ascii="Times New Roman" w:hAnsi="Times New Roman" w:cs="Times New Roman"/>
          <w:sz w:val="24"/>
          <w:szCs w:val="24"/>
          <w:lang w:val="en-US"/>
        </w:rPr>
      </w:pPr>
    </w:p>
    <w:p w14:paraId="227600AC" w14:textId="6465CA08" w:rsidR="00B125DC" w:rsidRPr="00556853" w:rsidRDefault="00B125DC" w:rsidP="00556853">
      <w:pPr>
        <w:spacing w:after="0"/>
        <w:ind w:left="2268"/>
        <w:jc w:val="both"/>
        <w:rPr>
          <w:rFonts w:ascii="Times New Roman" w:hAnsi="Times New Roman" w:cs="Times New Roman"/>
          <w:lang w:val="en-US"/>
        </w:rPr>
      </w:pPr>
      <w:r w:rsidRPr="00556853">
        <w:rPr>
          <w:rFonts w:ascii="Times New Roman" w:hAnsi="Times New Roman" w:cs="Times New Roman"/>
          <w:sz w:val="20"/>
          <w:szCs w:val="20"/>
          <w:lang w:val="en-US"/>
        </w:rPr>
        <w:t>A TEXT (in information science) is a collection of signs purposely structured by a sender with the intention of changing the image-structure of a recipient. INFORMATION (in information science) is the structure of any text which is capable of changing the image-structure of a recipient (</w:t>
      </w:r>
      <w:r w:rsidR="00556853" w:rsidRPr="00556853">
        <w:rPr>
          <w:rFonts w:ascii="Times New Roman" w:hAnsi="Times New Roman" w:cs="Times New Roman"/>
          <w:sz w:val="20"/>
          <w:szCs w:val="20"/>
          <w:lang w:val="en-US"/>
        </w:rPr>
        <w:t>Belkin; Robertson</w:t>
      </w:r>
      <w:r w:rsidRPr="00556853">
        <w:rPr>
          <w:rFonts w:ascii="Times New Roman" w:hAnsi="Times New Roman" w:cs="Times New Roman"/>
          <w:sz w:val="20"/>
          <w:szCs w:val="20"/>
          <w:lang w:val="en-US"/>
        </w:rPr>
        <w:t>, 1976, p. 201).</w:t>
      </w:r>
    </w:p>
    <w:p w14:paraId="24049B28" w14:textId="77777777" w:rsidR="00B125DC" w:rsidRPr="00556853" w:rsidRDefault="00B125DC" w:rsidP="00556853">
      <w:pPr>
        <w:spacing w:after="0" w:line="360" w:lineRule="auto"/>
        <w:ind w:firstLine="700"/>
        <w:jc w:val="both"/>
        <w:rPr>
          <w:rFonts w:ascii="Times New Roman" w:hAnsi="Times New Roman" w:cs="Times New Roman"/>
          <w:sz w:val="24"/>
          <w:szCs w:val="24"/>
          <w:lang w:val="en-US"/>
        </w:rPr>
      </w:pPr>
    </w:p>
    <w:p w14:paraId="5FC10ABF" w14:textId="4CCD1FFF"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Para Belkin e Robertson (1976) a palavra “</w:t>
      </w:r>
      <w:r w:rsidRPr="008E122E">
        <w:rPr>
          <w:rFonts w:ascii="Times New Roman" w:hAnsi="Times New Roman" w:cs="Times New Roman"/>
          <w:i/>
          <w:iCs/>
          <w:sz w:val="24"/>
          <w:szCs w:val="24"/>
        </w:rPr>
        <w:t>capable</w:t>
      </w:r>
      <w:r w:rsidRPr="00C24241">
        <w:rPr>
          <w:rFonts w:ascii="Times New Roman" w:hAnsi="Times New Roman" w:cs="Times New Roman"/>
          <w:sz w:val="24"/>
          <w:szCs w:val="24"/>
        </w:rPr>
        <w:t>” denota o caráter potencial da informação em informar alguém sobre algo. Este “processo de interpretação de signo tende para um estado final que é a busca da ‘verdade’ na acepção aqui adotada: é a mudança de um estado de insatisfação para um estado de satisfação com base em conhecimento” (</w:t>
      </w:r>
      <w:r w:rsidR="00556853" w:rsidRPr="00C24241">
        <w:rPr>
          <w:rFonts w:ascii="Times New Roman" w:hAnsi="Times New Roman" w:cs="Times New Roman"/>
          <w:sz w:val="24"/>
          <w:szCs w:val="24"/>
        </w:rPr>
        <w:t>Coelho Netto</w:t>
      </w:r>
      <w:r w:rsidRPr="00C24241">
        <w:rPr>
          <w:rFonts w:ascii="Times New Roman" w:hAnsi="Times New Roman" w:cs="Times New Roman"/>
          <w:sz w:val="24"/>
          <w:szCs w:val="24"/>
        </w:rPr>
        <w:t>, 1983, p. 68).</w:t>
      </w:r>
    </w:p>
    <w:bookmarkEnd w:id="70"/>
    <w:p w14:paraId="0BC62A97"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 xml:space="preserve">Esse processo é chamado de semiose, que é “estritamente, a produção de sentido, processo infinito pelo qual, através de sua relação com o objeto (v.), o signo (v.) produz um interpretante que, por sua vez, é um signo que produz um interpretante e assim por diante.” (PINTO, 1995, 49). A semiose é o </w:t>
      </w:r>
      <w:r w:rsidRPr="00C24241">
        <w:rPr>
          <w:rFonts w:ascii="Times New Roman" w:hAnsi="Times New Roman" w:cs="Times New Roman"/>
          <w:b/>
          <w:i/>
          <w:sz w:val="24"/>
          <w:szCs w:val="24"/>
        </w:rPr>
        <w:t xml:space="preserve">efeito </w:t>
      </w:r>
      <w:r w:rsidRPr="00C24241">
        <w:rPr>
          <w:rFonts w:ascii="Times New Roman" w:hAnsi="Times New Roman" w:cs="Times New Roman"/>
          <w:sz w:val="24"/>
          <w:szCs w:val="24"/>
        </w:rPr>
        <w:t>de um signo em uma mente, a geração nesta mente de um interpretante. A semiose ocorreria no indivíduo, de forma que este consiga interpretar um signo e reconhecê-lo como algo informacional. Sem este reconhecimento, a informação permanece no seu estado de potencialidade, não efetivando a ação informacional, a semiose.</w:t>
      </w:r>
    </w:p>
    <w:p w14:paraId="4C5C973B"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lastRenderedPageBreak/>
        <w:t>Por último, o paradigma social foi influenciado teoricamente por filósofos como: Wittgenstein, Heidegger e Foucault. Na CI seu principal ator foi Birger Hjørland. Para Capurro (2003, p. 10) “uma consequência prática desse paradigma é o abandono da busca de uma linguagem ideal para representar o conhecimento ou de um algoritmo ideal para modelar a recuperação da informação a que aspiram o paradigma físico e o cognitivo”. Pode-se afirmar então, que o terceiro paradigma seria a interação entre os processos informacionais, os aspectos sociais (comunidades) e suas forças político-socioculturais.</w:t>
      </w:r>
    </w:p>
    <w:p w14:paraId="17228B00"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lang w:val="en-US"/>
        </w:rPr>
        <w:t>Hjörland e Albrechtsen (1995, p. 400) afirmam que “</w:t>
      </w:r>
      <w:r w:rsidRPr="008E122E">
        <w:rPr>
          <w:rFonts w:ascii="Times New Roman" w:hAnsi="Times New Roman" w:cs="Times New Roman"/>
          <w:i/>
          <w:iCs/>
          <w:sz w:val="24"/>
          <w:szCs w:val="24"/>
          <w:lang w:val="en-US"/>
        </w:rPr>
        <w:t>The domain-analytic paradigma in information Science (IS) states that the best way to understand information in IS is to study the knowledge domains as thought or discourse communities, which are part of the society’s division of labour</w:t>
      </w:r>
      <w:r w:rsidRPr="00C24241">
        <w:rPr>
          <w:rFonts w:ascii="Times New Roman" w:hAnsi="Times New Roman" w:cs="Times New Roman"/>
          <w:sz w:val="24"/>
          <w:szCs w:val="24"/>
          <w:lang w:val="en-US"/>
        </w:rPr>
        <w:t xml:space="preserve">.” </w:t>
      </w:r>
      <w:r w:rsidRPr="00C24241">
        <w:rPr>
          <w:rFonts w:ascii="Times New Roman" w:hAnsi="Times New Roman" w:cs="Times New Roman"/>
          <w:sz w:val="24"/>
          <w:szCs w:val="24"/>
        </w:rPr>
        <w:t>Neste domínio ou contexto social, não existe uma comunicação ou transferência simbólica que não seja proveniente de alguma forma convencional, dentro de uma determinada cultura. Assim, a “semiologia estuda as significações tomadas da cultura” (TODOROV, 1972, p. 32).</w:t>
      </w:r>
    </w:p>
    <w:p w14:paraId="233B4D4D"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A CI trabalha essencialmente com representações, que são reduções do mundo (paradigma físico), que buscam, neste contexto, comunicar significado sobre determinado objeto (paradigma cognitivo) e substituí-lo em um sistema de representação para recuperação da informação. Todavia, é necessário que se utilize símbolos convencionalizados e organizados para se estabelecer uma função sígnica (paradigma social). É neste momento que a Semiótica saí do individual e assume um caráter coletivo, podendo assim contribuir para explicar os processos informacionais estudados pela CI.</w:t>
      </w:r>
    </w:p>
    <w:p w14:paraId="351155B2" w14:textId="77777777" w:rsidR="00B125DC" w:rsidRPr="00C24241" w:rsidRDefault="00B125DC" w:rsidP="00556853">
      <w:pPr>
        <w:spacing w:after="0" w:line="240" w:lineRule="auto"/>
        <w:rPr>
          <w:rFonts w:ascii="Times New Roman" w:hAnsi="Times New Roman" w:cs="Times New Roman"/>
          <w:sz w:val="24"/>
          <w:szCs w:val="24"/>
        </w:rPr>
      </w:pPr>
    </w:p>
    <w:p w14:paraId="75115584" w14:textId="66C38F5B" w:rsidR="00B125DC" w:rsidRPr="00556853" w:rsidRDefault="00B125DC" w:rsidP="00556853">
      <w:pPr>
        <w:spacing w:after="0" w:line="240" w:lineRule="auto"/>
        <w:ind w:left="2268"/>
        <w:jc w:val="both"/>
        <w:rPr>
          <w:rFonts w:ascii="Times New Roman" w:hAnsi="Times New Roman" w:cs="Times New Roman"/>
          <w:sz w:val="24"/>
          <w:szCs w:val="24"/>
        </w:rPr>
      </w:pPr>
      <w:r w:rsidRPr="00C24241">
        <w:rPr>
          <w:rFonts w:ascii="Times New Roman" w:hAnsi="Times New Roman" w:cs="Times New Roman"/>
        </w:rPr>
        <w:t xml:space="preserve">[...] há sistema de significação (e portanto código) quando existe uma possibilidade socialmente convencionada de gerar funções sígnicas, independentemente do fato de serem os funtivos tais funções unidades discretas, chamadas “signos”, ou vastas porções discursivas, contando que a correlação tenha sido estabelecida, precedente e preliminarmente, por uma convenção social </w:t>
      </w:r>
      <w:r w:rsidRPr="00556853">
        <w:rPr>
          <w:rFonts w:ascii="Times New Roman" w:hAnsi="Times New Roman" w:cs="Times New Roman"/>
        </w:rPr>
        <w:t>(E</w:t>
      </w:r>
      <w:r w:rsidR="00556853" w:rsidRPr="00556853">
        <w:rPr>
          <w:rFonts w:ascii="Times New Roman" w:hAnsi="Times New Roman" w:cs="Times New Roman"/>
        </w:rPr>
        <w:t>co</w:t>
      </w:r>
      <w:r w:rsidRPr="00556853">
        <w:rPr>
          <w:rFonts w:ascii="Times New Roman" w:hAnsi="Times New Roman" w:cs="Times New Roman"/>
        </w:rPr>
        <w:t>, 2007, p. 2).</w:t>
      </w:r>
    </w:p>
    <w:p w14:paraId="350AB093" w14:textId="77777777" w:rsidR="00B125DC" w:rsidRPr="00556853" w:rsidRDefault="00B125DC" w:rsidP="00556853">
      <w:pPr>
        <w:spacing w:after="0" w:line="240" w:lineRule="auto"/>
        <w:rPr>
          <w:rFonts w:ascii="Times New Roman" w:hAnsi="Times New Roman" w:cs="Times New Roman"/>
          <w:sz w:val="24"/>
          <w:szCs w:val="24"/>
        </w:rPr>
      </w:pPr>
    </w:p>
    <w:p w14:paraId="7624C88C" w14:textId="77777777" w:rsidR="00B125DC" w:rsidRPr="00C24241" w:rsidRDefault="00B125DC" w:rsidP="00556853">
      <w:pPr>
        <w:spacing w:after="0" w:line="360" w:lineRule="auto"/>
        <w:ind w:firstLine="697"/>
        <w:jc w:val="both"/>
        <w:rPr>
          <w:rFonts w:ascii="Times New Roman" w:hAnsi="Times New Roman" w:cs="Times New Roman"/>
          <w:sz w:val="24"/>
          <w:szCs w:val="24"/>
        </w:rPr>
      </w:pPr>
      <w:r w:rsidRPr="00C24241">
        <w:rPr>
          <w:rFonts w:ascii="Times New Roman" w:hAnsi="Times New Roman" w:cs="Times New Roman"/>
          <w:sz w:val="24"/>
          <w:szCs w:val="24"/>
          <w:lang w:val="en-US"/>
        </w:rPr>
        <w:t>Logo, “</w:t>
      </w:r>
      <w:r w:rsidRPr="008E122E">
        <w:rPr>
          <w:rFonts w:ascii="Times New Roman" w:hAnsi="Times New Roman" w:cs="Times New Roman"/>
          <w:i/>
          <w:iCs/>
          <w:sz w:val="24"/>
          <w:szCs w:val="24"/>
          <w:lang w:val="en-US"/>
        </w:rPr>
        <w:t>the sign can only represent the object and tell about it. It cannot furnish acquaintance with a recognition of that object. (…) It presupposes an acquaintance in order to convey some further information concerning it</w:t>
      </w:r>
      <w:r w:rsidRPr="00C24241">
        <w:rPr>
          <w:rFonts w:ascii="Times New Roman" w:hAnsi="Times New Roman" w:cs="Times New Roman"/>
          <w:sz w:val="24"/>
          <w:szCs w:val="24"/>
          <w:lang w:val="en-US"/>
        </w:rPr>
        <w:t xml:space="preserve">.” </w:t>
      </w:r>
      <w:r w:rsidRPr="00C24241">
        <w:rPr>
          <w:rFonts w:ascii="Times New Roman" w:hAnsi="Times New Roman" w:cs="Times New Roman"/>
          <w:sz w:val="24"/>
          <w:szCs w:val="24"/>
        </w:rPr>
        <w:t>(Peirce, 1994, CP 2.231). Este conhecimento – prévio e socialmente determinado – é proporcionado pelas experiências anteriores e pela cultura. A Semiótica consegue explicar o ciclo infinito que forma o conhecimento, que gera novos conhecimentos e assim por diante.</w:t>
      </w:r>
    </w:p>
    <w:p w14:paraId="7C2E9832" w14:textId="77777777" w:rsidR="00B125DC" w:rsidRPr="00C24241" w:rsidRDefault="00B125DC" w:rsidP="00556853">
      <w:pPr>
        <w:spacing w:after="0" w:line="360" w:lineRule="auto"/>
        <w:ind w:firstLine="697"/>
        <w:jc w:val="both"/>
        <w:rPr>
          <w:rFonts w:ascii="Times New Roman" w:hAnsi="Times New Roman" w:cs="Times New Roman"/>
          <w:sz w:val="24"/>
          <w:szCs w:val="24"/>
        </w:rPr>
      </w:pPr>
    </w:p>
    <w:p w14:paraId="2291A163" w14:textId="575A8660" w:rsidR="00B125DC" w:rsidRPr="00C24241" w:rsidRDefault="00B125DC" w:rsidP="00B125DC">
      <w:pPr>
        <w:ind w:left="2268"/>
        <w:jc w:val="both"/>
        <w:rPr>
          <w:rFonts w:ascii="Times New Roman" w:hAnsi="Times New Roman" w:cs="Times New Roman"/>
          <w:sz w:val="24"/>
          <w:szCs w:val="24"/>
        </w:rPr>
      </w:pPr>
      <w:r w:rsidRPr="00C24241">
        <w:rPr>
          <w:rFonts w:ascii="Times New Roman" w:hAnsi="Times New Roman" w:cs="Times New Roman"/>
        </w:rPr>
        <w:lastRenderedPageBreak/>
        <w:t>O círculo da semiose se fecha a todo instante e jamais se fecha. O sistema de sistemas semióticos, que poderia parecer um universo cultural idealisticamente separado da realidade, de fato leva a agir sobre o mundo e a modificá-lo; mas cada ação modificadora se converte, por sua vez, num signo e dá origem a um novo processo semiósico (E</w:t>
      </w:r>
      <w:r w:rsidR="00556853" w:rsidRPr="00C24241">
        <w:rPr>
          <w:rFonts w:ascii="Times New Roman" w:hAnsi="Times New Roman" w:cs="Times New Roman"/>
        </w:rPr>
        <w:t>co</w:t>
      </w:r>
      <w:r w:rsidRPr="00C24241">
        <w:rPr>
          <w:rFonts w:ascii="Times New Roman" w:hAnsi="Times New Roman" w:cs="Times New Roman"/>
        </w:rPr>
        <w:t>, 1979, p. 30).</w:t>
      </w:r>
    </w:p>
    <w:p w14:paraId="47E92A1B" w14:textId="77777777" w:rsidR="00B125DC" w:rsidRPr="00C24241" w:rsidRDefault="00B125DC" w:rsidP="00B125DC">
      <w:pPr>
        <w:spacing w:line="360" w:lineRule="auto"/>
        <w:rPr>
          <w:rFonts w:ascii="Times New Roman" w:hAnsi="Times New Roman" w:cs="Times New Roman"/>
          <w:sz w:val="24"/>
          <w:szCs w:val="24"/>
        </w:rPr>
      </w:pPr>
    </w:p>
    <w:p w14:paraId="5701312A"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Percebe-se além disso que, na CI, as visões teóricas que fundamentam a área não apresentam uma ideia de ruptura epistemológica, como na noção de paradigmas em Kuhn, mas, pelo contrário, fornecem uma ideia de continuidade e/ou complementação.  Voltar-se para questões de integração dessas abordagens poderia possibilitar uma maior consistência reflexiva e fortalecer a identidade da CI como campo científico.</w:t>
      </w:r>
    </w:p>
    <w:p w14:paraId="63C7EC8D" w14:textId="77777777" w:rsidR="00B125DC" w:rsidRPr="00C24241" w:rsidRDefault="00B125DC" w:rsidP="00556853">
      <w:pPr>
        <w:spacing w:after="0" w:line="360" w:lineRule="auto"/>
        <w:ind w:firstLine="700"/>
        <w:jc w:val="both"/>
        <w:rPr>
          <w:rFonts w:ascii="Times New Roman" w:hAnsi="Times New Roman" w:cs="Times New Roman"/>
          <w:sz w:val="24"/>
          <w:szCs w:val="24"/>
        </w:rPr>
      </w:pPr>
    </w:p>
    <w:p w14:paraId="07CAC454" w14:textId="2963AF0C" w:rsidR="00B125DC" w:rsidRPr="00C24241" w:rsidRDefault="00B125DC" w:rsidP="00556853">
      <w:pPr>
        <w:spacing w:after="0"/>
        <w:ind w:left="2268"/>
        <w:jc w:val="both"/>
        <w:rPr>
          <w:rFonts w:ascii="Times New Roman" w:hAnsi="Times New Roman" w:cs="Times New Roman"/>
          <w:sz w:val="24"/>
          <w:szCs w:val="24"/>
        </w:rPr>
      </w:pPr>
      <w:r w:rsidRPr="00C24241">
        <w:rPr>
          <w:rFonts w:ascii="Times New Roman" w:hAnsi="Times New Roman" w:cs="Times New Roman"/>
        </w:rPr>
        <w:t>[…] os teóricos contemporâneos da informação de diferentes tipos estão enfrentando problemas decorrentes da adoção de definições incompletas ou simplificadas décadas atrás. Pode bem ser que a lógica semiótica de Peirce forneça uma teoria geral capaz de unificar todas as teorias de informação existentes, notavelmente mostrando exatamente qual função cada uma delas cumpre dentro de um espectro comum de preocupações (</w:t>
      </w:r>
      <w:r w:rsidR="00556853" w:rsidRPr="00C24241">
        <w:rPr>
          <w:rFonts w:ascii="Times New Roman" w:hAnsi="Times New Roman" w:cs="Times New Roman"/>
        </w:rPr>
        <w:t>De Tienne</w:t>
      </w:r>
      <w:r w:rsidRPr="00C24241">
        <w:rPr>
          <w:rFonts w:ascii="Times New Roman" w:hAnsi="Times New Roman" w:cs="Times New Roman"/>
        </w:rPr>
        <w:t>, 2005, p. 1, tradução nossa).</w:t>
      </w:r>
    </w:p>
    <w:p w14:paraId="08DA7B99" w14:textId="77777777" w:rsidR="00B125DC" w:rsidRPr="00C24241" w:rsidRDefault="00B125DC" w:rsidP="00556853">
      <w:pPr>
        <w:spacing w:after="0" w:line="360" w:lineRule="auto"/>
        <w:jc w:val="both"/>
        <w:rPr>
          <w:rFonts w:ascii="Times New Roman" w:hAnsi="Times New Roman" w:cs="Times New Roman"/>
          <w:sz w:val="24"/>
          <w:szCs w:val="24"/>
        </w:rPr>
      </w:pPr>
      <w:r w:rsidRPr="00C24241">
        <w:rPr>
          <w:rFonts w:ascii="Times New Roman" w:hAnsi="Times New Roman" w:cs="Times New Roman"/>
          <w:sz w:val="24"/>
          <w:szCs w:val="24"/>
        </w:rPr>
        <w:t>        </w:t>
      </w:r>
      <w:r w:rsidRPr="00C24241">
        <w:rPr>
          <w:rFonts w:ascii="Times New Roman" w:hAnsi="Times New Roman" w:cs="Times New Roman"/>
          <w:sz w:val="24"/>
          <w:szCs w:val="24"/>
        </w:rPr>
        <w:tab/>
      </w:r>
    </w:p>
    <w:p w14:paraId="40C44F15" w14:textId="77777777" w:rsidR="00B125DC" w:rsidRPr="00C24241" w:rsidRDefault="00B125DC" w:rsidP="00556853">
      <w:pPr>
        <w:spacing w:after="0" w:line="360" w:lineRule="auto"/>
        <w:ind w:firstLine="720"/>
        <w:jc w:val="both"/>
        <w:rPr>
          <w:rFonts w:ascii="Times New Roman" w:hAnsi="Times New Roman" w:cs="Times New Roman"/>
          <w:sz w:val="24"/>
          <w:szCs w:val="24"/>
        </w:rPr>
      </w:pPr>
      <w:r w:rsidRPr="00C24241">
        <w:rPr>
          <w:rFonts w:ascii="Times New Roman" w:hAnsi="Times New Roman" w:cs="Times New Roman"/>
          <w:sz w:val="24"/>
          <w:szCs w:val="24"/>
        </w:rPr>
        <w:t>Segundo Tienne (2005), Peirce fez várias formulações da noção de informação ao longo de seus escritos ao tratar da lógica das proposições, sentenças afirmativas sobre a realidade. As proposições para serem úteis têm que ser verdadeiras. Para obter indícios de que uma proposição deve ser verdadeira e, portanto, passível de ser utilizada como orientação a uma futura ação (dentro da visão pragmatista de Peirce) ela deve ser comparada com outras proposições já experienciadas ou conhecidas sobre o mesmo sujeito. Uma proposição é informativa, acrescenta “algo a mais” em relação ao seu sujeito, supostamente já conhecido, ampliando sua compreensão e sugerindo ou “antecipando” um possível futuro curso de ação. </w:t>
      </w:r>
    </w:p>
    <w:p w14:paraId="461AC2CD" w14:textId="77777777" w:rsidR="00B125DC" w:rsidRPr="00C24241" w:rsidRDefault="00B125DC" w:rsidP="00556853">
      <w:pPr>
        <w:spacing w:after="0" w:line="360" w:lineRule="auto"/>
        <w:rPr>
          <w:rFonts w:ascii="Times New Roman" w:hAnsi="Times New Roman" w:cs="Times New Roman"/>
          <w:sz w:val="24"/>
          <w:szCs w:val="24"/>
        </w:rPr>
      </w:pPr>
    </w:p>
    <w:p w14:paraId="0BB01B13" w14:textId="6F2DC45A" w:rsidR="00B125DC" w:rsidRPr="00556853" w:rsidRDefault="00B125DC" w:rsidP="00556853">
      <w:pPr>
        <w:spacing w:after="0"/>
        <w:ind w:left="2251"/>
        <w:jc w:val="both"/>
        <w:rPr>
          <w:rFonts w:ascii="Times New Roman" w:hAnsi="Times New Roman" w:cs="Times New Roman"/>
          <w:lang w:val="en-US"/>
        </w:rPr>
      </w:pPr>
      <w:r w:rsidRPr="00556853">
        <w:rPr>
          <w:rFonts w:ascii="Times New Roman" w:hAnsi="Times New Roman" w:cs="Times New Roman"/>
          <w:sz w:val="20"/>
          <w:szCs w:val="20"/>
          <w:lang w:val="en-US"/>
        </w:rPr>
        <w:t>To the extent that information, as energy transfer, is ubiquitous in nature, Information Science seemed to offer one kind of framework for its understanding. Another related perspective is that of Semiotics, defined as the further parsing of information into, or establishing its equivalence to, an interpreterdependent theory of signs as carriers of meaning (B</w:t>
      </w:r>
      <w:r w:rsidR="00556853" w:rsidRPr="00556853">
        <w:rPr>
          <w:rFonts w:ascii="Times New Roman" w:hAnsi="Times New Roman" w:cs="Times New Roman"/>
          <w:sz w:val="20"/>
          <w:szCs w:val="20"/>
          <w:lang w:val="en-US"/>
        </w:rPr>
        <w:t>renner</w:t>
      </w:r>
      <w:r w:rsidRPr="00556853">
        <w:rPr>
          <w:rFonts w:ascii="Times New Roman" w:hAnsi="Times New Roman" w:cs="Times New Roman"/>
          <w:sz w:val="20"/>
          <w:szCs w:val="20"/>
          <w:lang w:val="en-US"/>
        </w:rPr>
        <w:t>, 2015, p. 761).</w:t>
      </w:r>
    </w:p>
    <w:p w14:paraId="7E0B7141" w14:textId="77777777" w:rsidR="00B125DC" w:rsidRPr="00556853" w:rsidRDefault="00B125DC" w:rsidP="00556853">
      <w:pPr>
        <w:spacing w:after="0" w:line="360" w:lineRule="auto"/>
        <w:rPr>
          <w:rFonts w:ascii="Times New Roman" w:hAnsi="Times New Roman" w:cs="Times New Roman"/>
          <w:sz w:val="24"/>
          <w:szCs w:val="24"/>
          <w:lang w:val="en-US"/>
        </w:rPr>
      </w:pPr>
    </w:p>
    <w:p w14:paraId="1804C426" w14:textId="77777777" w:rsidR="00B125DC" w:rsidRPr="00C24241" w:rsidRDefault="00B125DC" w:rsidP="00556853">
      <w:pPr>
        <w:spacing w:after="0" w:line="360" w:lineRule="auto"/>
        <w:ind w:firstLine="700"/>
        <w:jc w:val="both"/>
        <w:rPr>
          <w:rFonts w:ascii="Times New Roman" w:hAnsi="Times New Roman" w:cs="Times New Roman"/>
          <w:sz w:val="24"/>
          <w:szCs w:val="24"/>
        </w:rPr>
      </w:pPr>
      <w:r w:rsidRPr="00C24241">
        <w:rPr>
          <w:rFonts w:ascii="Times New Roman" w:hAnsi="Times New Roman" w:cs="Times New Roman"/>
          <w:sz w:val="24"/>
          <w:szCs w:val="24"/>
        </w:rPr>
        <w:t xml:space="preserve">Os paradigmas são incompletos, no entanto são complementares. Não há um rompimento epistêmico entre eles, mas sim, como procurou-se mostrar, uma complementariedade; cada um isoladamente, arrola um conjunto incompleto de entidades fundamentais e processos intervenientes na descrição completa do universo de fenômenos de </w:t>
      </w:r>
      <w:r w:rsidRPr="00C24241">
        <w:rPr>
          <w:rFonts w:ascii="Times New Roman" w:hAnsi="Times New Roman" w:cs="Times New Roman"/>
          <w:sz w:val="24"/>
          <w:szCs w:val="24"/>
        </w:rPr>
        <w:lastRenderedPageBreak/>
        <w:t>informação de interesse da CI. São enfoques com foco e escopo em determinados aspectos dos fenômenos de informação, em detrimento de outros; visões parciais, incompletas.</w:t>
      </w:r>
    </w:p>
    <w:p w14:paraId="4196CCD3" w14:textId="77777777" w:rsidR="00556853" w:rsidRPr="00863B19" w:rsidRDefault="00556853" w:rsidP="00B125DC">
      <w:pPr>
        <w:ind w:left="2268"/>
        <w:jc w:val="both"/>
        <w:rPr>
          <w:rFonts w:ascii="Times New Roman" w:hAnsi="Times New Roman" w:cs="Times New Roman"/>
        </w:rPr>
      </w:pPr>
    </w:p>
    <w:p w14:paraId="4BCE0772" w14:textId="2B76A258" w:rsidR="00B125DC" w:rsidRPr="00556853" w:rsidRDefault="00B125DC" w:rsidP="00556853">
      <w:pPr>
        <w:spacing w:after="0" w:line="240" w:lineRule="auto"/>
        <w:ind w:left="2268"/>
        <w:jc w:val="both"/>
        <w:rPr>
          <w:rFonts w:ascii="Times New Roman" w:hAnsi="Times New Roman" w:cs="Times New Roman"/>
          <w:sz w:val="20"/>
          <w:szCs w:val="20"/>
          <w:lang w:val="en-US"/>
        </w:rPr>
      </w:pPr>
      <w:r w:rsidRPr="00556853">
        <w:rPr>
          <w:rFonts w:ascii="Times New Roman" w:hAnsi="Times New Roman" w:cs="Times New Roman"/>
          <w:sz w:val="20"/>
          <w:szCs w:val="20"/>
          <w:lang w:val="en-US"/>
        </w:rPr>
        <w:t>I do not believe that all these paradigms are compatible into an unified Information Science presently and I think they do not have a decent scientific definition of the first person experiential aspect of reality and therefore cultural intersubjective meaning. Such a basis can be found in Charles Sanders Peirce’s pragmatic and triadic theory of semiotics based on a transdisciplinary and evolutionary ontology in a unique way. But it is a bit old on biological science, cybernetics and self-organization (B</w:t>
      </w:r>
      <w:r w:rsidR="00556853" w:rsidRPr="00556853">
        <w:rPr>
          <w:rFonts w:ascii="Times New Roman" w:hAnsi="Times New Roman" w:cs="Times New Roman"/>
          <w:sz w:val="20"/>
          <w:szCs w:val="20"/>
          <w:lang w:val="en-US"/>
        </w:rPr>
        <w:t>rier</w:t>
      </w:r>
      <w:r w:rsidRPr="00556853">
        <w:rPr>
          <w:rFonts w:ascii="Times New Roman" w:hAnsi="Times New Roman" w:cs="Times New Roman"/>
          <w:sz w:val="20"/>
          <w:szCs w:val="20"/>
          <w:lang w:val="en-US"/>
        </w:rPr>
        <w:t>, 2011, p. 4).</w:t>
      </w:r>
    </w:p>
    <w:p w14:paraId="3A006B6B" w14:textId="77777777" w:rsidR="00B125DC" w:rsidRPr="00556853" w:rsidRDefault="00B125DC" w:rsidP="00B125DC">
      <w:pPr>
        <w:pStyle w:val="TextoXVIIIENANCIB"/>
        <w:spacing w:line="360" w:lineRule="auto"/>
        <w:ind w:firstLine="709"/>
        <w:rPr>
          <w:rFonts w:ascii="Times New Roman" w:hAnsi="Times New Roman" w:cs="Times New Roman"/>
          <w:szCs w:val="24"/>
          <w:lang w:val="en-US"/>
        </w:rPr>
      </w:pPr>
    </w:p>
    <w:p w14:paraId="3D25BAE4" w14:textId="77777777" w:rsidR="00B125DC" w:rsidRPr="00556853" w:rsidRDefault="00B125DC" w:rsidP="00B125DC">
      <w:pPr>
        <w:pStyle w:val="SeoXVIIIENANCIB"/>
        <w:spacing w:before="0" w:after="0"/>
        <w:rPr>
          <w:rFonts w:ascii="Times New Roman" w:hAnsi="Times New Roman" w:cs="Times New Roman"/>
          <w:lang w:val="en-US"/>
        </w:rPr>
      </w:pPr>
    </w:p>
    <w:p w14:paraId="6B7FA08E" w14:textId="77777777" w:rsidR="00B125DC" w:rsidRPr="00C24241" w:rsidRDefault="00B125DC" w:rsidP="00B125DC">
      <w:pPr>
        <w:pStyle w:val="SeoXVIIIENANCIB"/>
        <w:spacing w:before="0" w:after="0" w:line="360" w:lineRule="auto"/>
        <w:rPr>
          <w:rFonts w:ascii="Times New Roman" w:hAnsi="Times New Roman" w:cs="Times New Roman"/>
        </w:rPr>
      </w:pPr>
      <w:r w:rsidRPr="008E122E">
        <w:rPr>
          <w:rFonts w:ascii="Times New Roman" w:hAnsi="Times New Roman" w:cs="Times New Roman"/>
          <w:b w:val="0"/>
          <w:bCs w:val="0"/>
        </w:rPr>
        <w:t>5</w:t>
      </w:r>
      <w:r w:rsidRPr="00C24241">
        <w:rPr>
          <w:rFonts w:ascii="Times New Roman" w:hAnsi="Times New Roman" w:cs="Times New Roman"/>
        </w:rPr>
        <w:t xml:space="preserve"> CONSIDERAÇÕES FINAIS</w:t>
      </w:r>
    </w:p>
    <w:p w14:paraId="1A3F5EB9" w14:textId="77777777" w:rsidR="00B125DC" w:rsidRDefault="00B125DC" w:rsidP="00B125DC">
      <w:pPr>
        <w:pStyle w:val="NormalWeb"/>
        <w:spacing w:before="0" w:beforeAutospacing="0" w:after="0" w:afterAutospacing="0" w:line="360" w:lineRule="auto"/>
        <w:ind w:firstLine="697"/>
        <w:jc w:val="both"/>
      </w:pPr>
    </w:p>
    <w:p w14:paraId="0C21B1DB" w14:textId="77777777" w:rsidR="00B125DC" w:rsidRPr="00C24241" w:rsidRDefault="00B125DC" w:rsidP="00556853">
      <w:pPr>
        <w:pStyle w:val="NormalWeb"/>
        <w:spacing w:before="0" w:beforeAutospacing="0" w:after="0" w:afterAutospacing="0" w:line="360" w:lineRule="auto"/>
        <w:ind w:firstLine="709"/>
        <w:jc w:val="both"/>
      </w:pPr>
      <w:r w:rsidRPr="00C24241">
        <w:t xml:space="preserve">A </w:t>
      </w:r>
      <w:r>
        <w:t>S</w:t>
      </w:r>
      <w:r w:rsidRPr="00C24241">
        <w:t xml:space="preserve">emiótica </w:t>
      </w:r>
      <w:r>
        <w:t>p</w:t>
      </w:r>
      <w:r w:rsidRPr="00C24241">
        <w:t>eirceana endereça, explica e integra fenômenos humanos de um escopo bastante amplo, como o processo de percepção humana das coisas do mundo, a emergência da cognição e da representação simbólica destas coisas e a transferência intersubjetiva de significados relativos a estas coisas, entre outros. Estes fenômenos estão na raiz do que é talvez a característica mais essencial da humanidade, a Cultura. São eles que permitem às coletividades humanas trocarem significados intersubjetivamente, articularem suas ações, aprenderem, acumularem conhecimento e o reutilizarem em larga escala, como vem sendo uma constante na história da cultura humana.</w:t>
      </w:r>
    </w:p>
    <w:p w14:paraId="03B0DF73" w14:textId="77777777" w:rsidR="00B125DC" w:rsidRPr="00C24241" w:rsidRDefault="00B125DC" w:rsidP="00556853">
      <w:pPr>
        <w:pStyle w:val="NormalWeb"/>
        <w:spacing w:before="0" w:beforeAutospacing="0" w:after="0" w:afterAutospacing="0" w:line="360" w:lineRule="auto"/>
        <w:ind w:firstLine="709"/>
        <w:jc w:val="both"/>
      </w:pPr>
      <w:r w:rsidRPr="00C24241">
        <w:t xml:space="preserve">Os paradigmas abordam de forma excludente ou no mínimo incompleta esses aspectos: o paradigma físico tange a tecnologia, o cognitivo foca no usuário individualizado e o social averigua o contexto social da informação. A </w:t>
      </w:r>
      <w:r>
        <w:t>S</w:t>
      </w:r>
      <w:r w:rsidRPr="00C24241">
        <w:t>emiótica peirciana integra estas visões teóricas uma vez que aborda a representação de signos, a interpretação dos signos e a comunicação dos signos, que pressupõem um acordo simbólico que propicie o reconhecimento e entendimento de cada representação no mundo.</w:t>
      </w:r>
    </w:p>
    <w:p w14:paraId="3378FDCB" w14:textId="77777777" w:rsidR="00B125DC" w:rsidRPr="00C24241" w:rsidRDefault="00B125DC" w:rsidP="00B125DC">
      <w:pPr>
        <w:pStyle w:val="TextoXVIIIENANCIB"/>
        <w:ind w:firstLine="709"/>
        <w:rPr>
          <w:rFonts w:ascii="Times New Roman" w:hAnsi="Times New Roman" w:cs="Times New Roman"/>
          <w:szCs w:val="24"/>
        </w:rPr>
      </w:pPr>
    </w:p>
    <w:p w14:paraId="43AD255E" w14:textId="77777777" w:rsidR="00B125DC" w:rsidRPr="00C24241" w:rsidRDefault="00B125DC" w:rsidP="00B125DC">
      <w:pPr>
        <w:pStyle w:val="RefernciasXVIIIENANCIB"/>
        <w:rPr>
          <w:rFonts w:cs="Times New Roman"/>
        </w:rPr>
      </w:pPr>
    </w:p>
    <w:p w14:paraId="647F7212" w14:textId="77777777" w:rsidR="00B125DC" w:rsidRPr="00C24241" w:rsidRDefault="00B125DC" w:rsidP="00B125DC">
      <w:pPr>
        <w:pStyle w:val="RefernciasXVIIIENANCIB"/>
        <w:rPr>
          <w:rFonts w:cs="Times New Roman"/>
        </w:rPr>
      </w:pPr>
      <w:r w:rsidRPr="00C24241">
        <w:rPr>
          <w:rFonts w:cs="Times New Roman"/>
        </w:rPr>
        <w:t>REFERÊNCIAS</w:t>
      </w:r>
    </w:p>
    <w:p w14:paraId="0847FE19" w14:textId="77777777" w:rsidR="00B125DC" w:rsidRPr="00C24241" w:rsidRDefault="00B125DC" w:rsidP="00B125DC">
      <w:pPr>
        <w:jc w:val="both"/>
        <w:rPr>
          <w:rFonts w:ascii="Times New Roman" w:hAnsi="Times New Roman" w:cs="Times New Roman"/>
          <w:sz w:val="24"/>
          <w:szCs w:val="24"/>
        </w:rPr>
      </w:pPr>
    </w:p>
    <w:p w14:paraId="4CEBCB97" w14:textId="77777777" w:rsidR="00B125DC" w:rsidRPr="00B125DC"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ASSIS, Jesus de Paula. Kuhn e as ciências sociais. </w:t>
      </w:r>
      <w:r w:rsidRPr="00C24241">
        <w:rPr>
          <w:rFonts w:ascii="Times New Roman" w:hAnsi="Times New Roman" w:cs="Times New Roman"/>
          <w:b/>
          <w:sz w:val="24"/>
          <w:szCs w:val="24"/>
        </w:rPr>
        <w:t>Estudos Avançados</w:t>
      </w:r>
      <w:r w:rsidRPr="00C24241">
        <w:rPr>
          <w:rFonts w:ascii="Times New Roman" w:hAnsi="Times New Roman" w:cs="Times New Roman"/>
          <w:sz w:val="24"/>
          <w:szCs w:val="24"/>
        </w:rPr>
        <w:t xml:space="preserve">, São Paulo, v. 7, n. 19, p. 133- 164, dez. 1993. Acesso em: http://dx.doi.org/10.1590/S0103-40141993000300004. Acesso em:  </w:t>
      </w:r>
      <w:r>
        <w:rPr>
          <w:rFonts w:ascii="Times New Roman" w:hAnsi="Times New Roman" w:cs="Times New Roman"/>
          <w:sz w:val="24"/>
          <w:szCs w:val="24"/>
        </w:rPr>
        <w:t>19 set. 2023</w:t>
      </w:r>
      <w:r w:rsidRPr="00B125DC">
        <w:rPr>
          <w:rFonts w:ascii="Times New Roman" w:hAnsi="Times New Roman" w:cs="Times New Roman"/>
          <w:sz w:val="24"/>
          <w:szCs w:val="24"/>
        </w:rPr>
        <w:t>.</w:t>
      </w:r>
    </w:p>
    <w:p w14:paraId="0CEE36C7" w14:textId="77777777" w:rsidR="00B125DC" w:rsidRPr="00B125DC" w:rsidRDefault="00B125DC" w:rsidP="00556853">
      <w:pPr>
        <w:spacing w:after="0" w:line="360" w:lineRule="auto"/>
        <w:rPr>
          <w:rFonts w:ascii="Times New Roman" w:hAnsi="Times New Roman" w:cs="Times New Roman"/>
          <w:sz w:val="24"/>
          <w:szCs w:val="24"/>
        </w:rPr>
      </w:pPr>
    </w:p>
    <w:p w14:paraId="29B81862" w14:textId="77777777" w:rsidR="00B125DC" w:rsidRPr="00B125DC" w:rsidRDefault="00B125DC" w:rsidP="00556853">
      <w:pPr>
        <w:autoSpaceDE w:val="0"/>
        <w:autoSpaceDN w:val="0"/>
        <w:adjustRightInd w:val="0"/>
        <w:spacing w:after="0" w:line="240" w:lineRule="auto"/>
        <w:rPr>
          <w:rFonts w:ascii="Times New Roman" w:hAnsi="Times New Roman" w:cs="Times New Roman"/>
          <w:sz w:val="24"/>
          <w:szCs w:val="24"/>
        </w:rPr>
      </w:pPr>
      <w:r w:rsidRPr="00C24241">
        <w:rPr>
          <w:rFonts w:ascii="Times New Roman" w:hAnsi="Times New Roman" w:cs="Times New Roman"/>
          <w:sz w:val="24"/>
          <w:szCs w:val="24"/>
          <w:lang w:val="en-US"/>
        </w:rPr>
        <w:t xml:space="preserve">BELKIN, </w:t>
      </w:r>
      <w:r w:rsidRPr="00B125DC">
        <w:rPr>
          <w:rFonts w:ascii="Times New Roman" w:hAnsi="Times New Roman" w:cs="Times New Roman"/>
          <w:sz w:val="24"/>
          <w:szCs w:val="24"/>
          <w:shd w:val="clear" w:color="auto" w:fill="FFFFFF"/>
          <w:lang w:val="en-US"/>
        </w:rPr>
        <w:t>Nicholas J.</w:t>
      </w:r>
      <w:r w:rsidRPr="00C24241">
        <w:rPr>
          <w:rFonts w:ascii="Times New Roman" w:hAnsi="Times New Roman" w:cs="Times New Roman"/>
          <w:sz w:val="24"/>
          <w:szCs w:val="24"/>
          <w:lang w:val="en-US"/>
        </w:rPr>
        <w:t xml:space="preserve"> Information Concepts for Information Science. </w:t>
      </w:r>
      <w:r w:rsidRPr="00B125DC">
        <w:rPr>
          <w:rFonts w:ascii="Times New Roman" w:hAnsi="Times New Roman" w:cs="Times New Roman"/>
          <w:b/>
          <w:sz w:val="24"/>
          <w:szCs w:val="24"/>
        </w:rPr>
        <w:t>Journal of Documentation</w:t>
      </w:r>
      <w:r w:rsidRPr="00B125DC">
        <w:rPr>
          <w:rFonts w:ascii="Times New Roman" w:hAnsi="Times New Roman" w:cs="Times New Roman"/>
          <w:sz w:val="24"/>
          <w:szCs w:val="24"/>
        </w:rPr>
        <w:t xml:space="preserve">. v. 34, n. 1 p. 55-85, 1978.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lastRenderedPageBreak/>
        <w:t>https://www.emerald.com/insight/content/doi/10.1108/eb026653/full/html</w:t>
      </w:r>
      <w:r w:rsidRPr="00C24241">
        <w:rPr>
          <w:rFonts w:ascii="Times New Roman" w:hAnsi="Times New Roman" w:cs="Times New Roman"/>
          <w:sz w:val="24"/>
          <w:szCs w:val="24"/>
        </w:rPr>
        <w:t xml:space="preserve">. </w:t>
      </w:r>
      <w:r w:rsidRPr="00B125DC">
        <w:rPr>
          <w:rFonts w:ascii="Times New Roman" w:hAnsi="Times New Roman" w:cs="Times New Roman"/>
          <w:sz w:val="24"/>
          <w:szCs w:val="24"/>
        </w:rPr>
        <w:t xml:space="preserve">Acesso em: </w:t>
      </w:r>
      <w:r>
        <w:rPr>
          <w:rFonts w:ascii="Times New Roman" w:hAnsi="Times New Roman" w:cs="Times New Roman"/>
          <w:sz w:val="24"/>
          <w:szCs w:val="24"/>
        </w:rPr>
        <w:t>19 set. 2023</w:t>
      </w:r>
      <w:r w:rsidRPr="00B125DC">
        <w:rPr>
          <w:rFonts w:ascii="Times New Roman" w:hAnsi="Times New Roman" w:cs="Times New Roman"/>
          <w:sz w:val="24"/>
          <w:szCs w:val="24"/>
        </w:rPr>
        <w:t>.</w:t>
      </w:r>
    </w:p>
    <w:p w14:paraId="168C21E6" w14:textId="77777777" w:rsidR="00B125DC" w:rsidRPr="00B125DC" w:rsidRDefault="00B125DC" w:rsidP="00556853">
      <w:pPr>
        <w:autoSpaceDE w:val="0"/>
        <w:autoSpaceDN w:val="0"/>
        <w:adjustRightInd w:val="0"/>
        <w:spacing w:after="0" w:line="360" w:lineRule="auto"/>
        <w:rPr>
          <w:rFonts w:ascii="Times New Roman" w:hAnsi="Times New Roman" w:cs="Times New Roman"/>
          <w:sz w:val="24"/>
          <w:szCs w:val="24"/>
        </w:rPr>
      </w:pPr>
    </w:p>
    <w:p w14:paraId="18FD342C" w14:textId="275C6363" w:rsidR="00B125DC" w:rsidRPr="00C24241" w:rsidRDefault="00B125DC" w:rsidP="00556853">
      <w:pPr>
        <w:autoSpaceDE w:val="0"/>
        <w:autoSpaceDN w:val="0"/>
        <w:adjustRightInd w:val="0"/>
        <w:spacing w:after="0" w:line="240" w:lineRule="auto"/>
        <w:rPr>
          <w:rFonts w:ascii="Times New Roman" w:hAnsi="Times New Roman" w:cs="Times New Roman"/>
          <w:sz w:val="24"/>
          <w:szCs w:val="24"/>
        </w:rPr>
      </w:pPr>
      <w:r w:rsidRPr="00C24241">
        <w:rPr>
          <w:rFonts w:ascii="Times New Roman" w:hAnsi="Times New Roman" w:cs="Times New Roman"/>
          <w:bCs/>
          <w:iCs/>
          <w:sz w:val="24"/>
          <w:szCs w:val="24"/>
          <w:lang w:val="en-US"/>
        </w:rPr>
        <w:t xml:space="preserve">BELKIN, </w:t>
      </w:r>
      <w:r w:rsidRPr="00782838">
        <w:rPr>
          <w:rFonts w:ascii="Times New Roman" w:hAnsi="Times New Roman" w:cs="Times New Roman"/>
          <w:sz w:val="24"/>
          <w:szCs w:val="24"/>
          <w:shd w:val="clear" w:color="auto" w:fill="FFFFFF"/>
          <w:lang w:val="en-US"/>
        </w:rPr>
        <w:t>Nicholas J.</w:t>
      </w:r>
      <w:r w:rsidRPr="00C24241">
        <w:rPr>
          <w:rFonts w:ascii="Times New Roman" w:hAnsi="Times New Roman" w:cs="Times New Roman"/>
          <w:bCs/>
          <w:iCs/>
          <w:sz w:val="24"/>
          <w:szCs w:val="24"/>
          <w:lang w:val="en-US"/>
        </w:rPr>
        <w:t xml:space="preserve">; ROBERTSON, Stephen. E. Information Science and the phenomenon of information. </w:t>
      </w:r>
      <w:r w:rsidRPr="00556853">
        <w:rPr>
          <w:rFonts w:ascii="Times New Roman" w:hAnsi="Times New Roman" w:cs="Times New Roman"/>
          <w:b/>
          <w:iCs/>
          <w:sz w:val="24"/>
          <w:szCs w:val="24"/>
          <w:lang w:val="en-US"/>
        </w:rPr>
        <w:t>Journal of the American Society for Information Science</w:t>
      </w:r>
      <w:r w:rsidRPr="00C24241">
        <w:rPr>
          <w:rFonts w:ascii="Times New Roman" w:hAnsi="Times New Roman" w:cs="Times New Roman"/>
          <w:bCs/>
          <w:iCs/>
          <w:sz w:val="24"/>
          <w:szCs w:val="24"/>
          <w:lang w:val="en-US"/>
        </w:rPr>
        <w:t>, Jul</w:t>
      </w:r>
      <w:r w:rsidR="00556853">
        <w:rPr>
          <w:rFonts w:ascii="Times New Roman" w:hAnsi="Times New Roman" w:cs="Times New Roman"/>
          <w:bCs/>
          <w:iCs/>
          <w:sz w:val="24"/>
          <w:szCs w:val="24"/>
          <w:lang w:val="en-US"/>
        </w:rPr>
        <w:t>./</w:t>
      </w:r>
      <w:r w:rsidRPr="00C24241">
        <w:rPr>
          <w:rFonts w:ascii="Times New Roman" w:hAnsi="Times New Roman" w:cs="Times New Roman"/>
          <w:bCs/>
          <w:iCs/>
          <w:sz w:val="24"/>
          <w:szCs w:val="24"/>
          <w:lang w:val="en-US"/>
        </w:rPr>
        <w:t>Aug</w:t>
      </w:r>
      <w:r w:rsidR="00556853">
        <w:rPr>
          <w:rFonts w:ascii="Times New Roman" w:hAnsi="Times New Roman" w:cs="Times New Roman"/>
          <w:bCs/>
          <w:iCs/>
          <w:sz w:val="24"/>
          <w:szCs w:val="24"/>
          <w:lang w:val="en-US"/>
        </w:rPr>
        <w:t>.</w:t>
      </w:r>
      <w:r w:rsidRPr="00C24241">
        <w:rPr>
          <w:rFonts w:ascii="Times New Roman" w:hAnsi="Times New Roman" w:cs="Times New Roman"/>
          <w:bCs/>
          <w:iCs/>
          <w:sz w:val="24"/>
          <w:szCs w:val="24"/>
          <w:lang w:val="en-US"/>
        </w:rPr>
        <w:t xml:space="preserve">, 1976.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https://onlinelibrary.wiley.com/doi/abs/10.1002/asi.4630270402</w:t>
      </w:r>
      <w:r w:rsidRPr="00C24241">
        <w:rPr>
          <w:rFonts w:ascii="Times New Roman" w:hAnsi="Times New Roman" w:cs="Times New Roman"/>
          <w:sz w:val="24"/>
          <w:szCs w:val="24"/>
        </w:rPr>
        <w:t xml:space="preserve">. Acesso em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44C737A1" w14:textId="77777777" w:rsidR="00B125DC" w:rsidRPr="00C24241" w:rsidRDefault="00B125DC" w:rsidP="00556853">
      <w:pPr>
        <w:autoSpaceDE w:val="0"/>
        <w:autoSpaceDN w:val="0"/>
        <w:adjustRightInd w:val="0"/>
        <w:spacing w:after="0" w:line="240" w:lineRule="auto"/>
        <w:rPr>
          <w:rFonts w:ascii="Times New Roman" w:hAnsi="Times New Roman" w:cs="Times New Roman"/>
          <w:sz w:val="24"/>
          <w:szCs w:val="24"/>
          <w:lang w:val="pt-PT"/>
        </w:rPr>
      </w:pPr>
    </w:p>
    <w:p w14:paraId="29ADE572"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lang w:val="en-US"/>
        </w:rPr>
        <w:t xml:space="preserve">BRENNER, Joseph E. Three Aspects of Information Science in Reality: Symmetry, Semiotics and Society. </w:t>
      </w:r>
      <w:r w:rsidRPr="00C24241">
        <w:rPr>
          <w:rFonts w:ascii="Times New Roman" w:hAnsi="Times New Roman" w:cs="Times New Roman"/>
          <w:b/>
          <w:sz w:val="24"/>
          <w:szCs w:val="24"/>
        </w:rPr>
        <w:t>Information</w:t>
      </w:r>
      <w:r w:rsidRPr="00C24241">
        <w:rPr>
          <w:rFonts w:ascii="Times New Roman" w:hAnsi="Times New Roman" w:cs="Times New Roman"/>
          <w:sz w:val="24"/>
          <w:szCs w:val="24"/>
        </w:rPr>
        <w:t xml:space="preserve">, n. 6, p. 750-772, 2015.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https://www.mdpi.com/2078-2489/6/4/750</w:t>
      </w:r>
      <w:r w:rsidRPr="00C24241">
        <w:rPr>
          <w:rFonts w:ascii="Times New Roman" w:hAnsi="Times New Roman" w:cs="Times New Roman"/>
          <w:sz w:val="24"/>
          <w:szCs w:val="24"/>
        </w:rPr>
        <w:t>. Acesso em</w:t>
      </w:r>
      <w:r>
        <w:rPr>
          <w:rFonts w:ascii="Times New Roman" w:hAnsi="Times New Roman" w:cs="Times New Roman"/>
          <w:sz w:val="24"/>
          <w:szCs w:val="24"/>
        </w:rPr>
        <w:t>:</w:t>
      </w:r>
      <w:r w:rsidRPr="00C24241">
        <w:rPr>
          <w:rFonts w:ascii="Times New Roman" w:hAnsi="Times New Roman" w:cs="Times New Roman"/>
          <w:sz w:val="24"/>
          <w:szCs w:val="24"/>
        </w:rPr>
        <w:t xml:space="preserve">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0F48049C" w14:textId="77777777" w:rsidR="00B125DC" w:rsidRPr="00C24241" w:rsidRDefault="00B125DC" w:rsidP="00556853">
      <w:pPr>
        <w:spacing w:after="0" w:line="360" w:lineRule="auto"/>
        <w:rPr>
          <w:rFonts w:ascii="Times New Roman" w:hAnsi="Times New Roman" w:cs="Times New Roman"/>
          <w:sz w:val="24"/>
          <w:szCs w:val="24"/>
        </w:rPr>
      </w:pPr>
    </w:p>
    <w:p w14:paraId="58E57F01"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lang w:val="en-US"/>
        </w:rPr>
        <w:t xml:space="preserve">BRIER, Søren. </w:t>
      </w:r>
      <w:r w:rsidRPr="00C24241">
        <w:rPr>
          <w:rFonts w:ascii="Times New Roman" w:hAnsi="Times New Roman" w:cs="Times New Roman"/>
          <w:sz w:val="24"/>
          <w:szCs w:val="24"/>
          <w:shd w:val="clear" w:color="auto" w:fill="FFFFFF"/>
          <w:lang w:val="en-GB"/>
        </w:rPr>
        <w:t xml:space="preserve">Cybersemiotics: a new interdisciplinary development applied to the problems of knowledge organisation and document retrieval in information science. </w:t>
      </w:r>
      <w:r w:rsidRPr="00C24241">
        <w:rPr>
          <w:rFonts w:ascii="Times New Roman" w:hAnsi="Times New Roman" w:cs="Times New Roman"/>
          <w:b/>
          <w:bCs/>
          <w:sz w:val="24"/>
          <w:szCs w:val="24"/>
          <w:shd w:val="clear" w:color="auto" w:fill="FFFFFF"/>
        </w:rPr>
        <w:t>Journal of documentation</w:t>
      </w:r>
      <w:r w:rsidRPr="00C24241">
        <w:rPr>
          <w:rFonts w:ascii="Times New Roman" w:hAnsi="Times New Roman" w:cs="Times New Roman"/>
          <w:sz w:val="24"/>
          <w:szCs w:val="24"/>
          <w:shd w:val="clear" w:color="auto" w:fill="FFFFFF"/>
        </w:rPr>
        <w:t xml:space="preserve">, v. 52, n. 3, p. 296-344, 1996.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https://www.emerald.com/insight/content/doi/10.1108/eb026970/full/html</w:t>
      </w:r>
      <w:r w:rsidRPr="00C24241">
        <w:rPr>
          <w:rFonts w:ascii="Times New Roman" w:hAnsi="Times New Roman" w:cs="Times New Roman"/>
          <w:sz w:val="24"/>
          <w:szCs w:val="24"/>
        </w:rPr>
        <w:t>. Acesso em</w:t>
      </w:r>
      <w:r>
        <w:rPr>
          <w:rFonts w:ascii="Times New Roman" w:hAnsi="Times New Roman" w:cs="Times New Roman"/>
          <w:sz w:val="24"/>
          <w:szCs w:val="24"/>
        </w:rPr>
        <w:t>:</w:t>
      </w:r>
      <w:r w:rsidRPr="00C24241">
        <w:rPr>
          <w:rFonts w:ascii="Times New Roman" w:hAnsi="Times New Roman" w:cs="Times New Roman"/>
          <w:sz w:val="24"/>
          <w:szCs w:val="24"/>
        </w:rPr>
        <w:t xml:space="preserve">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77463B40" w14:textId="77777777" w:rsidR="00B125DC" w:rsidRPr="00C24241" w:rsidRDefault="00B125DC" w:rsidP="00556853">
      <w:pPr>
        <w:spacing w:after="0" w:line="360" w:lineRule="auto"/>
        <w:rPr>
          <w:rFonts w:ascii="Times New Roman" w:hAnsi="Times New Roman" w:cs="Times New Roman"/>
          <w:sz w:val="24"/>
          <w:szCs w:val="24"/>
        </w:rPr>
      </w:pPr>
    </w:p>
    <w:p w14:paraId="5C5C0A0C" w14:textId="5EF431E5" w:rsidR="00B125DC" w:rsidRPr="00556853"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lang w:val="en-US"/>
        </w:rPr>
        <w:t xml:space="preserve">BRIER, Søren. </w:t>
      </w:r>
      <w:r w:rsidRPr="00C24241">
        <w:rPr>
          <w:rFonts w:ascii="Times New Roman" w:hAnsi="Times New Roman" w:cs="Times New Roman"/>
          <w:bCs/>
          <w:sz w:val="24"/>
          <w:szCs w:val="24"/>
          <w:lang w:val="en-US"/>
        </w:rPr>
        <w:t xml:space="preserve">LIBREAS Interview: Semiotics in Information Science - An Interview with Søren Brier on the application of semiotic theories and the epistemological problem of a transdisciplinary Information Science. </w:t>
      </w:r>
      <w:r w:rsidRPr="00C24241">
        <w:rPr>
          <w:rFonts w:ascii="Times New Roman" w:hAnsi="Times New Roman" w:cs="Times New Roman"/>
          <w:bCs/>
          <w:sz w:val="24"/>
          <w:szCs w:val="24"/>
        </w:rPr>
        <w:t xml:space="preserve">Entrevista concedida a </w:t>
      </w:r>
      <w:r w:rsidRPr="00C24241">
        <w:rPr>
          <w:rFonts w:ascii="Times New Roman" w:eastAsiaTheme="majorEastAsia" w:hAnsi="Times New Roman" w:cs="Times New Roman"/>
          <w:bCs/>
          <w:sz w:val="24"/>
          <w:szCs w:val="24"/>
          <w:bdr w:val="none" w:sz="0" w:space="0" w:color="auto" w:frame="1"/>
          <w:shd w:val="clear" w:color="auto" w:fill="FFFFFF"/>
        </w:rPr>
        <w:t>Linda Freyberg</w:t>
      </w:r>
      <w:r w:rsidRPr="00C24241">
        <w:rPr>
          <w:rFonts w:ascii="Times New Roman" w:hAnsi="Times New Roman" w:cs="Times New Roman"/>
          <w:sz w:val="24"/>
          <w:szCs w:val="24"/>
        </w:rPr>
        <w:t xml:space="preserve">. </w:t>
      </w:r>
      <w:r w:rsidRPr="00C24241">
        <w:rPr>
          <w:rFonts w:ascii="Times New Roman" w:hAnsi="Times New Roman" w:cs="Times New Roman"/>
          <w:b/>
          <w:sz w:val="24"/>
          <w:szCs w:val="24"/>
        </w:rPr>
        <w:t>LIBREAS</w:t>
      </w:r>
      <w:r w:rsidRPr="00C24241">
        <w:rPr>
          <w:rFonts w:ascii="Times New Roman" w:hAnsi="Times New Roman" w:cs="Times New Roman"/>
          <w:sz w:val="24"/>
          <w:szCs w:val="24"/>
        </w:rPr>
        <w:t xml:space="preserve">: Library Ideas, n. 19, [2011].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https://edoc.hu-berlin.de/bitstream/handle/18452/9645/treude.pdf?sequence=1&amp;isAllowed=y</w:t>
      </w:r>
      <w:r w:rsidRPr="00C24241">
        <w:rPr>
          <w:rFonts w:ascii="Times New Roman" w:hAnsi="Times New Roman" w:cs="Times New Roman"/>
          <w:sz w:val="24"/>
          <w:szCs w:val="24"/>
        </w:rPr>
        <w:t xml:space="preserve">. </w:t>
      </w:r>
      <w:r w:rsidRPr="00556853">
        <w:rPr>
          <w:rFonts w:ascii="Times New Roman" w:hAnsi="Times New Roman" w:cs="Times New Roman"/>
          <w:sz w:val="24"/>
          <w:szCs w:val="24"/>
        </w:rPr>
        <w:t>Acesso em: 19 set. 2023.</w:t>
      </w:r>
    </w:p>
    <w:p w14:paraId="51FA5BAE" w14:textId="77777777" w:rsidR="00B125DC" w:rsidRPr="00556853" w:rsidRDefault="00B125DC" w:rsidP="00556853">
      <w:pPr>
        <w:spacing w:after="0" w:line="360" w:lineRule="auto"/>
        <w:rPr>
          <w:rFonts w:ascii="Times New Roman" w:hAnsi="Times New Roman" w:cs="Times New Roman"/>
          <w:sz w:val="24"/>
          <w:szCs w:val="24"/>
        </w:rPr>
      </w:pPr>
    </w:p>
    <w:p w14:paraId="0C9BFC94" w14:textId="77777777" w:rsidR="00B125DC" w:rsidRPr="00B125DC" w:rsidRDefault="00B125DC" w:rsidP="00556853">
      <w:pPr>
        <w:spacing w:after="0" w:line="240" w:lineRule="auto"/>
        <w:rPr>
          <w:rFonts w:ascii="Times New Roman" w:hAnsi="Times New Roman" w:cs="Times New Roman"/>
          <w:sz w:val="24"/>
          <w:szCs w:val="24"/>
          <w:lang w:val="en-US"/>
        </w:rPr>
      </w:pPr>
      <w:r w:rsidRPr="00C24241">
        <w:rPr>
          <w:rFonts w:ascii="Times New Roman" w:hAnsi="Times New Roman" w:cs="Times New Roman"/>
          <w:sz w:val="24"/>
          <w:szCs w:val="24"/>
          <w:shd w:val="clear" w:color="auto" w:fill="FFFFFF"/>
          <w:lang w:val="en-US"/>
        </w:rPr>
        <w:t xml:space="preserve">BROOKES, Bertram .C. The foundations of information science: philosophical aspects. </w:t>
      </w:r>
      <w:r w:rsidRPr="00C24241">
        <w:rPr>
          <w:rFonts w:ascii="Times New Roman" w:hAnsi="Times New Roman" w:cs="Times New Roman"/>
          <w:b/>
          <w:sz w:val="24"/>
          <w:szCs w:val="24"/>
          <w:shd w:val="clear" w:color="auto" w:fill="FFFFFF"/>
          <w:lang w:val="en-US"/>
        </w:rPr>
        <w:t>Journal of Information Science</w:t>
      </w:r>
      <w:r w:rsidRPr="00C24241">
        <w:rPr>
          <w:rFonts w:ascii="Times New Roman" w:hAnsi="Times New Roman" w:cs="Times New Roman"/>
          <w:sz w:val="24"/>
          <w:szCs w:val="24"/>
          <w:shd w:val="clear" w:color="auto" w:fill="FFFFFF"/>
          <w:lang w:val="en-US"/>
        </w:rPr>
        <w:t xml:space="preserve">, v.2, Part 1, p.125-133, 1980. </w:t>
      </w:r>
      <w:r w:rsidRPr="00C24241">
        <w:rPr>
          <w:rFonts w:ascii="Times New Roman" w:hAnsi="Times New Roman" w:cs="Times New Roman"/>
          <w:sz w:val="24"/>
          <w:szCs w:val="24"/>
          <w:lang w:val="en-US"/>
        </w:rPr>
        <w:t xml:space="preserve">Disponível em: </w:t>
      </w:r>
      <w:r w:rsidRPr="00C24241">
        <w:rPr>
          <w:rFonts w:ascii="Times New Roman" w:eastAsiaTheme="majorEastAsia" w:hAnsi="Times New Roman" w:cs="Times New Roman"/>
          <w:sz w:val="24"/>
          <w:szCs w:val="24"/>
          <w:lang w:val="en-US"/>
        </w:rPr>
        <w:t>https://dl.acm.org/citation.cfm?id=3059855</w:t>
      </w:r>
      <w:r w:rsidRPr="00C24241">
        <w:rPr>
          <w:rFonts w:ascii="Times New Roman" w:hAnsi="Times New Roman" w:cs="Times New Roman"/>
          <w:sz w:val="24"/>
          <w:szCs w:val="24"/>
          <w:lang w:val="en-US"/>
        </w:rPr>
        <w:t xml:space="preserve">. </w:t>
      </w:r>
      <w:r w:rsidRPr="00B125DC">
        <w:rPr>
          <w:rFonts w:ascii="Times New Roman" w:hAnsi="Times New Roman" w:cs="Times New Roman"/>
          <w:sz w:val="24"/>
          <w:szCs w:val="24"/>
          <w:lang w:val="en-US"/>
        </w:rPr>
        <w:t>Acesso em: 19 set. 2023.</w:t>
      </w:r>
    </w:p>
    <w:p w14:paraId="57356F7D" w14:textId="77777777" w:rsidR="00B125DC" w:rsidRPr="00B125DC" w:rsidRDefault="00B125DC" w:rsidP="00556853">
      <w:pPr>
        <w:spacing w:after="0" w:line="360" w:lineRule="auto"/>
        <w:rPr>
          <w:rFonts w:ascii="Times New Roman" w:hAnsi="Times New Roman" w:cs="Times New Roman"/>
          <w:sz w:val="24"/>
          <w:szCs w:val="24"/>
          <w:lang w:val="en-US"/>
        </w:rPr>
      </w:pPr>
    </w:p>
    <w:p w14:paraId="3802F151" w14:textId="77777777" w:rsidR="00B125DC" w:rsidRPr="00B125DC" w:rsidRDefault="00B125DC" w:rsidP="00556853">
      <w:pPr>
        <w:spacing w:after="0" w:line="240" w:lineRule="auto"/>
        <w:contextualSpacing/>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lang w:val="en-US"/>
        </w:rPr>
        <w:t xml:space="preserve">BUCKLAND, Michael. Information as thing. </w:t>
      </w:r>
      <w:r w:rsidRPr="00C24241">
        <w:rPr>
          <w:rFonts w:ascii="Times New Roman" w:hAnsi="Times New Roman" w:cs="Times New Roman"/>
          <w:b/>
          <w:sz w:val="24"/>
          <w:szCs w:val="24"/>
          <w:shd w:val="clear" w:color="auto" w:fill="FFFFFF"/>
          <w:lang w:val="en-US"/>
        </w:rPr>
        <w:t>Journal of the American Society of Information Science</w:t>
      </w:r>
      <w:r w:rsidRPr="00C24241">
        <w:rPr>
          <w:rFonts w:ascii="Times New Roman" w:hAnsi="Times New Roman" w:cs="Times New Roman"/>
          <w:sz w:val="24"/>
          <w:szCs w:val="24"/>
          <w:shd w:val="clear" w:color="auto" w:fill="FFFFFF"/>
          <w:lang w:val="en-US"/>
        </w:rPr>
        <w:t xml:space="preserve">, v.42, n.5, p.351-360, 1991. </w:t>
      </w:r>
      <w:r w:rsidRPr="00C24241">
        <w:rPr>
          <w:rFonts w:ascii="Times New Roman" w:hAnsi="Times New Roman" w:cs="Times New Roman"/>
          <w:sz w:val="24"/>
          <w:szCs w:val="24"/>
          <w:shd w:val="clear" w:color="auto" w:fill="FFFFFF"/>
        </w:rPr>
        <w:t xml:space="preserve">Disponível em: http://www.sims.berkley.edu/~buck land/thing.html. </w:t>
      </w:r>
      <w:r w:rsidRPr="00B125DC">
        <w:rPr>
          <w:rFonts w:ascii="Times New Roman" w:hAnsi="Times New Roman" w:cs="Times New Roman"/>
          <w:sz w:val="24"/>
          <w:szCs w:val="24"/>
          <w:shd w:val="clear" w:color="auto" w:fill="FFFFFF"/>
        </w:rPr>
        <w:t xml:space="preserve">Acesso em: </w:t>
      </w:r>
      <w:r>
        <w:rPr>
          <w:rFonts w:ascii="Times New Roman" w:hAnsi="Times New Roman" w:cs="Times New Roman"/>
          <w:sz w:val="24"/>
          <w:szCs w:val="24"/>
        </w:rPr>
        <w:t>19 set. 2023</w:t>
      </w:r>
      <w:r w:rsidRPr="00B125DC">
        <w:rPr>
          <w:rFonts w:ascii="Times New Roman" w:hAnsi="Times New Roman" w:cs="Times New Roman"/>
          <w:sz w:val="24"/>
          <w:szCs w:val="24"/>
          <w:shd w:val="clear" w:color="auto" w:fill="FFFFFF"/>
        </w:rPr>
        <w:t>.</w:t>
      </w:r>
    </w:p>
    <w:p w14:paraId="63F08146" w14:textId="77777777" w:rsidR="00B125DC" w:rsidRPr="00B125DC" w:rsidRDefault="00B125DC" w:rsidP="00556853">
      <w:pPr>
        <w:spacing w:after="0" w:line="360" w:lineRule="auto"/>
        <w:contextualSpacing/>
        <w:rPr>
          <w:rFonts w:ascii="Times New Roman" w:hAnsi="Times New Roman" w:cs="Times New Roman"/>
          <w:sz w:val="24"/>
          <w:szCs w:val="24"/>
          <w:shd w:val="clear" w:color="auto" w:fill="FFFFFF"/>
        </w:rPr>
      </w:pPr>
    </w:p>
    <w:p w14:paraId="1C9C33E6"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CAPURRO, Rafael. Epistemologia e Ciência da Informação. In: V ENCONTRO NACIONAL DE PESQUISA EM CIÊNCIA DA INFORMAÇÃO, 5., Belo Horizonte, 2003. </w:t>
      </w:r>
      <w:r w:rsidRPr="00C24241">
        <w:rPr>
          <w:rFonts w:ascii="Times New Roman" w:hAnsi="Times New Roman" w:cs="Times New Roman"/>
          <w:b/>
          <w:sz w:val="24"/>
          <w:szCs w:val="24"/>
        </w:rPr>
        <w:t>Anais</w:t>
      </w:r>
      <w:r w:rsidRPr="00C24241">
        <w:rPr>
          <w:rFonts w:ascii="Times New Roman" w:hAnsi="Times New Roman" w:cs="Times New Roman"/>
          <w:sz w:val="24"/>
          <w:szCs w:val="24"/>
        </w:rPr>
        <w:t xml:space="preserve">... Belo Horizonte: Escola de Ciência da Informação da UFMG, 2003.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http://www.capurro.de/enancib_p.htm</w:t>
      </w:r>
      <w:r w:rsidRPr="00C24241">
        <w:rPr>
          <w:rFonts w:ascii="Times New Roman" w:hAnsi="Times New Roman" w:cs="Times New Roman"/>
          <w:sz w:val="24"/>
          <w:szCs w:val="24"/>
        </w:rPr>
        <w:t>. Acesso em</w:t>
      </w:r>
      <w:r>
        <w:rPr>
          <w:rFonts w:ascii="Times New Roman" w:hAnsi="Times New Roman" w:cs="Times New Roman"/>
          <w:sz w:val="24"/>
          <w:szCs w:val="24"/>
        </w:rPr>
        <w:t>:</w:t>
      </w:r>
      <w:r w:rsidRPr="00C24241">
        <w:rPr>
          <w:rFonts w:ascii="Times New Roman" w:hAnsi="Times New Roman" w:cs="Times New Roman"/>
          <w:sz w:val="24"/>
          <w:szCs w:val="24"/>
        </w:rPr>
        <w:t xml:space="preserve">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2F7FAD63" w14:textId="77777777" w:rsidR="00B125DC" w:rsidRPr="00C24241" w:rsidRDefault="00B125DC" w:rsidP="00556853">
      <w:pPr>
        <w:spacing w:after="0" w:line="360" w:lineRule="auto"/>
        <w:rPr>
          <w:rFonts w:ascii="Times New Roman" w:hAnsi="Times New Roman" w:cs="Times New Roman"/>
          <w:sz w:val="24"/>
          <w:szCs w:val="24"/>
        </w:rPr>
      </w:pPr>
    </w:p>
    <w:p w14:paraId="502B7698" w14:textId="77777777" w:rsidR="00B125DC" w:rsidRPr="00C24241" w:rsidRDefault="00B125DC" w:rsidP="00556853">
      <w:pPr>
        <w:spacing w:after="0" w:line="240" w:lineRule="auto"/>
        <w:contextualSpacing/>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t xml:space="preserve">CAPURRO, Rafael; HJORLAND, Birger. O conceito de informação. </w:t>
      </w:r>
      <w:r w:rsidRPr="00C24241">
        <w:rPr>
          <w:rFonts w:ascii="Times New Roman" w:hAnsi="Times New Roman" w:cs="Times New Roman"/>
          <w:b/>
          <w:sz w:val="24"/>
          <w:szCs w:val="24"/>
          <w:shd w:val="clear" w:color="auto" w:fill="FFFFFF"/>
        </w:rPr>
        <w:t>Perspectivas em Ciência da Informação</w:t>
      </w:r>
      <w:r w:rsidRPr="00C24241">
        <w:rPr>
          <w:rFonts w:ascii="Times New Roman" w:hAnsi="Times New Roman" w:cs="Times New Roman"/>
          <w:sz w:val="24"/>
          <w:szCs w:val="24"/>
          <w:shd w:val="clear" w:color="auto" w:fill="FFFFFF"/>
        </w:rPr>
        <w:t xml:space="preserve">, v. 12, n. 1, p. 148-207, jan./abr. 2007. Disponível em: http://bogliolo.eci.ufmg.br/downloads/CAPURRO.pdf. Acesso em: </w:t>
      </w:r>
      <w:r>
        <w:rPr>
          <w:rFonts w:ascii="Times New Roman" w:hAnsi="Times New Roman" w:cs="Times New Roman"/>
          <w:sz w:val="24"/>
          <w:szCs w:val="24"/>
        </w:rPr>
        <w:t>19 set. 2023</w:t>
      </w:r>
      <w:r w:rsidRPr="00C24241">
        <w:rPr>
          <w:rFonts w:ascii="Times New Roman" w:hAnsi="Times New Roman" w:cs="Times New Roman"/>
          <w:sz w:val="24"/>
          <w:szCs w:val="24"/>
          <w:shd w:val="clear" w:color="auto" w:fill="FFFFFF"/>
        </w:rPr>
        <w:t>.</w:t>
      </w:r>
    </w:p>
    <w:p w14:paraId="2E7197EF" w14:textId="77777777" w:rsidR="00B125DC" w:rsidRPr="00C24241" w:rsidRDefault="00B125DC" w:rsidP="00556853">
      <w:pPr>
        <w:spacing w:after="0" w:line="360" w:lineRule="auto"/>
        <w:contextualSpacing/>
        <w:rPr>
          <w:rFonts w:ascii="Times New Roman" w:hAnsi="Times New Roman" w:cs="Times New Roman"/>
          <w:sz w:val="24"/>
          <w:szCs w:val="24"/>
          <w:shd w:val="clear" w:color="auto" w:fill="FFFFFF"/>
        </w:rPr>
      </w:pPr>
    </w:p>
    <w:p w14:paraId="56DE892F" w14:textId="77777777" w:rsidR="00B125DC" w:rsidRPr="00B125DC" w:rsidRDefault="00B125DC" w:rsidP="00556853">
      <w:pPr>
        <w:autoSpaceDE w:val="0"/>
        <w:autoSpaceDN w:val="0"/>
        <w:adjustRightInd w:val="0"/>
        <w:spacing w:after="0" w:line="240" w:lineRule="auto"/>
        <w:rPr>
          <w:rFonts w:ascii="Times New Roman" w:hAnsi="Times New Roman" w:cs="Times New Roman"/>
          <w:sz w:val="24"/>
          <w:szCs w:val="24"/>
          <w:lang w:val="en-US"/>
        </w:rPr>
      </w:pPr>
      <w:r w:rsidRPr="00C24241">
        <w:rPr>
          <w:rFonts w:ascii="Times New Roman" w:hAnsi="Times New Roman" w:cs="Times New Roman"/>
          <w:sz w:val="24"/>
          <w:szCs w:val="24"/>
          <w:lang w:val="en-US"/>
        </w:rPr>
        <w:t xml:space="preserve">CLEVERDON, Cyril; MILLS, Jack; KEEN, Michael. </w:t>
      </w:r>
      <w:r w:rsidRPr="00C24241">
        <w:rPr>
          <w:rFonts w:ascii="Times New Roman" w:hAnsi="Times New Roman" w:cs="Times New Roman"/>
          <w:b/>
          <w:sz w:val="24"/>
          <w:szCs w:val="24"/>
          <w:lang w:val="en-US"/>
        </w:rPr>
        <w:t>Aslib Cranfield Research Projetc</w:t>
      </w:r>
      <w:r w:rsidRPr="00C24241">
        <w:rPr>
          <w:rFonts w:ascii="Times New Roman" w:hAnsi="Times New Roman" w:cs="Times New Roman"/>
          <w:sz w:val="24"/>
          <w:szCs w:val="24"/>
          <w:lang w:val="en-US"/>
        </w:rPr>
        <w:t xml:space="preserve">: fator determining the performance of indexing systems. Volume I Design. United Kingdon: </w:t>
      </w:r>
      <w:r w:rsidRPr="00C24241">
        <w:rPr>
          <w:rFonts w:ascii="Times New Roman" w:hAnsi="Times New Roman" w:cs="Times New Roman"/>
          <w:sz w:val="24"/>
          <w:szCs w:val="24"/>
          <w:shd w:val="clear" w:color="auto" w:fill="FFFFFF"/>
          <w:lang w:val="en-US"/>
        </w:rPr>
        <w:t>Aslib Cranfield Research Project</w:t>
      </w:r>
      <w:r w:rsidRPr="00C24241">
        <w:rPr>
          <w:rFonts w:ascii="Times New Roman" w:hAnsi="Times New Roman" w:cs="Times New Roman"/>
          <w:sz w:val="24"/>
          <w:szCs w:val="24"/>
          <w:lang w:val="en-US"/>
        </w:rPr>
        <w:t xml:space="preserve">, 1966. Disponível em: </w:t>
      </w:r>
      <w:r w:rsidRPr="00C24241">
        <w:rPr>
          <w:rFonts w:ascii="Times New Roman" w:hAnsi="Times New Roman" w:cs="Times New Roman"/>
          <w:sz w:val="24"/>
          <w:szCs w:val="24"/>
          <w:lang w:val="en-US"/>
        </w:rPr>
        <w:lastRenderedPageBreak/>
        <w:t xml:space="preserve">https://dspace.lib.cranfield.ac.uk/bitstream/handle/1826/861/1966%20ASLIB%20part1.pdf?sequence=2&amp;isAllowed=y. </w:t>
      </w:r>
      <w:r w:rsidRPr="00B125DC">
        <w:rPr>
          <w:rFonts w:ascii="Times New Roman" w:hAnsi="Times New Roman" w:cs="Times New Roman"/>
          <w:sz w:val="24"/>
          <w:szCs w:val="24"/>
          <w:lang w:val="en-US"/>
        </w:rPr>
        <w:t>Acesso em: 19 set. 2023.</w:t>
      </w:r>
    </w:p>
    <w:p w14:paraId="3241B65A" w14:textId="77777777" w:rsidR="00B125DC" w:rsidRPr="00B125DC" w:rsidRDefault="00B125DC" w:rsidP="00556853">
      <w:pPr>
        <w:autoSpaceDE w:val="0"/>
        <w:autoSpaceDN w:val="0"/>
        <w:adjustRightInd w:val="0"/>
        <w:spacing w:after="0" w:line="360" w:lineRule="auto"/>
        <w:rPr>
          <w:rFonts w:ascii="Times New Roman" w:hAnsi="Times New Roman" w:cs="Times New Roman"/>
          <w:sz w:val="24"/>
          <w:szCs w:val="24"/>
          <w:lang w:val="en-US"/>
        </w:rPr>
      </w:pPr>
    </w:p>
    <w:p w14:paraId="1DFD7237" w14:textId="77777777" w:rsidR="00B125DC" w:rsidRPr="00C24241" w:rsidRDefault="00B125DC" w:rsidP="00556853">
      <w:pPr>
        <w:spacing w:after="0" w:line="240" w:lineRule="auto"/>
        <w:rPr>
          <w:rFonts w:ascii="Times New Roman" w:hAnsi="Times New Roman" w:cs="Times New Roman"/>
          <w:sz w:val="24"/>
          <w:szCs w:val="24"/>
          <w:lang w:val="en-US"/>
        </w:rPr>
      </w:pPr>
      <w:r w:rsidRPr="00C24241">
        <w:rPr>
          <w:rFonts w:ascii="Times New Roman" w:hAnsi="Times New Roman" w:cs="Times New Roman"/>
          <w:sz w:val="24"/>
          <w:szCs w:val="24"/>
        </w:rPr>
        <w:t xml:space="preserve">COELHO NETTO, José Teixeira. </w:t>
      </w:r>
      <w:r w:rsidRPr="00C24241">
        <w:rPr>
          <w:rFonts w:ascii="Times New Roman" w:hAnsi="Times New Roman" w:cs="Times New Roman"/>
          <w:b/>
          <w:sz w:val="24"/>
          <w:szCs w:val="24"/>
        </w:rPr>
        <w:t>Semiótica, informação e comunicação</w:t>
      </w:r>
      <w:r w:rsidRPr="00C24241">
        <w:rPr>
          <w:rFonts w:ascii="Times New Roman" w:hAnsi="Times New Roman" w:cs="Times New Roman"/>
          <w:sz w:val="24"/>
          <w:szCs w:val="24"/>
        </w:rPr>
        <w:t xml:space="preserve">. </w:t>
      </w:r>
      <w:r w:rsidRPr="00C24241">
        <w:rPr>
          <w:rFonts w:ascii="Times New Roman" w:hAnsi="Times New Roman" w:cs="Times New Roman"/>
          <w:sz w:val="24"/>
          <w:szCs w:val="24"/>
          <w:lang w:val="en-US"/>
        </w:rPr>
        <w:t>São Paulo: Perspectiva, 1980.</w:t>
      </w:r>
    </w:p>
    <w:p w14:paraId="1F136174" w14:textId="77777777" w:rsidR="00B125DC" w:rsidRPr="00C24241" w:rsidRDefault="00B125DC" w:rsidP="00556853">
      <w:pPr>
        <w:spacing w:after="0" w:line="360" w:lineRule="auto"/>
        <w:rPr>
          <w:rFonts w:ascii="Times New Roman" w:hAnsi="Times New Roman" w:cs="Times New Roman"/>
          <w:sz w:val="24"/>
          <w:szCs w:val="24"/>
          <w:lang w:val="en-US"/>
        </w:rPr>
      </w:pPr>
    </w:p>
    <w:p w14:paraId="458E5ED4" w14:textId="5B29FDBC"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shd w:val="clear" w:color="auto" w:fill="FFFFFF"/>
          <w:lang w:val="en-GB"/>
        </w:rPr>
        <w:t xml:space="preserve">DE TIENNE, A. Information in formation: a Peircean approach. </w:t>
      </w:r>
      <w:r w:rsidRPr="00C24241">
        <w:rPr>
          <w:rFonts w:ascii="Times New Roman" w:hAnsi="Times New Roman" w:cs="Times New Roman"/>
          <w:b/>
          <w:sz w:val="24"/>
          <w:szCs w:val="24"/>
          <w:shd w:val="clear" w:color="auto" w:fill="FFFFFF"/>
          <w:lang w:val="en-GB"/>
        </w:rPr>
        <w:t>Cognitio</w:t>
      </w:r>
      <w:r w:rsidRPr="00C24241">
        <w:rPr>
          <w:rFonts w:ascii="Times New Roman" w:hAnsi="Times New Roman" w:cs="Times New Roman"/>
          <w:sz w:val="24"/>
          <w:szCs w:val="24"/>
          <w:shd w:val="clear" w:color="auto" w:fill="FFFFFF"/>
          <w:lang w:val="en-GB"/>
        </w:rPr>
        <w:t xml:space="preserve">: revista filosofia (Magazine of Philosophy), v. 6, n. 2, p. 149-165, 2005.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https://philpapers.org/rec/DETIIF</w:t>
      </w:r>
      <w:r w:rsidRPr="00C24241">
        <w:rPr>
          <w:rFonts w:ascii="Times New Roman" w:hAnsi="Times New Roman" w:cs="Times New Roman"/>
          <w:sz w:val="24"/>
          <w:szCs w:val="24"/>
        </w:rPr>
        <w:t>. Acesso em</w:t>
      </w:r>
      <w:r>
        <w:rPr>
          <w:rFonts w:ascii="Times New Roman" w:hAnsi="Times New Roman" w:cs="Times New Roman"/>
          <w:sz w:val="24"/>
          <w:szCs w:val="24"/>
        </w:rPr>
        <w:t>:</w:t>
      </w:r>
      <w:r w:rsidRPr="00C24241">
        <w:rPr>
          <w:rFonts w:ascii="Times New Roman" w:hAnsi="Times New Roman" w:cs="Times New Roman"/>
          <w:sz w:val="24"/>
          <w:szCs w:val="24"/>
        </w:rPr>
        <w:t xml:space="preserve">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76497D1B" w14:textId="77777777" w:rsidR="00B125DC" w:rsidRPr="00C24241" w:rsidRDefault="00B125DC" w:rsidP="00556853">
      <w:pPr>
        <w:autoSpaceDE w:val="0"/>
        <w:autoSpaceDN w:val="0"/>
        <w:adjustRightInd w:val="0"/>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ECO, Umberto. </w:t>
      </w:r>
      <w:r w:rsidRPr="00C24241">
        <w:rPr>
          <w:rFonts w:ascii="Times New Roman" w:hAnsi="Times New Roman" w:cs="Times New Roman"/>
          <w:b/>
          <w:sz w:val="24"/>
          <w:szCs w:val="24"/>
        </w:rPr>
        <w:t>Lector in fabula</w:t>
      </w:r>
      <w:r w:rsidRPr="00C24241">
        <w:rPr>
          <w:rFonts w:ascii="Times New Roman" w:hAnsi="Times New Roman" w:cs="Times New Roman"/>
          <w:sz w:val="24"/>
          <w:szCs w:val="24"/>
        </w:rPr>
        <w:t>: a cooperação interpretativa nos textos narrativos. São Paulo: Perspectiva, 1979.</w:t>
      </w:r>
    </w:p>
    <w:p w14:paraId="7C5159BC" w14:textId="77777777" w:rsidR="00B125DC" w:rsidRPr="00C24241" w:rsidRDefault="00B125DC" w:rsidP="00556853">
      <w:pPr>
        <w:autoSpaceDE w:val="0"/>
        <w:autoSpaceDN w:val="0"/>
        <w:adjustRightInd w:val="0"/>
        <w:spacing w:after="0" w:line="360" w:lineRule="auto"/>
        <w:rPr>
          <w:rFonts w:ascii="Times New Roman" w:hAnsi="Times New Roman" w:cs="Times New Roman"/>
          <w:sz w:val="24"/>
          <w:szCs w:val="24"/>
        </w:rPr>
      </w:pPr>
    </w:p>
    <w:p w14:paraId="57EC8BD7" w14:textId="77777777" w:rsidR="00B125DC" w:rsidRPr="00C24241" w:rsidRDefault="00B125DC" w:rsidP="00556853">
      <w:pPr>
        <w:spacing w:after="0" w:line="240" w:lineRule="auto"/>
        <w:contextualSpacing/>
        <w:rPr>
          <w:rFonts w:ascii="Times New Roman" w:hAnsi="Times New Roman" w:cs="Times New Roman"/>
          <w:sz w:val="24"/>
          <w:szCs w:val="24"/>
        </w:rPr>
      </w:pPr>
      <w:r w:rsidRPr="00C24241">
        <w:rPr>
          <w:rFonts w:ascii="Times New Roman" w:hAnsi="Times New Roman" w:cs="Times New Roman"/>
          <w:sz w:val="24"/>
          <w:szCs w:val="24"/>
        </w:rPr>
        <w:t xml:space="preserve">ECO, Umberto. </w:t>
      </w:r>
      <w:r w:rsidRPr="00C24241">
        <w:rPr>
          <w:rFonts w:ascii="Times New Roman" w:hAnsi="Times New Roman" w:cs="Times New Roman"/>
          <w:b/>
          <w:sz w:val="24"/>
          <w:szCs w:val="24"/>
        </w:rPr>
        <w:t>Tratado geral de semiótica</w:t>
      </w:r>
      <w:r w:rsidRPr="00C24241">
        <w:rPr>
          <w:rFonts w:ascii="Times New Roman" w:hAnsi="Times New Roman" w:cs="Times New Roman"/>
          <w:sz w:val="24"/>
          <w:szCs w:val="24"/>
        </w:rPr>
        <w:t>. São Paulo: Perspectiva, 2007.</w:t>
      </w:r>
    </w:p>
    <w:p w14:paraId="28BD8B67" w14:textId="77777777" w:rsidR="00B125DC" w:rsidRPr="00C24241" w:rsidRDefault="00B125DC" w:rsidP="00556853">
      <w:pPr>
        <w:spacing w:after="0" w:line="360" w:lineRule="auto"/>
        <w:contextualSpacing/>
        <w:rPr>
          <w:rFonts w:ascii="Times New Roman" w:hAnsi="Times New Roman" w:cs="Times New Roman"/>
          <w:sz w:val="24"/>
          <w:szCs w:val="24"/>
        </w:rPr>
      </w:pPr>
    </w:p>
    <w:p w14:paraId="0A99AF29" w14:textId="77777777" w:rsidR="00B125DC" w:rsidRPr="00B125DC" w:rsidRDefault="00B125DC" w:rsidP="00556853">
      <w:pPr>
        <w:spacing w:after="0" w:line="240" w:lineRule="auto"/>
        <w:contextualSpacing/>
        <w:rPr>
          <w:rFonts w:ascii="Times New Roman" w:hAnsi="Times New Roman" w:cs="Times New Roman"/>
          <w:sz w:val="24"/>
          <w:szCs w:val="24"/>
          <w:lang w:val="en-US"/>
        </w:rPr>
      </w:pPr>
      <w:r w:rsidRPr="00B125DC">
        <w:rPr>
          <w:rFonts w:ascii="Times New Roman" w:hAnsi="Times New Roman" w:cs="Times New Roman"/>
          <w:sz w:val="24"/>
          <w:szCs w:val="24"/>
          <w:lang w:val="en-US"/>
        </w:rPr>
        <w:t xml:space="preserve">GARFIELD, Eugene. The impact factor. </w:t>
      </w:r>
      <w:r w:rsidRPr="00B125DC">
        <w:rPr>
          <w:rFonts w:ascii="Times New Roman" w:hAnsi="Times New Roman" w:cs="Times New Roman"/>
          <w:b/>
          <w:sz w:val="24"/>
          <w:szCs w:val="24"/>
          <w:lang w:val="en-US"/>
        </w:rPr>
        <w:t>Current contentes</w:t>
      </w:r>
      <w:r w:rsidRPr="00B125DC">
        <w:rPr>
          <w:rFonts w:ascii="Times New Roman" w:hAnsi="Times New Roman" w:cs="Times New Roman"/>
          <w:sz w:val="24"/>
          <w:szCs w:val="24"/>
          <w:lang w:val="en-US"/>
        </w:rPr>
        <w:t>, n. 25, p. 3-8, 1994.</w:t>
      </w:r>
    </w:p>
    <w:p w14:paraId="44E168F9" w14:textId="77777777" w:rsidR="00B125DC" w:rsidRPr="00B125DC" w:rsidRDefault="00B125DC" w:rsidP="00556853">
      <w:pPr>
        <w:spacing w:after="0" w:line="360" w:lineRule="auto"/>
        <w:contextualSpacing/>
        <w:rPr>
          <w:rFonts w:ascii="Times New Roman" w:hAnsi="Times New Roman" w:cs="Times New Roman"/>
          <w:sz w:val="24"/>
          <w:szCs w:val="24"/>
          <w:lang w:val="en-US"/>
        </w:rPr>
      </w:pPr>
    </w:p>
    <w:p w14:paraId="1684F153" w14:textId="77777777" w:rsidR="00B125DC" w:rsidRPr="00C24241" w:rsidRDefault="00B125DC" w:rsidP="00556853">
      <w:pPr>
        <w:spacing w:after="0" w:line="240" w:lineRule="auto"/>
        <w:contextualSpacing/>
        <w:rPr>
          <w:rFonts w:ascii="Times New Roman" w:hAnsi="Times New Roman" w:cs="Times New Roman"/>
          <w:sz w:val="24"/>
          <w:szCs w:val="24"/>
        </w:rPr>
      </w:pPr>
      <w:r w:rsidRPr="00B125DC">
        <w:rPr>
          <w:rFonts w:ascii="Times New Roman" w:hAnsi="Times New Roman" w:cs="Times New Roman"/>
          <w:sz w:val="24"/>
          <w:szCs w:val="24"/>
          <w:lang w:val="en-US"/>
        </w:rPr>
        <w:t xml:space="preserve">GARVEY, William D. </w:t>
      </w:r>
      <w:r w:rsidRPr="00B125DC">
        <w:rPr>
          <w:rFonts w:ascii="Times New Roman" w:hAnsi="Times New Roman" w:cs="Times New Roman"/>
          <w:b/>
          <w:sz w:val="24"/>
          <w:szCs w:val="24"/>
          <w:lang w:val="en-US"/>
        </w:rPr>
        <w:t>Communication, the essence of science</w:t>
      </w:r>
      <w:r w:rsidRPr="00B125DC">
        <w:rPr>
          <w:rFonts w:ascii="Times New Roman" w:hAnsi="Times New Roman" w:cs="Times New Roman"/>
          <w:sz w:val="24"/>
          <w:szCs w:val="24"/>
          <w:lang w:val="en-US"/>
        </w:rPr>
        <w:t xml:space="preserve">: facilitating information exchange among librarians, scientists, engineers, and students. </w:t>
      </w:r>
      <w:r w:rsidRPr="00C24241">
        <w:rPr>
          <w:rFonts w:ascii="Times New Roman" w:hAnsi="Times New Roman" w:cs="Times New Roman"/>
          <w:sz w:val="24"/>
          <w:szCs w:val="24"/>
        </w:rPr>
        <w:t>Oxford; New York: Pergamon Press. 1979.</w:t>
      </w:r>
    </w:p>
    <w:p w14:paraId="052AC0F7" w14:textId="77777777" w:rsidR="00B125DC" w:rsidRPr="00C24241" w:rsidRDefault="00B125DC" w:rsidP="00556853">
      <w:pPr>
        <w:spacing w:after="0" w:line="360" w:lineRule="auto"/>
        <w:contextualSpacing/>
        <w:rPr>
          <w:rFonts w:ascii="Times New Roman" w:hAnsi="Times New Roman" w:cs="Times New Roman"/>
          <w:sz w:val="24"/>
          <w:szCs w:val="24"/>
        </w:rPr>
      </w:pPr>
    </w:p>
    <w:p w14:paraId="543985F7" w14:textId="77777777" w:rsidR="00B125DC" w:rsidRPr="00C24241" w:rsidRDefault="00B125DC" w:rsidP="00556853">
      <w:pPr>
        <w:shd w:val="clear" w:color="auto" w:fill="FFFFFF"/>
        <w:spacing w:after="0" w:line="240" w:lineRule="auto"/>
        <w:rPr>
          <w:rFonts w:ascii="Times New Roman" w:hAnsi="Times New Roman" w:cs="Times New Roman"/>
          <w:sz w:val="24"/>
          <w:szCs w:val="24"/>
        </w:rPr>
      </w:pPr>
      <w:r w:rsidRPr="00C24241">
        <w:rPr>
          <w:rFonts w:ascii="Times New Roman" w:hAnsi="Times New Roman" w:cs="Times New Roman"/>
          <w:sz w:val="24"/>
          <w:szCs w:val="24"/>
          <w:shd w:val="clear" w:color="auto" w:fill="FFFFFF"/>
        </w:rPr>
        <w:t xml:space="preserve">GONZÁLEZ  DE  GÓMEZ,  Maria  Nélida. </w:t>
      </w:r>
      <w:r w:rsidRPr="00C24241">
        <w:rPr>
          <w:rFonts w:ascii="Times New Roman" w:hAnsi="Times New Roman" w:cs="Times New Roman"/>
          <w:sz w:val="24"/>
          <w:szCs w:val="24"/>
        </w:rPr>
        <w:t xml:space="preserve">Metodologia  de  pesquisa  no  campo  da  Ciência  da  Informação. </w:t>
      </w:r>
      <w:r w:rsidRPr="00C24241">
        <w:rPr>
          <w:rFonts w:ascii="Times New Roman" w:hAnsi="Times New Roman" w:cs="Times New Roman"/>
          <w:b/>
          <w:sz w:val="24"/>
          <w:szCs w:val="24"/>
        </w:rPr>
        <w:t>DataGramaZero</w:t>
      </w:r>
      <w:r w:rsidRPr="00C24241">
        <w:rPr>
          <w:rFonts w:ascii="Times New Roman" w:hAnsi="Times New Roman" w:cs="Times New Roman"/>
          <w:sz w:val="24"/>
          <w:szCs w:val="24"/>
        </w:rPr>
        <w:t>: Revista de Ciência da Informação, v.1, n.6, dez 2000, Artigo 03. Disponível em: h</w:t>
      </w:r>
      <w:r w:rsidRPr="00C24241">
        <w:rPr>
          <w:rFonts w:ascii="Times New Roman" w:eastAsiaTheme="majorEastAsia" w:hAnsi="Times New Roman" w:cs="Times New Roman"/>
          <w:sz w:val="24"/>
          <w:szCs w:val="24"/>
        </w:rPr>
        <w:t>ttp://repositorio.ibict.br/bitstream/123456789/127/1/GomesDataGramaZero2000.pdf</w:t>
      </w:r>
      <w:r w:rsidRPr="00C24241">
        <w:rPr>
          <w:rFonts w:ascii="Times New Roman" w:hAnsi="Times New Roman" w:cs="Times New Roman"/>
          <w:sz w:val="24"/>
          <w:szCs w:val="24"/>
        </w:rPr>
        <w:t xml:space="preserve">. Acesso em: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3DD54473" w14:textId="77777777" w:rsidR="00B125DC" w:rsidRPr="00C24241" w:rsidRDefault="00B125DC" w:rsidP="00556853">
      <w:pPr>
        <w:shd w:val="clear" w:color="auto" w:fill="FFFFFF"/>
        <w:spacing w:after="0" w:line="360" w:lineRule="auto"/>
        <w:rPr>
          <w:rFonts w:ascii="Times New Roman" w:hAnsi="Times New Roman" w:cs="Times New Roman"/>
          <w:sz w:val="24"/>
          <w:szCs w:val="24"/>
        </w:rPr>
      </w:pPr>
    </w:p>
    <w:p w14:paraId="39AFC2F3"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shd w:val="clear" w:color="auto" w:fill="FFFFFF"/>
          <w:lang w:val="en-US"/>
        </w:rPr>
        <w:t>HJØRLAND, Birger; ALBRECHTSEN, Hanne. Toward a new horizon in information science: Domain‐analysis. </w:t>
      </w:r>
      <w:r w:rsidRPr="00C24241">
        <w:rPr>
          <w:rFonts w:ascii="Times New Roman" w:hAnsi="Times New Roman" w:cs="Times New Roman"/>
          <w:b/>
          <w:bCs/>
          <w:sz w:val="24"/>
          <w:szCs w:val="24"/>
          <w:shd w:val="clear" w:color="auto" w:fill="FFFFFF"/>
          <w:lang w:val="en-US"/>
        </w:rPr>
        <w:t>Journal of the American society for information science</w:t>
      </w:r>
      <w:r w:rsidRPr="00C24241">
        <w:rPr>
          <w:rFonts w:ascii="Times New Roman" w:hAnsi="Times New Roman" w:cs="Times New Roman"/>
          <w:sz w:val="24"/>
          <w:szCs w:val="24"/>
          <w:shd w:val="clear" w:color="auto" w:fill="FFFFFF"/>
          <w:lang w:val="en-US"/>
        </w:rPr>
        <w:t xml:space="preserve">, v. 46, n. 6, p. 400-425, 1995.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https://onlinelibrary.wiley.com/doi/10.1002/%28SICI%291097-4571%28199507%2946%3A6%3C400%3A%3AAID-ASI2%3E3.0.CO%3B2-Y</w:t>
      </w:r>
      <w:r w:rsidRPr="00C24241">
        <w:rPr>
          <w:rFonts w:ascii="Times New Roman" w:hAnsi="Times New Roman" w:cs="Times New Roman"/>
          <w:sz w:val="24"/>
          <w:szCs w:val="24"/>
        </w:rPr>
        <w:t>. Acesso em</w:t>
      </w:r>
      <w:r>
        <w:rPr>
          <w:rFonts w:ascii="Times New Roman" w:hAnsi="Times New Roman" w:cs="Times New Roman"/>
          <w:sz w:val="24"/>
          <w:szCs w:val="24"/>
        </w:rPr>
        <w:t>:</w:t>
      </w:r>
      <w:r w:rsidRPr="00C24241">
        <w:rPr>
          <w:rFonts w:ascii="Times New Roman" w:hAnsi="Times New Roman" w:cs="Times New Roman"/>
          <w:sz w:val="24"/>
          <w:szCs w:val="24"/>
        </w:rPr>
        <w:t xml:space="preserve">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26D6AF95" w14:textId="77777777" w:rsidR="00B125DC" w:rsidRPr="00C24241" w:rsidRDefault="00B125DC" w:rsidP="00556853">
      <w:pPr>
        <w:spacing w:after="0" w:line="360" w:lineRule="auto"/>
        <w:rPr>
          <w:rFonts w:ascii="Times New Roman" w:hAnsi="Times New Roman" w:cs="Times New Roman"/>
          <w:sz w:val="24"/>
          <w:szCs w:val="24"/>
          <w:shd w:val="clear" w:color="auto" w:fill="FFFFFF"/>
        </w:rPr>
      </w:pPr>
    </w:p>
    <w:p w14:paraId="151AAFAA"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KUHN, Thomas S. </w:t>
      </w:r>
      <w:r w:rsidRPr="00C24241">
        <w:rPr>
          <w:rFonts w:ascii="Times New Roman" w:hAnsi="Times New Roman" w:cs="Times New Roman"/>
          <w:b/>
          <w:sz w:val="24"/>
          <w:szCs w:val="24"/>
        </w:rPr>
        <w:t>A estrutura das revoluções científicas</w:t>
      </w:r>
      <w:r w:rsidRPr="00C24241">
        <w:rPr>
          <w:rFonts w:ascii="Times New Roman" w:hAnsi="Times New Roman" w:cs="Times New Roman"/>
          <w:sz w:val="24"/>
          <w:szCs w:val="24"/>
        </w:rPr>
        <w:t xml:space="preserve">. 12. ed. São Paulo: Perspectiva, 2013.  </w:t>
      </w:r>
    </w:p>
    <w:p w14:paraId="3BD1B9A4" w14:textId="77777777" w:rsidR="00B125DC" w:rsidRPr="00C24241" w:rsidRDefault="00B125DC" w:rsidP="00556853">
      <w:pPr>
        <w:spacing w:after="0" w:line="360" w:lineRule="auto"/>
        <w:rPr>
          <w:rFonts w:ascii="Times New Roman" w:hAnsi="Times New Roman" w:cs="Times New Roman"/>
          <w:sz w:val="24"/>
          <w:szCs w:val="24"/>
        </w:rPr>
      </w:pPr>
    </w:p>
    <w:p w14:paraId="77CB9AD9" w14:textId="77777777" w:rsidR="00B125DC" w:rsidRDefault="00B125DC" w:rsidP="00556853">
      <w:pPr>
        <w:spacing w:after="0" w:line="240" w:lineRule="auto"/>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t>MEADOWS, Arthur Jack. </w:t>
      </w:r>
      <w:r w:rsidRPr="00C24241">
        <w:rPr>
          <w:rFonts w:ascii="Times New Roman" w:hAnsi="Times New Roman" w:cs="Times New Roman"/>
          <w:b/>
          <w:iCs/>
          <w:sz w:val="24"/>
          <w:szCs w:val="24"/>
          <w:shd w:val="clear" w:color="auto" w:fill="FFFFFF"/>
        </w:rPr>
        <w:t>A comunicação científica</w:t>
      </w:r>
      <w:r w:rsidRPr="00C24241">
        <w:rPr>
          <w:rFonts w:ascii="Times New Roman" w:hAnsi="Times New Roman" w:cs="Times New Roman"/>
          <w:i/>
          <w:iCs/>
          <w:sz w:val="24"/>
          <w:szCs w:val="24"/>
          <w:shd w:val="clear" w:color="auto" w:fill="FFFFFF"/>
        </w:rPr>
        <w:t>.</w:t>
      </w:r>
      <w:r w:rsidRPr="00C24241">
        <w:rPr>
          <w:rFonts w:ascii="Times New Roman" w:hAnsi="Times New Roman" w:cs="Times New Roman"/>
          <w:sz w:val="24"/>
          <w:szCs w:val="24"/>
          <w:shd w:val="clear" w:color="auto" w:fill="FFFFFF"/>
        </w:rPr>
        <w:t> Brasília: Briquet de Lemos, 1999.</w:t>
      </w:r>
    </w:p>
    <w:p w14:paraId="5900619B" w14:textId="77777777" w:rsidR="00B125DC" w:rsidRPr="00C24241" w:rsidRDefault="00B125DC" w:rsidP="00556853">
      <w:pPr>
        <w:spacing w:after="0" w:line="360" w:lineRule="auto"/>
        <w:rPr>
          <w:rFonts w:ascii="Times New Roman" w:hAnsi="Times New Roman" w:cs="Times New Roman"/>
          <w:sz w:val="24"/>
          <w:szCs w:val="24"/>
        </w:rPr>
      </w:pPr>
    </w:p>
    <w:p w14:paraId="7EAD4B00" w14:textId="77777777" w:rsidR="00B125DC" w:rsidRPr="00C24241" w:rsidRDefault="00B125DC" w:rsidP="00556853">
      <w:pPr>
        <w:spacing w:after="0" w:line="240" w:lineRule="auto"/>
        <w:rPr>
          <w:rFonts w:ascii="Times New Roman" w:hAnsi="Times New Roman" w:cs="Times New Roman"/>
          <w:sz w:val="24"/>
          <w:szCs w:val="24"/>
          <w:lang w:val="en-US"/>
        </w:rPr>
      </w:pPr>
      <w:r w:rsidRPr="00C24241">
        <w:rPr>
          <w:rFonts w:ascii="Times New Roman" w:hAnsi="Times New Roman" w:cs="Times New Roman"/>
          <w:sz w:val="24"/>
          <w:szCs w:val="24"/>
        </w:rPr>
        <w:t xml:space="preserve">OLIVA, Alberto. O normal e o revolucionário na reprodução da racionalidade científica. In: PORTOCARRERO, V. (Org). </w:t>
      </w:r>
      <w:r w:rsidRPr="00C24241">
        <w:rPr>
          <w:rFonts w:ascii="Times New Roman" w:hAnsi="Times New Roman" w:cs="Times New Roman"/>
          <w:b/>
          <w:sz w:val="24"/>
          <w:szCs w:val="24"/>
        </w:rPr>
        <w:t>Filosofia, história e sociologia das ciências I</w:t>
      </w:r>
      <w:r w:rsidRPr="00C24241">
        <w:rPr>
          <w:rFonts w:ascii="Times New Roman" w:hAnsi="Times New Roman" w:cs="Times New Roman"/>
          <w:sz w:val="24"/>
          <w:szCs w:val="24"/>
        </w:rPr>
        <w:t xml:space="preserve">: abordagens contemporâneas. </w:t>
      </w:r>
      <w:r w:rsidRPr="00C24241">
        <w:rPr>
          <w:rFonts w:ascii="Times New Roman" w:hAnsi="Times New Roman" w:cs="Times New Roman"/>
          <w:sz w:val="24"/>
          <w:szCs w:val="24"/>
          <w:lang w:val="en-US"/>
        </w:rPr>
        <w:t>Rio de Janeiro: Editora FIOCRUZ, 1994.</w:t>
      </w:r>
    </w:p>
    <w:p w14:paraId="59233B14" w14:textId="77777777" w:rsidR="00B125DC" w:rsidRPr="00C24241" w:rsidRDefault="00B125DC" w:rsidP="00556853">
      <w:pPr>
        <w:spacing w:after="0" w:line="360" w:lineRule="auto"/>
        <w:rPr>
          <w:rFonts w:ascii="Times New Roman" w:hAnsi="Times New Roman" w:cs="Times New Roman"/>
          <w:sz w:val="24"/>
          <w:szCs w:val="24"/>
          <w:lang w:val="en-US"/>
        </w:rPr>
      </w:pPr>
    </w:p>
    <w:p w14:paraId="379E66AD" w14:textId="77777777" w:rsidR="00B125DC" w:rsidRPr="00C24241" w:rsidRDefault="00B125DC" w:rsidP="00556853">
      <w:pPr>
        <w:spacing w:after="0" w:line="240" w:lineRule="auto"/>
        <w:rPr>
          <w:rFonts w:ascii="Times New Roman" w:hAnsi="Times New Roman" w:cs="Times New Roman"/>
          <w:sz w:val="24"/>
          <w:szCs w:val="24"/>
          <w:lang w:val="en-GB"/>
        </w:rPr>
      </w:pPr>
      <w:r w:rsidRPr="00C24241">
        <w:rPr>
          <w:rFonts w:ascii="Times New Roman" w:hAnsi="Times New Roman" w:cs="Times New Roman"/>
          <w:sz w:val="24"/>
          <w:szCs w:val="24"/>
          <w:shd w:val="clear" w:color="auto" w:fill="FFFFFF"/>
          <w:lang w:val="en-GB"/>
        </w:rPr>
        <w:t xml:space="preserve">PEIRCE, Charles Sanders. </w:t>
      </w:r>
      <w:r w:rsidRPr="00C24241">
        <w:rPr>
          <w:rFonts w:ascii="Times New Roman" w:hAnsi="Times New Roman" w:cs="Times New Roman"/>
          <w:b/>
          <w:sz w:val="24"/>
          <w:szCs w:val="24"/>
          <w:lang w:val="en-GB"/>
        </w:rPr>
        <w:t>Collected papers of Charles Sanders Peirce</w:t>
      </w:r>
      <w:r w:rsidRPr="00C24241">
        <w:rPr>
          <w:rFonts w:ascii="Times New Roman" w:hAnsi="Times New Roman" w:cs="Times New Roman"/>
          <w:sz w:val="24"/>
          <w:szCs w:val="24"/>
          <w:lang w:val="en-GB"/>
        </w:rPr>
        <w:t>. Cambridge: Harvard University Press, 1994.</w:t>
      </w:r>
    </w:p>
    <w:p w14:paraId="52D5D0B7" w14:textId="77777777" w:rsidR="00B125DC" w:rsidRPr="00C24241" w:rsidRDefault="00B125DC" w:rsidP="00556853">
      <w:pPr>
        <w:spacing w:after="0" w:line="360" w:lineRule="auto"/>
        <w:rPr>
          <w:rFonts w:ascii="Times New Roman" w:hAnsi="Times New Roman" w:cs="Times New Roman"/>
          <w:sz w:val="24"/>
          <w:szCs w:val="24"/>
          <w:lang w:val="en-GB"/>
        </w:rPr>
      </w:pPr>
    </w:p>
    <w:p w14:paraId="6FB4DC76" w14:textId="77777777" w:rsidR="00B125DC" w:rsidRPr="00C24241" w:rsidRDefault="00B125DC" w:rsidP="00556853">
      <w:pPr>
        <w:pStyle w:val="NormalWeb"/>
        <w:spacing w:before="0" w:beforeAutospacing="0" w:after="0" w:afterAutospacing="0"/>
        <w:rPr>
          <w:shd w:val="clear" w:color="auto" w:fill="FFFFFF"/>
        </w:rPr>
      </w:pPr>
      <w:r w:rsidRPr="00C24241">
        <w:rPr>
          <w:shd w:val="clear" w:color="auto" w:fill="FFFFFF"/>
        </w:rPr>
        <w:lastRenderedPageBreak/>
        <w:t xml:space="preserve">PEREIRA, Durval Vieira ; </w:t>
      </w:r>
      <w:r w:rsidRPr="00C24241">
        <w:rPr>
          <w:rFonts w:eastAsiaTheme="majorEastAsia"/>
          <w:bCs/>
          <w:bdr w:val="none" w:sz="0" w:space="0" w:color="auto" w:frame="1"/>
        </w:rPr>
        <w:t>MARTINS, Sérgio Castro</w:t>
      </w:r>
      <w:r w:rsidRPr="00C24241">
        <w:rPr>
          <w:shd w:val="clear" w:color="auto" w:fill="FFFFFF"/>
        </w:rPr>
        <w:t xml:space="preserve">; MARCONDES, Carlos Henrique . A influência da semiótica de Pierce na produção científica brasileira em Ciência da Informação.. In: ENCUENTRO DE EDUCACIÓN E INVESTIGACIÓN EN CIENCIA DE LA INFORMACIÓN DE IBEROAMÉRICA Y EL CARIBE, 2017, Coimbra, Portugal. </w:t>
      </w:r>
      <w:r w:rsidRPr="00C24241">
        <w:rPr>
          <w:b/>
          <w:shd w:val="clear" w:color="auto" w:fill="FFFFFF"/>
        </w:rPr>
        <w:t>Atas do VIII Encontro Ibérico Edicic</w:t>
      </w:r>
      <w:r w:rsidRPr="00C24241">
        <w:rPr>
          <w:shd w:val="clear" w:color="auto" w:fill="FFFFFF"/>
        </w:rPr>
        <w:t>. Coimbra: Universidade de Coimbra, 2017.</w:t>
      </w:r>
    </w:p>
    <w:p w14:paraId="087A8EDC" w14:textId="77777777" w:rsidR="00B125DC" w:rsidRPr="00C24241" w:rsidRDefault="00B125DC" w:rsidP="00556853">
      <w:pPr>
        <w:pStyle w:val="NormalWeb"/>
        <w:spacing w:before="0" w:beforeAutospacing="0" w:after="0" w:afterAutospacing="0" w:line="360" w:lineRule="auto"/>
        <w:rPr>
          <w:shd w:val="clear" w:color="auto" w:fill="FFFFFF"/>
        </w:rPr>
      </w:pPr>
    </w:p>
    <w:p w14:paraId="60C7484A" w14:textId="77777777" w:rsidR="00B125DC" w:rsidRPr="00B125DC" w:rsidRDefault="00B125DC" w:rsidP="00556853">
      <w:pPr>
        <w:spacing w:after="0" w:line="240" w:lineRule="auto"/>
        <w:contextualSpacing/>
        <w:rPr>
          <w:rFonts w:ascii="Times New Roman" w:hAnsi="Times New Roman" w:cs="Times New Roman"/>
          <w:sz w:val="24"/>
          <w:szCs w:val="24"/>
          <w:shd w:val="clear" w:color="auto" w:fill="FFFFFF"/>
        </w:rPr>
      </w:pPr>
      <w:r w:rsidRPr="00782838">
        <w:rPr>
          <w:rFonts w:ascii="Times New Roman" w:hAnsi="Times New Roman" w:cs="Times New Roman"/>
          <w:sz w:val="24"/>
          <w:szCs w:val="24"/>
          <w:shd w:val="clear" w:color="auto" w:fill="FFFFFF"/>
        </w:rPr>
        <w:t xml:space="preserve">PIAGET, Jean. </w:t>
      </w:r>
      <w:r w:rsidRPr="00782838">
        <w:rPr>
          <w:rFonts w:ascii="Times New Roman" w:hAnsi="Times New Roman" w:cs="Times New Roman"/>
          <w:b/>
          <w:sz w:val="24"/>
          <w:szCs w:val="24"/>
          <w:shd w:val="clear" w:color="auto" w:fill="FFFFFF"/>
        </w:rPr>
        <w:t>A epistemologia genética</w:t>
      </w:r>
      <w:r w:rsidRPr="00782838">
        <w:rPr>
          <w:rFonts w:ascii="Times New Roman" w:hAnsi="Times New Roman" w:cs="Times New Roman"/>
          <w:sz w:val="24"/>
          <w:szCs w:val="24"/>
          <w:shd w:val="clear" w:color="auto" w:fill="FFFFFF"/>
        </w:rPr>
        <w:t xml:space="preserve">. </w:t>
      </w:r>
      <w:r w:rsidRPr="00B125DC">
        <w:rPr>
          <w:rFonts w:ascii="Times New Roman" w:hAnsi="Times New Roman" w:cs="Times New Roman"/>
          <w:sz w:val="24"/>
          <w:szCs w:val="24"/>
          <w:shd w:val="clear" w:color="auto" w:fill="FFFFFF"/>
        </w:rPr>
        <w:t>São Paulo: Abril Cultural, 1983.</w:t>
      </w:r>
    </w:p>
    <w:p w14:paraId="582D2BD4" w14:textId="77777777" w:rsidR="00B125DC" w:rsidRPr="00B125DC" w:rsidRDefault="00B125DC" w:rsidP="00556853">
      <w:pPr>
        <w:spacing w:after="0" w:line="360" w:lineRule="auto"/>
        <w:contextualSpacing/>
        <w:rPr>
          <w:rFonts w:ascii="Times New Roman" w:hAnsi="Times New Roman" w:cs="Times New Roman"/>
          <w:sz w:val="24"/>
          <w:szCs w:val="24"/>
          <w:shd w:val="clear" w:color="auto" w:fill="FFFFFF"/>
        </w:rPr>
      </w:pPr>
    </w:p>
    <w:p w14:paraId="57F741E6" w14:textId="77777777" w:rsidR="00B125DC" w:rsidRPr="00C24241" w:rsidRDefault="00B125DC" w:rsidP="00556853">
      <w:pPr>
        <w:autoSpaceDE w:val="0"/>
        <w:autoSpaceDN w:val="0"/>
        <w:adjustRightInd w:val="0"/>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PINTO, Júlio Semiótica e informação. </w:t>
      </w:r>
      <w:r w:rsidRPr="00C24241">
        <w:rPr>
          <w:rFonts w:ascii="Times New Roman" w:hAnsi="Times New Roman" w:cs="Times New Roman"/>
          <w:b/>
          <w:sz w:val="24"/>
          <w:szCs w:val="24"/>
        </w:rPr>
        <w:t>Perspectivas em Ciência da Informação</w:t>
      </w:r>
      <w:r w:rsidRPr="00C24241">
        <w:rPr>
          <w:rFonts w:ascii="Times New Roman" w:hAnsi="Times New Roman" w:cs="Times New Roman"/>
          <w:sz w:val="24"/>
          <w:szCs w:val="24"/>
        </w:rPr>
        <w:t xml:space="preserve">, v. 1, n. 1, p. 87-92, 1996. </w:t>
      </w:r>
      <w:r w:rsidRPr="00C24241">
        <w:rPr>
          <w:rFonts w:ascii="Times New Roman" w:hAnsi="Times New Roman" w:cs="Times New Roman"/>
          <w:sz w:val="24"/>
          <w:szCs w:val="24"/>
          <w:lang w:val="pt-PT"/>
        </w:rPr>
        <w:t xml:space="preserve">Disponível em: </w:t>
      </w:r>
      <w:r w:rsidRPr="00C24241">
        <w:rPr>
          <w:rFonts w:ascii="Times New Roman" w:eastAsiaTheme="majorEastAsia" w:hAnsi="Times New Roman" w:cs="Times New Roman"/>
          <w:sz w:val="24"/>
          <w:szCs w:val="24"/>
        </w:rPr>
        <w:t>http://portaldeperiodicos.eci.ufmg.br/index.php/pci/article/view/242</w:t>
      </w:r>
      <w:r w:rsidRPr="00C24241">
        <w:rPr>
          <w:rFonts w:ascii="Times New Roman" w:hAnsi="Times New Roman" w:cs="Times New Roman"/>
          <w:sz w:val="24"/>
          <w:szCs w:val="24"/>
        </w:rPr>
        <w:t>. Acesso em</w:t>
      </w:r>
      <w:r>
        <w:rPr>
          <w:rFonts w:ascii="Times New Roman" w:hAnsi="Times New Roman" w:cs="Times New Roman"/>
          <w:sz w:val="24"/>
          <w:szCs w:val="24"/>
        </w:rPr>
        <w:t>:</w:t>
      </w:r>
      <w:r w:rsidRPr="00C24241">
        <w:rPr>
          <w:rFonts w:ascii="Times New Roman" w:hAnsi="Times New Roman" w:cs="Times New Roman"/>
          <w:sz w:val="24"/>
          <w:szCs w:val="24"/>
        </w:rPr>
        <w:t xml:space="preserve">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43A8053F" w14:textId="77777777" w:rsidR="00B125DC" w:rsidRPr="00C24241" w:rsidRDefault="00B125DC" w:rsidP="00556853">
      <w:pPr>
        <w:autoSpaceDE w:val="0"/>
        <w:autoSpaceDN w:val="0"/>
        <w:adjustRightInd w:val="0"/>
        <w:spacing w:after="0" w:line="360" w:lineRule="auto"/>
        <w:rPr>
          <w:rFonts w:ascii="Times New Roman" w:hAnsi="Times New Roman" w:cs="Times New Roman"/>
          <w:sz w:val="24"/>
          <w:szCs w:val="24"/>
        </w:rPr>
      </w:pPr>
    </w:p>
    <w:p w14:paraId="1FDE22EC"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SANTAELLA, Lúcia; VIEIRA, Jorge Albuqerque. </w:t>
      </w:r>
      <w:r w:rsidRPr="00C24241">
        <w:rPr>
          <w:rFonts w:ascii="Times New Roman" w:hAnsi="Times New Roman" w:cs="Times New Roman"/>
          <w:b/>
          <w:bCs/>
          <w:sz w:val="24"/>
          <w:szCs w:val="24"/>
        </w:rPr>
        <w:t>Metaciência</w:t>
      </w:r>
      <w:r w:rsidRPr="00C24241">
        <w:rPr>
          <w:rFonts w:ascii="Times New Roman" w:hAnsi="Times New Roman" w:cs="Times New Roman"/>
          <w:sz w:val="24"/>
          <w:szCs w:val="24"/>
        </w:rPr>
        <w:t>: como guia da pesquisa. São Paulo: Mérito, 2008.</w:t>
      </w:r>
    </w:p>
    <w:p w14:paraId="27EE73D4" w14:textId="77777777" w:rsidR="00B125DC" w:rsidRPr="00C24241" w:rsidRDefault="00B125DC" w:rsidP="00556853">
      <w:pPr>
        <w:spacing w:after="0" w:line="360" w:lineRule="auto"/>
        <w:rPr>
          <w:rFonts w:ascii="Times New Roman" w:hAnsi="Times New Roman" w:cs="Times New Roman"/>
          <w:sz w:val="24"/>
          <w:szCs w:val="24"/>
        </w:rPr>
      </w:pPr>
    </w:p>
    <w:p w14:paraId="01DE596C"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rPr>
        <w:t xml:space="preserve">SARACEVIC, Tefko. Interdisciplinary nature of information science. </w:t>
      </w:r>
      <w:r w:rsidRPr="00C24241">
        <w:rPr>
          <w:rFonts w:ascii="Times New Roman" w:hAnsi="Times New Roman" w:cs="Times New Roman"/>
          <w:b/>
          <w:sz w:val="24"/>
          <w:szCs w:val="24"/>
        </w:rPr>
        <w:t>Ciência da informação</w:t>
      </w:r>
      <w:r w:rsidRPr="00C24241">
        <w:rPr>
          <w:rFonts w:ascii="Times New Roman" w:hAnsi="Times New Roman" w:cs="Times New Roman"/>
          <w:sz w:val="24"/>
          <w:szCs w:val="24"/>
        </w:rPr>
        <w:t xml:space="preserve">, v. 24, n. 1, p. 36-41, 1995. Disponível em: https://pdfs.semanticscholar.org/34a6/f583e2e23c8fddda7b9ba9bf6d7b01c09697.pdf. Acesso em: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4A1929B3" w14:textId="77777777" w:rsidR="00B125DC" w:rsidRPr="00C24241" w:rsidRDefault="00B125DC" w:rsidP="00556853">
      <w:pPr>
        <w:spacing w:after="0" w:line="360" w:lineRule="auto"/>
        <w:rPr>
          <w:rFonts w:ascii="Times New Roman" w:hAnsi="Times New Roman" w:cs="Times New Roman"/>
          <w:sz w:val="24"/>
          <w:szCs w:val="24"/>
        </w:rPr>
      </w:pPr>
    </w:p>
    <w:p w14:paraId="42618AFA" w14:textId="77777777" w:rsidR="00B125DC" w:rsidRPr="00C24241" w:rsidRDefault="00B125DC" w:rsidP="00556853">
      <w:pPr>
        <w:spacing w:after="0" w:line="240" w:lineRule="auto"/>
        <w:rPr>
          <w:rFonts w:ascii="Times New Roman" w:hAnsi="Times New Roman" w:cs="Times New Roman"/>
          <w:sz w:val="24"/>
          <w:szCs w:val="24"/>
        </w:rPr>
      </w:pPr>
      <w:r w:rsidRPr="00C24241">
        <w:rPr>
          <w:rFonts w:ascii="Times New Roman" w:hAnsi="Times New Roman" w:cs="Times New Roman"/>
          <w:sz w:val="24"/>
          <w:szCs w:val="24"/>
          <w:lang w:val="en-US"/>
        </w:rPr>
        <w:t>SARACEVIC, Tefko. Relevance: A Review of the Literature and a Framework for Thinking on the Notion in Information Science. Part II: Nature and Manifestations of Relevance</w:t>
      </w:r>
      <w:r w:rsidRPr="00C24241">
        <w:rPr>
          <w:rFonts w:ascii="Times New Roman" w:hAnsi="Times New Roman" w:cs="Times New Roman"/>
          <w:b/>
          <w:i/>
          <w:sz w:val="24"/>
          <w:szCs w:val="24"/>
          <w:lang w:val="en-US"/>
        </w:rPr>
        <w:t xml:space="preserve">. </w:t>
      </w:r>
      <w:r w:rsidRPr="00556853">
        <w:rPr>
          <w:rFonts w:ascii="Times New Roman" w:hAnsi="Times New Roman" w:cs="Times New Roman"/>
          <w:b/>
          <w:iCs/>
          <w:sz w:val="24"/>
          <w:szCs w:val="24"/>
          <w:lang w:val="en-US"/>
        </w:rPr>
        <w:t>Journal of the American Society for Information Science and Technology</w:t>
      </w:r>
      <w:r w:rsidRPr="00C24241">
        <w:rPr>
          <w:rFonts w:ascii="Times New Roman" w:hAnsi="Times New Roman" w:cs="Times New Roman"/>
          <w:sz w:val="24"/>
          <w:szCs w:val="24"/>
          <w:lang w:val="en-US"/>
        </w:rPr>
        <w:t xml:space="preserve">, v. 58, n. 13, p. 1915–1933, 2007. </w:t>
      </w:r>
      <w:r w:rsidRPr="00C24241">
        <w:rPr>
          <w:rFonts w:ascii="Times New Roman" w:hAnsi="Times New Roman" w:cs="Times New Roman"/>
          <w:sz w:val="24"/>
          <w:szCs w:val="24"/>
        </w:rPr>
        <w:t xml:space="preserve">Disponível em: https://tefkos.comminfo.rutgers.edu/Saracevic%20relevance%20pt%20III%20JASIST%20%2707.pdf. Acesso em: </w:t>
      </w:r>
      <w:r>
        <w:rPr>
          <w:rFonts w:ascii="Times New Roman" w:hAnsi="Times New Roman" w:cs="Times New Roman"/>
          <w:sz w:val="24"/>
          <w:szCs w:val="24"/>
        </w:rPr>
        <w:t>19 set. 2023</w:t>
      </w:r>
      <w:r w:rsidRPr="00C24241">
        <w:rPr>
          <w:rFonts w:ascii="Times New Roman" w:hAnsi="Times New Roman" w:cs="Times New Roman"/>
          <w:sz w:val="24"/>
          <w:szCs w:val="24"/>
        </w:rPr>
        <w:t>.</w:t>
      </w:r>
    </w:p>
    <w:p w14:paraId="331D6639" w14:textId="77777777" w:rsidR="00B125DC" w:rsidRPr="00C24241" w:rsidRDefault="00B125DC" w:rsidP="00556853">
      <w:pPr>
        <w:spacing w:after="0" w:line="360" w:lineRule="auto"/>
        <w:rPr>
          <w:rFonts w:ascii="Times New Roman" w:hAnsi="Times New Roman" w:cs="Times New Roman"/>
          <w:sz w:val="24"/>
          <w:szCs w:val="24"/>
        </w:rPr>
      </w:pPr>
    </w:p>
    <w:p w14:paraId="09E7648A" w14:textId="77777777" w:rsidR="00B125DC" w:rsidRPr="00C24241" w:rsidRDefault="00B125DC" w:rsidP="00556853">
      <w:pPr>
        <w:spacing w:after="0" w:line="240" w:lineRule="auto"/>
        <w:contextualSpacing/>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lang w:val="en-US"/>
        </w:rPr>
        <w:t xml:space="preserve">SHANNON, Claude E. A mathematical theory of communication. </w:t>
      </w:r>
      <w:r w:rsidRPr="00C24241">
        <w:rPr>
          <w:rFonts w:ascii="Times New Roman" w:hAnsi="Times New Roman" w:cs="Times New Roman"/>
          <w:b/>
          <w:sz w:val="24"/>
          <w:szCs w:val="24"/>
          <w:shd w:val="clear" w:color="auto" w:fill="FFFFFF"/>
          <w:lang w:val="en-US"/>
        </w:rPr>
        <w:t>Bell system Technical Journal</w:t>
      </w:r>
      <w:r w:rsidRPr="00C24241">
        <w:rPr>
          <w:rFonts w:ascii="Times New Roman" w:hAnsi="Times New Roman" w:cs="Times New Roman"/>
          <w:sz w:val="24"/>
          <w:szCs w:val="24"/>
          <w:shd w:val="clear" w:color="auto" w:fill="FFFFFF"/>
          <w:lang w:val="en-US"/>
        </w:rPr>
        <w:t xml:space="preserve">, v. 27, p. 379-423 e 623-656, Jul./Oct, 1948. </w:t>
      </w:r>
      <w:r w:rsidRPr="00C24241">
        <w:rPr>
          <w:rFonts w:ascii="Times New Roman" w:hAnsi="Times New Roman" w:cs="Times New Roman"/>
          <w:sz w:val="24"/>
          <w:szCs w:val="24"/>
          <w:shd w:val="clear" w:color="auto" w:fill="FFFFFF"/>
        </w:rPr>
        <w:t xml:space="preserve">Disponível em: http://worrydream.com/refs/Shannon%20-%20A%20Mathematical%20Theory%20of% 20Communication.pdf. Acesso em: </w:t>
      </w:r>
      <w:r>
        <w:rPr>
          <w:rFonts w:ascii="Times New Roman" w:hAnsi="Times New Roman" w:cs="Times New Roman"/>
          <w:sz w:val="24"/>
          <w:szCs w:val="24"/>
        </w:rPr>
        <w:t>19 set. 2023</w:t>
      </w:r>
      <w:r w:rsidRPr="00C24241">
        <w:rPr>
          <w:rFonts w:ascii="Times New Roman" w:hAnsi="Times New Roman" w:cs="Times New Roman"/>
          <w:sz w:val="24"/>
          <w:szCs w:val="24"/>
          <w:shd w:val="clear" w:color="auto" w:fill="FFFFFF"/>
        </w:rPr>
        <w:t>.</w:t>
      </w:r>
    </w:p>
    <w:p w14:paraId="0D08AEB8" w14:textId="77777777" w:rsidR="00B125DC" w:rsidRPr="00C24241" w:rsidRDefault="00B125DC" w:rsidP="00556853">
      <w:pPr>
        <w:spacing w:after="0" w:line="360" w:lineRule="auto"/>
        <w:contextualSpacing/>
        <w:rPr>
          <w:rFonts w:ascii="Times New Roman" w:hAnsi="Times New Roman" w:cs="Times New Roman"/>
          <w:sz w:val="24"/>
          <w:szCs w:val="24"/>
          <w:shd w:val="clear" w:color="auto" w:fill="FFFFFF"/>
        </w:rPr>
      </w:pPr>
    </w:p>
    <w:p w14:paraId="21237F3E" w14:textId="77777777" w:rsidR="00B125DC" w:rsidRPr="00C24241" w:rsidRDefault="00B125DC" w:rsidP="00556853">
      <w:pPr>
        <w:spacing w:after="0" w:line="240" w:lineRule="auto"/>
        <w:contextualSpacing/>
        <w:rPr>
          <w:rFonts w:ascii="Times New Roman" w:hAnsi="Times New Roman" w:cs="Times New Roman"/>
          <w:sz w:val="24"/>
          <w:szCs w:val="24"/>
        </w:rPr>
      </w:pPr>
      <w:r w:rsidRPr="00C24241">
        <w:rPr>
          <w:rFonts w:ascii="Times New Roman" w:hAnsi="Times New Roman" w:cs="Times New Roman"/>
          <w:sz w:val="24"/>
          <w:szCs w:val="24"/>
          <w:shd w:val="clear" w:color="auto" w:fill="FFFFFF"/>
          <w:lang w:val="en-US"/>
        </w:rPr>
        <w:t xml:space="preserve">SHERA, Jesse. </w:t>
      </w:r>
      <w:r w:rsidRPr="00B125DC">
        <w:rPr>
          <w:rFonts w:ascii="Times New Roman" w:hAnsi="Times New Roman" w:cs="Times New Roman"/>
          <w:sz w:val="24"/>
          <w:szCs w:val="24"/>
          <w:lang w:val="en-US"/>
        </w:rPr>
        <w:t xml:space="preserve">Social Epistemology, general semantics and librarianship. </w:t>
      </w:r>
      <w:r w:rsidRPr="00C24241">
        <w:rPr>
          <w:rFonts w:ascii="Times New Roman" w:hAnsi="Times New Roman" w:cs="Times New Roman"/>
          <w:b/>
          <w:sz w:val="24"/>
          <w:szCs w:val="24"/>
        </w:rPr>
        <w:t>Wilson Library Bulletin</w:t>
      </w:r>
      <w:r w:rsidRPr="00C24241">
        <w:rPr>
          <w:rFonts w:ascii="Times New Roman" w:hAnsi="Times New Roman" w:cs="Times New Roman"/>
          <w:sz w:val="24"/>
          <w:szCs w:val="24"/>
        </w:rPr>
        <w:t>, v. 35, n. 10, p. 767-770, 1961.</w:t>
      </w:r>
    </w:p>
    <w:p w14:paraId="69D5426A" w14:textId="77777777" w:rsidR="00B125DC" w:rsidRPr="00C24241" w:rsidRDefault="00B125DC" w:rsidP="00556853">
      <w:pPr>
        <w:spacing w:after="0" w:line="360" w:lineRule="auto"/>
        <w:contextualSpacing/>
        <w:rPr>
          <w:rFonts w:ascii="Times New Roman" w:hAnsi="Times New Roman" w:cs="Times New Roman"/>
          <w:sz w:val="24"/>
          <w:szCs w:val="24"/>
        </w:rPr>
      </w:pPr>
    </w:p>
    <w:p w14:paraId="3561D4FE" w14:textId="77777777" w:rsidR="00B125DC" w:rsidRPr="00B125DC" w:rsidRDefault="00B125DC" w:rsidP="00556853">
      <w:pPr>
        <w:autoSpaceDE w:val="0"/>
        <w:autoSpaceDN w:val="0"/>
        <w:adjustRightInd w:val="0"/>
        <w:spacing w:after="0" w:line="240" w:lineRule="auto"/>
        <w:contextualSpacing/>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rPr>
        <w:t xml:space="preserve">TODOROV, Tzvetan. Perspectivas semiológicas. In. SEMIOLOGIA e linguística. </w:t>
      </w:r>
      <w:r w:rsidRPr="00B125DC">
        <w:rPr>
          <w:rFonts w:ascii="Times New Roman" w:hAnsi="Times New Roman" w:cs="Times New Roman"/>
          <w:sz w:val="24"/>
          <w:szCs w:val="24"/>
          <w:shd w:val="clear" w:color="auto" w:fill="FFFFFF"/>
        </w:rPr>
        <w:t>2. Ed. Petropolis: Vozes, 1972.</w:t>
      </w:r>
    </w:p>
    <w:p w14:paraId="0534F11D" w14:textId="77777777" w:rsidR="00B125DC" w:rsidRPr="00B125DC" w:rsidRDefault="00B125DC" w:rsidP="00556853">
      <w:pPr>
        <w:autoSpaceDE w:val="0"/>
        <w:autoSpaceDN w:val="0"/>
        <w:adjustRightInd w:val="0"/>
        <w:spacing w:after="0" w:line="360" w:lineRule="auto"/>
        <w:contextualSpacing/>
        <w:rPr>
          <w:rFonts w:ascii="Times New Roman" w:hAnsi="Times New Roman" w:cs="Times New Roman"/>
          <w:sz w:val="24"/>
          <w:szCs w:val="24"/>
          <w:shd w:val="clear" w:color="auto" w:fill="FFFFFF"/>
        </w:rPr>
      </w:pPr>
    </w:p>
    <w:p w14:paraId="5B129B08" w14:textId="77777777" w:rsidR="00B125DC" w:rsidRPr="00B125DC" w:rsidRDefault="00B125DC" w:rsidP="00556853">
      <w:pPr>
        <w:autoSpaceDE w:val="0"/>
        <w:autoSpaceDN w:val="0"/>
        <w:adjustRightInd w:val="0"/>
        <w:spacing w:after="0" w:line="240" w:lineRule="auto"/>
        <w:contextualSpacing/>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lang w:val="en-GB"/>
        </w:rPr>
        <w:t xml:space="preserve">UNISIST. </w:t>
      </w:r>
      <w:r w:rsidRPr="00C24241">
        <w:rPr>
          <w:rFonts w:ascii="Times New Roman" w:hAnsi="Times New Roman" w:cs="Times New Roman"/>
          <w:b/>
          <w:sz w:val="24"/>
          <w:szCs w:val="24"/>
          <w:shd w:val="clear" w:color="auto" w:fill="FFFFFF"/>
          <w:lang w:val="en-GB"/>
        </w:rPr>
        <w:t>Study report on the feseability of a World Science Information System</w:t>
      </w:r>
      <w:r w:rsidRPr="00C24241">
        <w:rPr>
          <w:rFonts w:ascii="Times New Roman" w:hAnsi="Times New Roman" w:cs="Times New Roman"/>
          <w:sz w:val="24"/>
          <w:szCs w:val="24"/>
          <w:shd w:val="clear" w:color="auto" w:fill="FFFFFF"/>
          <w:lang w:val="en-GB"/>
        </w:rPr>
        <w:t xml:space="preserve">. </w:t>
      </w:r>
      <w:r w:rsidRPr="00C24241">
        <w:rPr>
          <w:rFonts w:ascii="Times New Roman" w:hAnsi="Times New Roman" w:cs="Times New Roman"/>
          <w:sz w:val="24"/>
          <w:szCs w:val="24"/>
          <w:shd w:val="clear" w:color="auto" w:fill="FFFFFF"/>
        </w:rPr>
        <w:t xml:space="preserve">Paris: UNESCO, 1971. Disponível em: https://unesdoc.unesco.org/in/rest/annotationSVC/DownloadWatermarkedAttachment/attach_import_1b8b87da-b6a3-4a7d-9fea-8b88c73c8097?_=064862engo.pdf. </w:t>
      </w:r>
      <w:r w:rsidRPr="00B125DC">
        <w:rPr>
          <w:rFonts w:ascii="Times New Roman" w:hAnsi="Times New Roman" w:cs="Times New Roman"/>
          <w:sz w:val="24"/>
          <w:szCs w:val="24"/>
          <w:shd w:val="clear" w:color="auto" w:fill="FFFFFF"/>
        </w:rPr>
        <w:t xml:space="preserve">Acesso em: </w:t>
      </w:r>
      <w:r>
        <w:rPr>
          <w:rFonts w:ascii="Times New Roman" w:hAnsi="Times New Roman" w:cs="Times New Roman"/>
          <w:sz w:val="24"/>
          <w:szCs w:val="24"/>
        </w:rPr>
        <w:t>19 set. 2023</w:t>
      </w:r>
      <w:r w:rsidRPr="00B125DC">
        <w:rPr>
          <w:rFonts w:ascii="Times New Roman" w:hAnsi="Times New Roman" w:cs="Times New Roman"/>
          <w:sz w:val="24"/>
          <w:szCs w:val="24"/>
          <w:shd w:val="clear" w:color="auto" w:fill="FFFFFF"/>
        </w:rPr>
        <w:t xml:space="preserve">. </w:t>
      </w:r>
    </w:p>
    <w:p w14:paraId="73D27644" w14:textId="77777777" w:rsidR="00B125DC" w:rsidRPr="00B125DC" w:rsidRDefault="00B125DC" w:rsidP="00556853">
      <w:pPr>
        <w:autoSpaceDE w:val="0"/>
        <w:autoSpaceDN w:val="0"/>
        <w:adjustRightInd w:val="0"/>
        <w:spacing w:after="0" w:line="360" w:lineRule="auto"/>
        <w:contextualSpacing/>
        <w:rPr>
          <w:rFonts w:ascii="Times New Roman" w:hAnsi="Times New Roman" w:cs="Times New Roman"/>
          <w:sz w:val="24"/>
          <w:szCs w:val="24"/>
          <w:shd w:val="clear" w:color="auto" w:fill="FFFFFF"/>
        </w:rPr>
      </w:pPr>
    </w:p>
    <w:p w14:paraId="6C101246" w14:textId="77777777" w:rsidR="00B125DC" w:rsidRPr="00C24241" w:rsidRDefault="00B125DC" w:rsidP="00556853">
      <w:pPr>
        <w:pStyle w:val="TextoXVIIIENANCIB"/>
        <w:jc w:val="left"/>
        <w:rPr>
          <w:rFonts w:ascii="Times New Roman" w:hAnsi="Times New Roman" w:cs="Times New Roman"/>
          <w:szCs w:val="24"/>
        </w:rPr>
      </w:pPr>
      <w:r w:rsidRPr="00C24241">
        <w:rPr>
          <w:rFonts w:ascii="Times New Roman" w:hAnsi="Times New Roman" w:cs="Times New Roman"/>
          <w:szCs w:val="24"/>
          <w:lang w:val="en-US"/>
        </w:rPr>
        <w:lastRenderedPageBreak/>
        <w:t xml:space="preserve">WERSIG, Gernot. Information Science: the study of postmodern knowledge usage. </w:t>
      </w:r>
      <w:r w:rsidRPr="00C24241">
        <w:rPr>
          <w:rFonts w:ascii="Times New Roman" w:hAnsi="Times New Roman" w:cs="Times New Roman"/>
          <w:b/>
          <w:szCs w:val="24"/>
        </w:rPr>
        <w:t>Information Processing &amp; Management</w:t>
      </w:r>
      <w:r w:rsidRPr="00C24241">
        <w:rPr>
          <w:rFonts w:ascii="Times New Roman" w:hAnsi="Times New Roman" w:cs="Times New Roman"/>
          <w:szCs w:val="24"/>
        </w:rPr>
        <w:t xml:space="preserve">, v. 29, n. 2, p. 229-239, 1993; Disponível em: </w:t>
      </w:r>
      <w:r w:rsidRPr="00C24241">
        <w:rPr>
          <w:rFonts w:ascii="Times New Roman" w:eastAsiaTheme="majorEastAsia" w:hAnsi="Times New Roman" w:cs="Times New Roman"/>
          <w:szCs w:val="24"/>
        </w:rPr>
        <w:t>https://doi.org/10.1016/0306-4573(93)90006-Y</w:t>
      </w:r>
      <w:r w:rsidRPr="00C24241">
        <w:rPr>
          <w:rFonts w:ascii="Times New Roman" w:hAnsi="Times New Roman" w:cs="Times New Roman"/>
          <w:szCs w:val="24"/>
        </w:rPr>
        <w:t>. Acesso em</w:t>
      </w:r>
      <w:r>
        <w:rPr>
          <w:rFonts w:ascii="Times New Roman" w:hAnsi="Times New Roman" w:cs="Times New Roman"/>
          <w:szCs w:val="24"/>
        </w:rPr>
        <w:t>:</w:t>
      </w:r>
      <w:r w:rsidRPr="00C24241">
        <w:rPr>
          <w:rFonts w:ascii="Times New Roman" w:hAnsi="Times New Roman" w:cs="Times New Roman"/>
          <w:szCs w:val="24"/>
        </w:rPr>
        <w:t xml:space="preserve"> </w:t>
      </w:r>
      <w:r>
        <w:rPr>
          <w:rFonts w:ascii="Times New Roman" w:hAnsi="Times New Roman" w:cs="Times New Roman"/>
          <w:szCs w:val="24"/>
        </w:rPr>
        <w:t>19 set. 2023</w:t>
      </w:r>
      <w:r w:rsidRPr="00C24241">
        <w:rPr>
          <w:rFonts w:ascii="Times New Roman" w:hAnsi="Times New Roman" w:cs="Times New Roman"/>
          <w:szCs w:val="24"/>
        </w:rPr>
        <w:t>.</w:t>
      </w:r>
    </w:p>
    <w:p w14:paraId="3F9A0622" w14:textId="77777777" w:rsidR="00B125DC" w:rsidRPr="00C24241" w:rsidRDefault="00B125DC" w:rsidP="00556853">
      <w:pPr>
        <w:pStyle w:val="TextoXVIIIENANCIB"/>
        <w:spacing w:line="360" w:lineRule="auto"/>
        <w:jc w:val="left"/>
        <w:rPr>
          <w:rFonts w:ascii="Times New Roman" w:hAnsi="Times New Roman" w:cs="Times New Roman"/>
          <w:szCs w:val="24"/>
        </w:rPr>
      </w:pPr>
    </w:p>
    <w:p w14:paraId="12EA2630" w14:textId="77777777" w:rsidR="00B125DC" w:rsidRPr="00C24241" w:rsidRDefault="00B125DC" w:rsidP="00556853">
      <w:pPr>
        <w:spacing w:after="0" w:line="240" w:lineRule="auto"/>
        <w:contextualSpacing/>
        <w:rPr>
          <w:rFonts w:ascii="Times New Roman" w:hAnsi="Times New Roman" w:cs="Times New Roman"/>
          <w:sz w:val="24"/>
          <w:szCs w:val="24"/>
          <w:shd w:val="clear" w:color="auto" w:fill="FFFFFF"/>
        </w:rPr>
      </w:pPr>
      <w:r w:rsidRPr="00C24241">
        <w:rPr>
          <w:rFonts w:ascii="Times New Roman" w:hAnsi="Times New Roman" w:cs="Times New Roman"/>
          <w:sz w:val="24"/>
          <w:szCs w:val="24"/>
          <w:shd w:val="clear" w:color="auto" w:fill="FFFFFF"/>
          <w:lang w:val="en-US"/>
        </w:rPr>
        <w:t xml:space="preserve">WIENER, Norbert. </w:t>
      </w:r>
      <w:r w:rsidRPr="00C24241">
        <w:rPr>
          <w:rFonts w:ascii="Times New Roman" w:hAnsi="Times New Roman" w:cs="Times New Roman"/>
          <w:b/>
          <w:sz w:val="24"/>
          <w:szCs w:val="24"/>
          <w:shd w:val="clear" w:color="auto" w:fill="FFFFFF"/>
          <w:lang w:val="en-US"/>
        </w:rPr>
        <w:t>Cybernetcis</w:t>
      </w:r>
      <w:r w:rsidRPr="00C24241">
        <w:rPr>
          <w:rFonts w:ascii="Times New Roman" w:hAnsi="Times New Roman" w:cs="Times New Roman"/>
          <w:sz w:val="24"/>
          <w:szCs w:val="24"/>
          <w:shd w:val="clear" w:color="auto" w:fill="FFFFFF"/>
          <w:lang w:val="en-US"/>
        </w:rPr>
        <w:t xml:space="preserve">: or the control and communication in the animal and the machine. </w:t>
      </w:r>
      <w:r w:rsidRPr="00863B19">
        <w:rPr>
          <w:rFonts w:ascii="Times New Roman" w:hAnsi="Times New Roman" w:cs="Times New Roman"/>
          <w:sz w:val="24"/>
          <w:szCs w:val="24"/>
          <w:shd w:val="clear" w:color="auto" w:fill="FFFFFF"/>
        </w:rPr>
        <w:t xml:space="preserve">Massachusetts: Institute of Tchnology, 1948. Disponível em: http://www.allen-riley.com/utopia/cybernetics.pdf. </w:t>
      </w:r>
      <w:r w:rsidRPr="00C24241">
        <w:rPr>
          <w:rFonts w:ascii="Times New Roman" w:hAnsi="Times New Roman" w:cs="Times New Roman"/>
          <w:sz w:val="24"/>
          <w:szCs w:val="24"/>
          <w:shd w:val="clear" w:color="auto" w:fill="FFFFFF"/>
        </w:rPr>
        <w:t xml:space="preserve">Acesso em: </w:t>
      </w:r>
      <w:r>
        <w:rPr>
          <w:rFonts w:ascii="Times New Roman" w:hAnsi="Times New Roman" w:cs="Times New Roman"/>
          <w:sz w:val="24"/>
          <w:szCs w:val="24"/>
        </w:rPr>
        <w:t>19 set. 2023</w:t>
      </w:r>
      <w:r w:rsidRPr="00C24241">
        <w:rPr>
          <w:rFonts w:ascii="Times New Roman" w:hAnsi="Times New Roman" w:cs="Times New Roman"/>
          <w:sz w:val="24"/>
          <w:szCs w:val="24"/>
          <w:shd w:val="clear" w:color="auto" w:fill="FFFFFF"/>
        </w:rPr>
        <w:t>.</w:t>
      </w:r>
    </w:p>
    <w:p w14:paraId="3BC7BF21" w14:textId="77777777" w:rsidR="00B125DC" w:rsidRPr="00C24241" w:rsidRDefault="00B125DC" w:rsidP="00556853">
      <w:pPr>
        <w:spacing w:after="0" w:line="240" w:lineRule="auto"/>
        <w:rPr>
          <w:rFonts w:ascii="Times New Roman" w:hAnsi="Times New Roman" w:cs="Times New Roman"/>
        </w:rPr>
      </w:pPr>
    </w:p>
    <w:p w14:paraId="013D1FD2" w14:textId="66D453C9" w:rsidR="00B125DC" w:rsidRDefault="00B125DC">
      <w:pPr>
        <w:rPr>
          <w:rFonts w:ascii="Times New Roman" w:hAnsi="Times New Roman" w:cs="Times New Roman"/>
          <w:sz w:val="24"/>
          <w:szCs w:val="24"/>
        </w:rPr>
      </w:pPr>
      <w:r>
        <w:rPr>
          <w:rFonts w:ascii="Times New Roman" w:hAnsi="Times New Roman" w:cs="Times New Roman"/>
          <w:sz w:val="24"/>
          <w:szCs w:val="24"/>
        </w:rPr>
        <w:br w:type="page"/>
      </w:r>
    </w:p>
    <w:p w14:paraId="4F917692" w14:textId="69DD572E" w:rsidR="00B125DC" w:rsidRPr="00863B19" w:rsidRDefault="00B125DC" w:rsidP="00863B19">
      <w:pPr>
        <w:pStyle w:val="Ttulo1"/>
        <w:spacing w:before="0" w:line="360" w:lineRule="auto"/>
        <w:rPr>
          <w:rFonts w:ascii="Times New Roman" w:eastAsia="Calibri" w:hAnsi="Times New Roman" w:cs="Times New Roman"/>
          <w:bCs/>
          <w:color w:val="auto"/>
          <w:kern w:val="0"/>
          <w:sz w:val="24"/>
          <w:szCs w:val="24"/>
          <w14:ligatures w14:val="none"/>
        </w:rPr>
      </w:pPr>
      <w:bookmarkStart w:id="71" w:name="_Toc146826504"/>
      <w:bookmarkStart w:id="72" w:name="_Hlk146531226"/>
      <w:r w:rsidRPr="00863B19">
        <w:rPr>
          <w:rFonts w:ascii="Times New Roman" w:eastAsia="Calibri" w:hAnsi="Times New Roman" w:cs="Times New Roman"/>
          <w:b/>
          <w:color w:val="auto"/>
          <w:kern w:val="0"/>
          <w:sz w:val="24"/>
          <w:szCs w:val="24"/>
          <w14:ligatures w14:val="none"/>
        </w:rPr>
        <w:lastRenderedPageBreak/>
        <w:t>A PAISAGEM RURAL, SUA REDE CONCEITUAL, COMUNIDADE DISCURSIVA E ANÁLISE DE DOMÍNIO</w:t>
      </w:r>
      <w:r w:rsidRPr="00863B19">
        <w:rPr>
          <w:rFonts w:ascii="Times New Roman" w:eastAsia="Calibri" w:hAnsi="Times New Roman" w:cs="Times New Roman"/>
          <w:bCs/>
          <w:color w:val="auto"/>
          <w:kern w:val="0"/>
          <w:sz w:val="24"/>
          <w:szCs w:val="24"/>
          <w14:ligatures w14:val="none"/>
        </w:rPr>
        <w:t xml:space="preserve">: </w:t>
      </w:r>
      <w:r w:rsidR="00B73FEA" w:rsidRPr="00863B19">
        <w:rPr>
          <w:rFonts w:ascii="Times New Roman" w:eastAsia="Calibri" w:hAnsi="Times New Roman" w:cs="Times New Roman"/>
          <w:bCs/>
          <w:color w:val="auto"/>
          <w:kern w:val="0"/>
          <w:sz w:val="24"/>
          <w:szCs w:val="24"/>
          <w14:ligatures w14:val="none"/>
        </w:rPr>
        <w:t xml:space="preserve">a representação do conhecimento geográfico no âmbito dos </w:t>
      </w:r>
      <w:r w:rsidRPr="00863B19">
        <w:rPr>
          <w:rFonts w:ascii="Times New Roman" w:eastAsia="Calibri" w:hAnsi="Times New Roman" w:cs="Times New Roman"/>
          <w:bCs/>
          <w:color w:val="auto"/>
          <w:kern w:val="0"/>
          <w:sz w:val="24"/>
          <w:szCs w:val="24"/>
          <w14:ligatures w14:val="none"/>
        </w:rPr>
        <w:t>S</w:t>
      </w:r>
      <w:r w:rsidR="00B73FEA" w:rsidRPr="00863B19">
        <w:rPr>
          <w:rFonts w:ascii="Times New Roman" w:eastAsia="Calibri" w:hAnsi="Times New Roman" w:cs="Times New Roman"/>
          <w:bCs/>
          <w:color w:val="auto"/>
          <w:kern w:val="0"/>
          <w:sz w:val="24"/>
          <w:szCs w:val="24"/>
          <w14:ligatures w14:val="none"/>
        </w:rPr>
        <w:t>istemas</w:t>
      </w:r>
      <w:r w:rsidRPr="00863B19">
        <w:rPr>
          <w:rFonts w:ascii="Times New Roman" w:eastAsia="Calibri" w:hAnsi="Times New Roman" w:cs="Times New Roman"/>
          <w:bCs/>
          <w:color w:val="auto"/>
          <w:kern w:val="0"/>
          <w:sz w:val="24"/>
          <w:szCs w:val="24"/>
          <w14:ligatures w14:val="none"/>
        </w:rPr>
        <w:t xml:space="preserve"> </w:t>
      </w:r>
      <w:r w:rsidR="00B73FEA" w:rsidRPr="00863B19">
        <w:rPr>
          <w:rFonts w:ascii="Times New Roman" w:eastAsia="Calibri" w:hAnsi="Times New Roman" w:cs="Times New Roman"/>
          <w:bCs/>
          <w:color w:val="auto"/>
          <w:kern w:val="0"/>
          <w:sz w:val="24"/>
          <w:szCs w:val="24"/>
          <w14:ligatures w14:val="none"/>
        </w:rPr>
        <w:t>de</w:t>
      </w:r>
      <w:r w:rsidRPr="00863B19">
        <w:rPr>
          <w:rFonts w:ascii="Times New Roman" w:eastAsia="Calibri" w:hAnsi="Times New Roman" w:cs="Times New Roman"/>
          <w:bCs/>
          <w:color w:val="auto"/>
          <w:kern w:val="0"/>
          <w:sz w:val="24"/>
          <w:szCs w:val="24"/>
          <w14:ligatures w14:val="none"/>
        </w:rPr>
        <w:t xml:space="preserve"> O</w:t>
      </w:r>
      <w:r w:rsidR="00B73FEA" w:rsidRPr="00863B19">
        <w:rPr>
          <w:rFonts w:ascii="Times New Roman" w:eastAsia="Calibri" w:hAnsi="Times New Roman" w:cs="Times New Roman"/>
          <w:bCs/>
          <w:color w:val="auto"/>
          <w:kern w:val="0"/>
          <w:sz w:val="24"/>
          <w:szCs w:val="24"/>
          <w14:ligatures w14:val="none"/>
        </w:rPr>
        <w:t xml:space="preserve">rganização do </w:t>
      </w:r>
      <w:r w:rsidRPr="00863B19">
        <w:rPr>
          <w:rFonts w:ascii="Times New Roman" w:eastAsia="Calibri" w:hAnsi="Times New Roman" w:cs="Times New Roman"/>
          <w:bCs/>
          <w:color w:val="auto"/>
          <w:kern w:val="0"/>
          <w:sz w:val="24"/>
          <w:szCs w:val="24"/>
          <w14:ligatures w14:val="none"/>
        </w:rPr>
        <w:t>C</w:t>
      </w:r>
      <w:r w:rsidR="00B73FEA" w:rsidRPr="00863B19">
        <w:rPr>
          <w:rFonts w:ascii="Times New Roman" w:eastAsia="Calibri" w:hAnsi="Times New Roman" w:cs="Times New Roman"/>
          <w:bCs/>
          <w:color w:val="auto"/>
          <w:kern w:val="0"/>
          <w:sz w:val="24"/>
          <w:szCs w:val="24"/>
          <w14:ligatures w14:val="none"/>
        </w:rPr>
        <w:t>onhecimento</w:t>
      </w:r>
      <w:r w:rsidRPr="00863B19">
        <w:rPr>
          <w:rFonts w:ascii="Times New Roman" w:eastAsia="Calibri" w:hAnsi="Times New Roman" w:cs="Times New Roman"/>
          <w:bCs/>
          <w:color w:val="auto"/>
          <w:kern w:val="0"/>
          <w:sz w:val="24"/>
          <w:szCs w:val="24"/>
          <w14:ligatures w14:val="none"/>
        </w:rPr>
        <w:t xml:space="preserve"> (SOCs)</w:t>
      </w:r>
      <w:bookmarkEnd w:id="71"/>
      <w:r w:rsidRPr="00863B19">
        <w:rPr>
          <w:rFonts w:ascii="Times New Roman" w:eastAsia="Calibri" w:hAnsi="Times New Roman" w:cs="Times New Roman"/>
          <w:bCs/>
          <w:color w:val="auto"/>
          <w:kern w:val="0"/>
          <w:sz w:val="24"/>
          <w:szCs w:val="24"/>
          <w14:ligatures w14:val="none"/>
        </w:rPr>
        <w:t xml:space="preserve"> </w:t>
      </w:r>
    </w:p>
    <w:bookmarkEnd w:id="72"/>
    <w:p w14:paraId="1A7EA9F7" w14:textId="77777777" w:rsidR="00B125DC" w:rsidRPr="00374494" w:rsidRDefault="00B125DC" w:rsidP="00B125DC">
      <w:pPr>
        <w:suppressAutoHyphens/>
        <w:spacing w:after="0" w:line="360" w:lineRule="auto"/>
        <w:jc w:val="both"/>
        <w:rPr>
          <w:rFonts w:ascii="Times New Roman" w:eastAsia="Calibri" w:hAnsi="Times New Roman" w:cs="Times New Roman"/>
          <w:bCs/>
          <w:color w:val="0070C0"/>
          <w:kern w:val="0"/>
          <w:sz w:val="24"/>
          <w:szCs w:val="24"/>
          <w14:ligatures w14:val="none"/>
        </w:rPr>
      </w:pPr>
    </w:p>
    <w:p w14:paraId="3ECC97B7" w14:textId="5AAE3C56" w:rsidR="00BB6DB1" w:rsidRPr="00BB6DB1" w:rsidRDefault="00BB6DB1" w:rsidP="00BB6DB1">
      <w:pPr>
        <w:spacing w:after="0" w:line="360" w:lineRule="auto"/>
        <w:jc w:val="both"/>
        <w:rPr>
          <w:rFonts w:ascii="Times New Roman" w:eastAsia="Times New Roman" w:hAnsi="Times New Roman" w:cs="Times New Roman"/>
          <w:b/>
          <w:bCs/>
          <w:kern w:val="0"/>
          <w:sz w:val="24"/>
          <w:szCs w:val="24"/>
          <w:lang w:eastAsia="pt-BR"/>
          <w14:ligatures w14:val="none"/>
        </w:rPr>
      </w:pPr>
      <w:r w:rsidRPr="00BB6DB1">
        <w:rPr>
          <w:rFonts w:ascii="Times New Roman" w:eastAsia="Times New Roman" w:hAnsi="Times New Roman" w:cs="Times New Roman"/>
          <w:b/>
          <w:bCs/>
          <w:kern w:val="0"/>
          <w:sz w:val="24"/>
          <w:szCs w:val="24"/>
          <w:lang w:eastAsia="pt-BR"/>
          <w14:ligatures w14:val="none"/>
        </w:rPr>
        <w:t>Vera Lucia Punzi Barcelos Capone</w:t>
      </w:r>
    </w:p>
    <w:p w14:paraId="49E50D17"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kern w:val="0"/>
          <w:sz w:val="24"/>
          <w:szCs w:val="24"/>
          <w:lang w:eastAsia="pt-BR"/>
          <w14:ligatures w14:val="none"/>
        </w:rPr>
        <w:t xml:space="preserve">Instituto Brasileiro de Geografia e Estatística (IBGE) </w:t>
      </w:r>
    </w:p>
    <w:p w14:paraId="1DC85B88"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p>
    <w:p w14:paraId="2A6C3AE3" w14:textId="694D997D" w:rsidR="00BB6DB1" w:rsidRPr="00BB6DB1" w:rsidRDefault="00BB6DB1" w:rsidP="00BB6DB1">
      <w:pPr>
        <w:spacing w:after="0" w:line="360" w:lineRule="auto"/>
        <w:jc w:val="both"/>
        <w:rPr>
          <w:rFonts w:ascii="Times New Roman" w:eastAsia="Times New Roman" w:hAnsi="Times New Roman" w:cs="Times New Roman"/>
          <w:b/>
          <w:bCs/>
          <w:kern w:val="0"/>
          <w:sz w:val="24"/>
          <w:szCs w:val="24"/>
          <w:lang w:eastAsia="pt-BR"/>
          <w14:ligatures w14:val="none"/>
        </w:rPr>
      </w:pPr>
      <w:r w:rsidRPr="00BB6DB1">
        <w:rPr>
          <w:rFonts w:ascii="Times New Roman" w:eastAsia="Times New Roman" w:hAnsi="Times New Roman" w:cs="Times New Roman"/>
          <w:b/>
          <w:bCs/>
          <w:kern w:val="0"/>
          <w:sz w:val="24"/>
          <w:szCs w:val="24"/>
          <w:lang w:eastAsia="pt-BR"/>
          <w14:ligatures w14:val="none"/>
        </w:rPr>
        <w:t>Rosa Inês de Novais Cordeiro</w:t>
      </w:r>
    </w:p>
    <w:p w14:paraId="151BDF13"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kern w:val="0"/>
          <w:sz w:val="24"/>
          <w:szCs w:val="24"/>
          <w:lang w:eastAsia="pt-BR"/>
          <w14:ligatures w14:val="none"/>
        </w:rPr>
        <w:t xml:space="preserve">Departamento de Ciência da Informação e Programa de Pós-graduação em Ciência da Informação da Universidade Federal Fluminense (PPGCI/UFF) </w:t>
      </w:r>
    </w:p>
    <w:p w14:paraId="4260ED6B" w14:textId="77777777" w:rsidR="00BB6DB1" w:rsidRDefault="00BB6DB1" w:rsidP="00BB6DB1">
      <w:pPr>
        <w:spacing w:after="0" w:line="240" w:lineRule="auto"/>
        <w:jc w:val="both"/>
        <w:rPr>
          <w:rFonts w:ascii="Times New Roman" w:eastAsia="Times New Roman" w:hAnsi="Times New Roman" w:cs="Times New Roman"/>
          <w:kern w:val="0"/>
          <w:sz w:val="20"/>
          <w:szCs w:val="20"/>
          <w:lang w:eastAsia="pt-BR"/>
          <w14:ligatures w14:val="none"/>
        </w:rPr>
      </w:pPr>
    </w:p>
    <w:p w14:paraId="084B23ED" w14:textId="47D1456B" w:rsidR="00B125DC" w:rsidRPr="007A5DCB" w:rsidRDefault="00B125DC" w:rsidP="00BB6DB1">
      <w:pPr>
        <w:spacing w:after="0" w:line="240" w:lineRule="auto"/>
        <w:jc w:val="both"/>
        <w:rPr>
          <w:rFonts w:ascii="Times New Roman" w:eastAsia="Times New Roman" w:hAnsi="Times New Roman" w:cs="Times New Roman"/>
          <w:kern w:val="0"/>
          <w:sz w:val="20"/>
          <w:szCs w:val="20"/>
          <w:lang w:eastAsia="pt-BR"/>
          <w14:ligatures w14:val="none"/>
        </w:rPr>
      </w:pP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r w:rsidRPr="007A5DCB">
        <w:rPr>
          <w:rFonts w:ascii="Times New Roman" w:eastAsia="Times New Roman" w:hAnsi="Times New Roman" w:cs="Times New Roman"/>
          <w:kern w:val="0"/>
          <w:sz w:val="20"/>
          <w:szCs w:val="20"/>
          <w:lang w:eastAsia="pt-BR"/>
          <w14:ligatures w14:val="none"/>
        </w:rPr>
        <w:tab/>
      </w:r>
    </w:p>
    <w:p w14:paraId="5953DB93" w14:textId="77777777" w:rsidR="00B125DC" w:rsidRPr="00CE5E4F" w:rsidRDefault="00B125DC" w:rsidP="00556853">
      <w:pPr>
        <w:spacing w:after="0" w:line="360" w:lineRule="auto"/>
        <w:rPr>
          <w:rFonts w:ascii="Times New Roman" w:eastAsia="Calibri" w:hAnsi="Times New Roman" w:cs="Times New Roman"/>
          <w:b/>
          <w:bCs/>
          <w:kern w:val="0"/>
          <w:sz w:val="24"/>
          <w:szCs w:val="24"/>
          <w14:ligatures w14:val="none"/>
        </w:rPr>
      </w:pPr>
      <w:r w:rsidRPr="00DB4A51">
        <w:rPr>
          <w:rFonts w:ascii="Times New Roman" w:eastAsia="Calibri" w:hAnsi="Times New Roman" w:cs="Times New Roman"/>
          <w:b/>
          <w:bCs/>
          <w:kern w:val="0"/>
          <w:sz w:val="24"/>
          <w:szCs w:val="24"/>
          <w14:ligatures w14:val="none"/>
        </w:rPr>
        <w:t>1</w:t>
      </w:r>
      <w:r w:rsidRPr="00CE5E4F">
        <w:rPr>
          <w:rFonts w:ascii="Times New Roman" w:eastAsia="Calibri" w:hAnsi="Times New Roman" w:cs="Times New Roman"/>
          <w:kern w:val="0"/>
          <w:sz w:val="28"/>
          <w:szCs w:val="28"/>
          <w14:ligatures w14:val="none"/>
        </w:rPr>
        <w:t xml:space="preserve"> </w:t>
      </w:r>
      <w:r w:rsidRPr="00CE5E4F">
        <w:rPr>
          <w:rFonts w:ascii="Times New Roman" w:eastAsia="Calibri" w:hAnsi="Times New Roman" w:cs="Times New Roman"/>
          <w:b/>
          <w:bCs/>
          <w:kern w:val="0"/>
          <w:sz w:val="24"/>
          <w:szCs w:val="24"/>
          <w14:ligatures w14:val="none"/>
        </w:rPr>
        <w:t>INTRODUÇÃO</w:t>
      </w:r>
    </w:p>
    <w:p w14:paraId="011B7557" w14:textId="77777777" w:rsidR="00B125DC" w:rsidRPr="00CE5E4F" w:rsidRDefault="00B125DC" w:rsidP="00556853">
      <w:pPr>
        <w:spacing w:after="0" w:line="360" w:lineRule="auto"/>
        <w:rPr>
          <w:rFonts w:ascii="Times New Roman" w:eastAsia="Calibri" w:hAnsi="Times New Roman" w:cs="Times New Roman"/>
          <w:kern w:val="0"/>
          <w:sz w:val="24"/>
          <w:szCs w:val="24"/>
          <w14:ligatures w14:val="none"/>
        </w:rPr>
      </w:pPr>
    </w:p>
    <w:p w14:paraId="15714367" w14:textId="77777777" w:rsidR="00B125DC" w:rsidRPr="00CE5E4F" w:rsidRDefault="00B125DC" w:rsidP="00556853">
      <w:pPr>
        <w:autoSpaceDE w:val="0"/>
        <w:autoSpaceDN w:val="0"/>
        <w:adjustRightInd w:val="0"/>
        <w:spacing w:after="0" w:line="360" w:lineRule="auto"/>
        <w:ind w:firstLine="709"/>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 xml:space="preserve">Este </w:t>
      </w:r>
      <w:r>
        <w:rPr>
          <w:rFonts w:ascii="Times New Roman" w:eastAsia="Calibri" w:hAnsi="Times New Roman" w:cs="Times New Roman"/>
          <w:kern w:val="0"/>
          <w:sz w:val="24"/>
          <w:szCs w:val="24"/>
          <w14:ligatures w14:val="none"/>
        </w:rPr>
        <w:t>trabalho</w:t>
      </w:r>
      <w:r w:rsidRPr="00CE5E4F">
        <w:rPr>
          <w:rFonts w:ascii="Times New Roman" w:eastAsia="Calibri" w:hAnsi="Times New Roman" w:cs="Times New Roman"/>
          <w:kern w:val="0"/>
          <w:sz w:val="24"/>
          <w:szCs w:val="24"/>
          <w14:ligatures w14:val="none"/>
        </w:rPr>
        <w:t xml:space="preserve"> apresenta os resultados de pesquisa concluída na área de organização e representação do conhecimento geográfico de diversas naturezas, no âmbito dos Sistemas de Organização do Conhecimento (SOCs ou </w:t>
      </w:r>
      <w:r w:rsidRPr="00CE5E4F">
        <w:rPr>
          <w:rFonts w:ascii="Times New Roman" w:eastAsia="Calibri" w:hAnsi="Times New Roman" w:cs="Times New Roman"/>
          <w:i/>
          <w:kern w:val="0"/>
          <w:sz w:val="24"/>
          <w:szCs w:val="24"/>
          <w14:ligatures w14:val="none"/>
        </w:rPr>
        <w:t>Knowledge Organization Systems</w:t>
      </w:r>
      <w:r w:rsidRPr="00CE5E4F">
        <w:rPr>
          <w:rFonts w:ascii="Times New Roman" w:eastAsia="Calibri" w:hAnsi="Times New Roman" w:cs="Times New Roman"/>
          <w:kern w:val="0"/>
          <w:sz w:val="24"/>
          <w:szCs w:val="24"/>
          <w14:ligatures w14:val="none"/>
        </w:rPr>
        <w:t xml:space="preserve"> - KOS), desenvolvida no período de 2016 a 2020. Tendo em </w:t>
      </w:r>
      <w:r>
        <w:rPr>
          <w:rFonts w:ascii="Times New Roman" w:eastAsia="Calibri" w:hAnsi="Times New Roman" w:cs="Times New Roman"/>
          <w:kern w:val="0"/>
          <w:sz w:val="24"/>
          <w:szCs w:val="24"/>
          <w14:ligatures w14:val="none"/>
        </w:rPr>
        <w:t>conta</w:t>
      </w:r>
      <w:r w:rsidRPr="00CE5E4F">
        <w:rPr>
          <w:rFonts w:ascii="Times New Roman" w:eastAsia="Calibri" w:hAnsi="Times New Roman" w:cs="Times New Roman"/>
          <w:kern w:val="0"/>
          <w:sz w:val="24"/>
          <w:szCs w:val="24"/>
          <w14:ligatures w14:val="none"/>
        </w:rPr>
        <w:t xml:space="preserve"> que os domínios do conhecimento não são semelhantes, a pesquisa objetivou identificar o conjunto de traços comuns que representa o padrão de comunicação da </w:t>
      </w:r>
      <w:r w:rsidRPr="00CE5E4F">
        <w:rPr>
          <w:rFonts w:ascii="Times New Roman" w:eastAsia="Times New Roman" w:hAnsi="Times New Roman" w:cs="Times New Roman"/>
          <w:kern w:val="0"/>
          <w:sz w:val="24"/>
          <w:szCs w:val="24"/>
          <w:lang w:eastAsia="pt-BR"/>
          <w14:ligatures w14:val="none"/>
        </w:rPr>
        <w:t>comunidade discursiva de geógrafos</w:t>
      </w:r>
      <w:r w:rsidRPr="00CE5E4F">
        <w:rPr>
          <w:rFonts w:ascii="Times New Roman" w:eastAsia="Times New Roman" w:hAnsi="Times New Roman" w:cs="Times New Roman"/>
          <w:kern w:val="0"/>
          <w:sz w:val="24"/>
          <w:szCs w:val="24"/>
          <w:vertAlign w:val="superscript"/>
          <w:lang w:eastAsia="pt-BR"/>
          <w14:ligatures w14:val="none"/>
        </w:rPr>
        <w:footnoteReference w:id="53"/>
      </w:r>
      <w:r>
        <w:rPr>
          <w:rFonts w:ascii="Times New Roman" w:eastAsia="Times New Roman" w:hAnsi="Times New Roman" w:cs="Times New Roman"/>
          <w:kern w:val="0"/>
          <w:sz w:val="24"/>
          <w:szCs w:val="24"/>
          <w:lang w:eastAsia="pt-BR"/>
          <w14:ligatures w14:val="none"/>
        </w:rPr>
        <w:t xml:space="preserve"> </w:t>
      </w:r>
      <w:r w:rsidRPr="00CE5E4F">
        <w:rPr>
          <w:rFonts w:ascii="Times New Roman" w:eastAsia="Calibri" w:hAnsi="Times New Roman" w:cs="Times New Roman"/>
          <w:kern w:val="0"/>
          <w:sz w:val="24"/>
          <w:szCs w:val="24"/>
          <w14:ligatures w14:val="none"/>
        </w:rPr>
        <w:t xml:space="preserve">que analisa a paisagem como objeto de estudo, </w:t>
      </w:r>
      <w:bookmarkStart w:id="73" w:name="_Hlk9321507"/>
      <w:r w:rsidRPr="00CE5E4F">
        <w:rPr>
          <w:rFonts w:ascii="Times New Roman" w:eastAsia="Times New Roman" w:hAnsi="Times New Roman" w:cs="Times New Roman"/>
          <w:kern w:val="0"/>
          <w:sz w:val="24"/>
          <w:szCs w:val="24"/>
          <w:lang w:eastAsia="pt-BR"/>
          <w14:ligatures w14:val="none"/>
        </w:rPr>
        <w:t xml:space="preserve">representada pelas várias correntes </w:t>
      </w:r>
      <w:bookmarkEnd w:id="73"/>
      <w:r w:rsidRPr="00CE5E4F">
        <w:rPr>
          <w:rFonts w:ascii="Times New Roman" w:eastAsia="Times New Roman" w:hAnsi="Times New Roman" w:cs="Times New Roman"/>
          <w:kern w:val="0"/>
          <w:sz w:val="24"/>
          <w:szCs w:val="24"/>
          <w:lang w:eastAsia="pt-BR"/>
          <w14:ligatures w14:val="none"/>
        </w:rPr>
        <w:t xml:space="preserve">que englobam a informação geográfica no que se refere à paisagem, </w:t>
      </w:r>
      <w:r w:rsidRPr="00CE5E4F">
        <w:rPr>
          <w:rFonts w:ascii="Times New Roman" w:eastAsia="Calibri" w:hAnsi="Times New Roman" w:cs="Times New Roman"/>
          <w:kern w:val="0"/>
          <w:sz w:val="24"/>
          <w:szCs w:val="24"/>
          <w14:ligatures w14:val="none"/>
        </w:rPr>
        <w:t xml:space="preserve">a fim de estabelecer uma rede de conceitos para constituição de SOCs. Nesta pesquisa, adotamos a abordagem teórico-metodológica pelo ponto de vista da Geografia para análise da paisagem rural.  </w:t>
      </w:r>
    </w:p>
    <w:p w14:paraId="3533941F" w14:textId="77777777" w:rsidR="00B125DC" w:rsidRPr="00CE5E4F" w:rsidRDefault="00B125DC" w:rsidP="00556853">
      <w:pPr>
        <w:spacing w:after="0" w:line="360" w:lineRule="auto"/>
        <w:ind w:firstLine="708"/>
        <w:jc w:val="both"/>
        <w:rPr>
          <w:rFonts w:ascii="Times New Roman" w:eastAsia="Times New Roman" w:hAnsi="Times New Roman" w:cs="Times New Roman"/>
          <w:kern w:val="0"/>
          <w:sz w:val="24"/>
          <w:szCs w:val="24"/>
          <w:lang w:eastAsia="pt-BR"/>
          <w14:ligatures w14:val="none"/>
        </w:rPr>
      </w:pPr>
      <w:bookmarkStart w:id="74" w:name="_Hlk12360483"/>
      <w:r w:rsidRPr="00CE5E4F">
        <w:rPr>
          <w:rFonts w:ascii="Times New Roman" w:eastAsia="Calibri" w:hAnsi="Times New Roman" w:cs="Times New Roman"/>
          <w:kern w:val="0"/>
          <w:sz w:val="24"/>
          <w:szCs w:val="24"/>
          <w14:ligatures w14:val="none"/>
        </w:rPr>
        <w:t>O tema desta pesquisa tem como referência empírica, por meio da pesquisa documental, os Censos Agropecuários de 1970 e 2006</w:t>
      </w:r>
      <w:r w:rsidRPr="00CE5E4F">
        <w:rPr>
          <w:rStyle w:val="Refdenotaderodap"/>
          <w:rFonts w:ascii="Times New Roman" w:eastAsia="Calibri" w:hAnsi="Times New Roman" w:cs="Times New Roman"/>
          <w:kern w:val="0"/>
          <w:sz w:val="24"/>
          <w:szCs w:val="24"/>
          <w14:ligatures w14:val="none"/>
        </w:rPr>
        <w:footnoteReference w:id="54"/>
      </w:r>
      <w:r w:rsidRPr="00CE5E4F">
        <w:rPr>
          <w:rFonts w:ascii="Times New Roman" w:eastAsia="Calibri" w:hAnsi="Times New Roman" w:cs="Times New Roman"/>
          <w:kern w:val="0"/>
          <w:sz w:val="24"/>
          <w:szCs w:val="24"/>
          <w14:ligatures w14:val="none"/>
        </w:rPr>
        <w:t xml:space="preserve"> sob a responsabilidade do Instituto Brasileiro de Geografia e Estatística (IBGE), que se constitui como o órgão provedor responsável pelas estatísticas do Brasil. Soma-se a isso, o exame da representação da paisagem nos sistemas de classificações bibliográficas, tesauros e ontologias,</w:t>
      </w:r>
      <w:bookmarkEnd w:id="74"/>
      <w:r w:rsidRPr="00CE5E4F">
        <w:rPr>
          <w:rFonts w:ascii="Times New Roman" w:eastAsia="Times New Roman" w:hAnsi="Times New Roman" w:cs="Times New Roman"/>
          <w:kern w:val="0"/>
          <w:sz w:val="24"/>
          <w:szCs w:val="24"/>
          <w:lang w:eastAsia="pt-BR"/>
          <w14:ligatures w14:val="none"/>
        </w:rPr>
        <w:t xml:space="preserve"> levando em conta nossas questões de </w:t>
      </w:r>
      <w:r w:rsidRPr="00CE5E4F">
        <w:rPr>
          <w:rFonts w:ascii="Times New Roman" w:eastAsia="Times New Roman" w:hAnsi="Times New Roman" w:cs="Times New Roman"/>
          <w:kern w:val="0"/>
          <w:sz w:val="24"/>
          <w:szCs w:val="24"/>
          <w:lang w:eastAsia="pt-BR"/>
          <w14:ligatures w14:val="none"/>
        </w:rPr>
        <w:lastRenderedPageBreak/>
        <w:t>pesquisa frente ao processo de organização da informação geográfica e representação do conhecimento no âmbito da CI.</w:t>
      </w:r>
    </w:p>
    <w:p w14:paraId="16C6361B" w14:textId="77777777" w:rsidR="00B125DC" w:rsidRPr="00C10E17" w:rsidRDefault="00B125DC" w:rsidP="00556853">
      <w:pPr>
        <w:autoSpaceDE w:val="0"/>
        <w:autoSpaceDN w:val="0"/>
        <w:adjustRightInd w:val="0"/>
        <w:spacing w:after="0" w:line="360" w:lineRule="auto"/>
        <w:ind w:firstLine="709"/>
        <w:jc w:val="both"/>
        <w:rPr>
          <w:rFonts w:ascii="Times New Roman" w:eastAsia="Calibri" w:hAnsi="Times New Roman" w:cs="Times New Roman"/>
          <w:kern w:val="0"/>
          <w:sz w:val="24"/>
          <w:szCs w:val="24"/>
          <w14:ligatures w14:val="none"/>
        </w:rPr>
      </w:pPr>
      <w:r w:rsidRPr="00C10E17">
        <w:rPr>
          <w:rFonts w:ascii="Times New Roman" w:eastAsia="Calibri" w:hAnsi="Times New Roman" w:cs="Times New Roman"/>
          <w:kern w:val="0"/>
          <w:sz w:val="24"/>
          <w:szCs w:val="24"/>
          <w14:ligatures w14:val="none"/>
        </w:rPr>
        <w:t xml:space="preserve">É oportuno observar, no entanto, que os censos agropecuários não analisam de forma explicita as paisagens, e muito menos se reportam às variáveis como paisagens. Mas, os censos agropecuários informam sobre variáveis que integram a paisagem. Ao direcionarmos nosso olhar para as características investigadas nesse levantamento  estatístico sobre a produção agropecuária do país, percebemos que se constituem num valioso acervo que atende a diferentes análises acerca das atividades desenvolvidas no espaço rural por meio do conhecimento da utilização das terras; práticas agrícolas; recursos hídricos; utilização de máquinas, instrumentos agrários e veículos; estabelecimentos agropecuários (fazendas, hortos, hortas domésticas), entre outros. </w:t>
      </w:r>
      <w:bookmarkStart w:id="75" w:name="_Hlk65660706"/>
      <w:r w:rsidRPr="00C10E17">
        <w:rPr>
          <w:rFonts w:ascii="Times New Roman" w:eastAsia="Calibri" w:hAnsi="Times New Roman" w:cs="Times New Roman"/>
          <w:kern w:val="0"/>
          <w:sz w:val="24"/>
          <w:szCs w:val="24"/>
          <w14:ligatures w14:val="none"/>
        </w:rPr>
        <w:t>Desse modo, para nossa pesquisa selecionamos as seguintes características do censo agropecuário de 1970: estabelecimento e utilização das terras; e do censo agropecuário de 2006: estabelecimento agropecuário, práticas agrícolas, utilização das terras, recursos hídricos, terras irrigadas e métodos de irrigação.</w:t>
      </w:r>
    </w:p>
    <w:bookmarkEnd w:id="75"/>
    <w:p w14:paraId="4D16548E" w14:textId="77777777" w:rsidR="00B125DC" w:rsidRPr="00C10E17" w:rsidRDefault="00B125DC" w:rsidP="00556853">
      <w:pPr>
        <w:spacing w:after="0" w:line="360" w:lineRule="auto"/>
        <w:ind w:firstLine="709"/>
        <w:jc w:val="both"/>
        <w:rPr>
          <w:rFonts w:ascii="Times New Roman" w:eastAsia="Calibri" w:hAnsi="Times New Roman" w:cs="Times New Roman"/>
          <w:kern w:val="0"/>
          <w:sz w:val="24"/>
          <w:szCs w:val="24"/>
          <w14:ligatures w14:val="none"/>
        </w:rPr>
      </w:pPr>
      <w:r w:rsidRPr="00C10E17">
        <w:rPr>
          <w:rFonts w:ascii="Times New Roman" w:eastAsia="Calibri" w:hAnsi="Times New Roman" w:cs="Times New Roman"/>
          <w:kern w:val="0"/>
          <w:sz w:val="24"/>
          <w:szCs w:val="24"/>
          <w14:ligatures w14:val="none"/>
        </w:rPr>
        <w:t xml:space="preserve"> Ao refletir sobre essas variáveis dos censos agropecuários, observamos que elas evocam a paisagem rural, por serem portadoras de uma acentuada carga icônica. Para tanto, selecionamos as seguintes características do censo agropecuário de 1970: estabelecimento e utilização das terras; e do censo agropecuário de 2006: estabelecimento agropecuário, práticas agrícolas, utilização das terras, recursos hídricos, terras irrigadas e métodos de irrigação.</w:t>
      </w:r>
    </w:p>
    <w:p w14:paraId="6CB6AA41" w14:textId="77777777" w:rsidR="00B125DC" w:rsidRPr="00C10E17" w:rsidRDefault="00B125DC" w:rsidP="00556853">
      <w:pPr>
        <w:spacing w:after="0" w:line="360" w:lineRule="auto"/>
        <w:ind w:firstLine="708"/>
        <w:jc w:val="both"/>
        <w:rPr>
          <w:rFonts w:ascii="Times New Roman" w:eastAsia="Calibri" w:hAnsi="Times New Roman" w:cs="Times New Roman"/>
          <w:bCs/>
          <w:kern w:val="0"/>
          <w:sz w:val="24"/>
          <w:szCs w:val="24"/>
          <w14:ligatures w14:val="none"/>
        </w:rPr>
      </w:pPr>
      <w:bookmarkStart w:id="76" w:name="_Hlk65662976"/>
      <w:r w:rsidRPr="00C10E17">
        <w:rPr>
          <w:rFonts w:ascii="Times New Roman" w:eastAsia="Calibri" w:hAnsi="Times New Roman" w:cs="Times New Roman"/>
          <w:bCs/>
          <w:kern w:val="0"/>
          <w:sz w:val="24"/>
          <w:szCs w:val="24"/>
          <w14:ligatures w14:val="none"/>
        </w:rPr>
        <w:t>Os pressupostos teóricos que nortearam o desenvolvimento da presente pesquisa se baseiam em pesquisa</w:t>
      </w:r>
      <w:r w:rsidRPr="00C10E17">
        <w:rPr>
          <w:rFonts w:ascii="Times New Roman" w:eastAsia="Calibri" w:hAnsi="Times New Roman" w:cs="Times New Roman"/>
          <w:kern w:val="0"/>
          <w:sz w:val="24"/>
          <w:szCs w:val="24"/>
          <w14:ligatures w14:val="none"/>
        </w:rPr>
        <w:t xml:space="preserve"> bibliográfica seletiva fundamentada num conjunto de autores basilares, cujo inventário foi sistematizado em dois campos temáticos: Ciência da Informação (CI), contemplando as especialidades de representação da informação e organização do conhecimento; e na área de Geografia,</w:t>
      </w:r>
      <w:r w:rsidRPr="00C10E17">
        <w:rPr>
          <w:rFonts w:ascii="Times New Roman" w:eastAsia="Calibri" w:hAnsi="Times New Roman" w:cs="Times New Roman"/>
          <w:bCs/>
          <w:kern w:val="0"/>
          <w:sz w:val="24"/>
          <w:szCs w:val="24"/>
          <w14:ligatures w14:val="none"/>
        </w:rPr>
        <w:t xml:space="preserve"> direcionada ao estudo da paisagem. </w:t>
      </w:r>
    </w:p>
    <w:bookmarkEnd w:id="76"/>
    <w:p w14:paraId="36AE7FE4" w14:textId="77777777" w:rsidR="00B125DC" w:rsidRPr="00C10E17" w:rsidRDefault="00B125DC" w:rsidP="00556853">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C10E17">
        <w:rPr>
          <w:rFonts w:ascii="Times New Roman" w:eastAsia="Times New Roman" w:hAnsi="Times New Roman" w:cs="Times New Roman"/>
          <w:kern w:val="0"/>
          <w:sz w:val="24"/>
          <w:szCs w:val="24"/>
          <w:lang w:eastAsia="pt-BR"/>
          <w14:ligatures w14:val="none"/>
        </w:rPr>
        <w:t xml:space="preserve">No contexto da organização do conhecimento e no âmbito da CI, adotamos a análise de domínio postulada por Hjorland e Albrechtsen (1995) e Hjorland (2002, 2017) </w:t>
      </w:r>
      <w:r w:rsidRPr="00C10E17">
        <w:rPr>
          <w:rFonts w:ascii="Times New Roman" w:eastAsia="Calibri" w:hAnsi="Times New Roman" w:cs="Times New Roman"/>
          <w:kern w:val="0"/>
          <w:sz w:val="24"/>
          <w:szCs w:val="24"/>
          <w14:ligatures w14:val="none"/>
        </w:rPr>
        <w:t xml:space="preserve"> sob a ótica do paradigma formulado pelos autores que está direcionado à identificação, descrição, organização e comunicação de fontes informacionais a fim de atender objetivos específicos e contribuir com o estudo de uma área de conhecimento</w:t>
      </w:r>
      <w:r w:rsidRPr="00C10E17">
        <w:rPr>
          <w:rFonts w:ascii="Times New Roman" w:eastAsia="Calibri" w:hAnsi="Times New Roman" w:cs="Times New Roman"/>
          <w:strike/>
          <w:kern w:val="0"/>
          <w:sz w:val="24"/>
          <w:szCs w:val="24"/>
          <w14:ligatures w14:val="none"/>
        </w:rPr>
        <w:t>,</w:t>
      </w:r>
      <w:r w:rsidRPr="00C10E17">
        <w:rPr>
          <w:rFonts w:ascii="Times New Roman" w:eastAsia="Times New Roman" w:hAnsi="Times New Roman" w:cs="Times New Roman"/>
          <w:kern w:val="0"/>
          <w:sz w:val="24"/>
          <w:szCs w:val="24"/>
          <w:lang w:eastAsia="pt-BR"/>
          <w14:ligatures w14:val="none"/>
        </w:rPr>
        <w:t xml:space="preserve"> a saber:  a construção de terminologia especializada, portais, esquemas classificatórios, taxonomias e ontologias como possíveis aplicações de SOCs, partindo do conhecimento gerado pela comunidade discursiva dos geógrafos.</w:t>
      </w:r>
    </w:p>
    <w:p w14:paraId="5F6D2677" w14:textId="77777777" w:rsidR="00B125DC" w:rsidRPr="00C10E17" w:rsidRDefault="00B125DC" w:rsidP="00556853">
      <w:pPr>
        <w:autoSpaceDE w:val="0"/>
        <w:autoSpaceDN w:val="0"/>
        <w:adjustRightInd w:val="0"/>
        <w:spacing w:after="0" w:line="360" w:lineRule="auto"/>
        <w:ind w:firstLine="708"/>
        <w:jc w:val="both"/>
        <w:rPr>
          <w:rFonts w:ascii="Times New Roman" w:eastAsia="Calibri" w:hAnsi="Times New Roman" w:cs="Times New Roman"/>
          <w:kern w:val="0"/>
          <w:sz w:val="24"/>
          <w:szCs w:val="24"/>
          <w14:ligatures w14:val="none"/>
        </w:rPr>
      </w:pPr>
      <w:r w:rsidRPr="00C10E17">
        <w:rPr>
          <w:rFonts w:ascii="Times New Roman" w:eastAsia="Calibri" w:hAnsi="Times New Roman" w:cs="Times New Roman"/>
          <w:kern w:val="0"/>
          <w:sz w:val="24"/>
          <w:szCs w:val="24"/>
          <w14:ligatures w14:val="none"/>
        </w:rPr>
        <w:t xml:space="preserve">Também situamos neste estudo a garantia literária (Barité </w:t>
      </w:r>
      <w:r w:rsidRPr="00C10E17">
        <w:rPr>
          <w:rFonts w:ascii="Times New Roman" w:eastAsia="Calibri" w:hAnsi="Times New Roman" w:cs="Times New Roman"/>
          <w:i/>
          <w:iCs/>
          <w:kern w:val="0"/>
          <w:sz w:val="24"/>
          <w:szCs w:val="24"/>
          <w14:ligatures w14:val="none"/>
        </w:rPr>
        <w:t>et al</w:t>
      </w:r>
      <w:r w:rsidRPr="00C10E17">
        <w:rPr>
          <w:rFonts w:ascii="Times New Roman" w:eastAsia="Calibri" w:hAnsi="Times New Roman" w:cs="Times New Roman"/>
          <w:kern w:val="0"/>
          <w:sz w:val="24"/>
          <w:szCs w:val="24"/>
          <w14:ligatures w14:val="none"/>
        </w:rPr>
        <w:t xml:space="preserve">., 2010) e semântica (Beghtol, 1986; Guedes; Moura (2016) por proporcionarem a concentração das ideias nucleares do domínio geográfico e dos censos agropecuários, no tocante à paisagem rural, que assim </w:t>
      </w:r>
      <w:r w:rsidRPr="00C10E17">
        <w:rPr>
          <w:rFonts w:ascii="Times New Roman" w:eastAsia="Calibri" w:hAnsi="Times New Roman" w:cs="Times New Roman"/>
          <w:kern w:val="0"/>
          <w:sz w:val="24"/>
          <w:szCs w:val="24"/>
          <w14:ligatures w14:val="none"/>
        </w:rPr>
        <w:lastRenderedPageBreak/>
        <w:t>exercem a função de fontes para extração e validação da terminologia a ser integrada a um sistema de classificação ou a qualquer outro sistema de organização do conhecimento, que provem deste paradigma.</w:t>
      </w:r>
    </w:p>
    <w:p w14:paraId="79699EDC" w14:textId="77777777" w:rsidR="00B125DC" w:rsidRPr="00C10E17" w:rsidRDefault="00B125DC" w:rsidP="00556853">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C10E17">
        <w:rPr>
          <w:rFonts w:ascii="Times New Roman" w:eastAsia="Times New Roman" w:hAnsi="Times New Roman" w:cs="Times New Roman"/>
          <w:kern w:val="0"/>
          <w:sz w:val="24"/>
          <w:szCs w:val="24"/>
          <w:lang w:eastAsia="pt-BR"/>
          <w14:ligatures w14:val="none"/>
        </w:rPr>
        <w:t>Partindo do contexto dos censos agropecuários brasileiros de 1970 e 2006, levando-se em conta a complexidade deste estudo sobre paisagem, nos deparamos com o seguinte problema de pesquisa: como tornar os tópicos teóricos relacionados à paisagem numa concepção unificada e sistemática que pudesse fornecer seu padrão de organização quanto a conceitos, categorias e significados</w:t>
      </w:r>
      <w:r>
        <w:rPr>
          <w:rFonts w:ascii="Times New Roman" w:eastAsia="Times New Roman" w:hAnsi="Times New Roman" w:cs="Times New Roman"/>
          <w:kern w:val="0"/>
          <w:sz w:val="24"/>
          <w:szCs w:val="24"/>
          <w:lang w:eastAsia="pt-BR"/>
          <w14:ligatures w14:val="none"/>
        </w:rPr>
        <w:t>?</w:t>
      </w:r>
    </w:p>
    <w:p w14:paraId="640052E2" w14:textId="77777777" w:rsidR="00B125DC" w:rsidRPr="00C10E17" w:rsidRDefault="00B125DC" w:rsidP="00556853">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C10E17">
        <w:rPr>
          <w:rFonts w:ascii="Times New Roman" w:eastAsia="Times New Roman" w:hAnsi="Times New Roman" w:cs="Times New Roman"/>
          <w:kern w:val="0"/>
          <w:sz w:val="24"/>
          <w:szCs w:val="24"/>
          <w:lang w:eastAsia="pt-BR"/>
          <w14:ligatures w14:val="none"/>
        </w:rPr>
        <w:t xml:space="preserve">A hipótese de pesquisa é de que o mapeamento da área de Geografia por meio de seu </w:t>
      </w:r>
      <w:r w:rsidRPr="00C10E17">
        <w:rPr>
          <w:rFonts w:ascii="Times New Roman" w:eastAsia="Times New Roman" w:hAnsi="Times New Roman" w:cs="Times New Roman"/>
          <w:i/>
          <w:iCs/>
          <w:kern w:val="0"/>
          <w:sz w:val="24"/>
          <w:szCs w:val="24"/>
          <w:lang w:eastAsia="pt-BR"/>
          <w14:ligatures w14:val="none"/>
        </w:rPr>
        <w:t>corpus</w:t>
      </w:r>
      <w:r w:rsidRPr="00C10E17">
        <w:rPr>
          <w:rFonts w:ascii="Times New Roman" w:eastAsia="Times New Roman" w:hAnsi="Times New Roman" w:cs="Times New Roman"/>
          <w:kern w:val="0"/>
          <w:sz w:val="24"/>
          <w:szCs w:val="24"/>
          <w:lang w:eastAsia="pt-BR"/>
          <w14:ligatures w14:val="none"/>
        </w:rPr>
        <w:t xml:space="preserve"> teórico oferece um instantâneo da área e fornece fundamentos coerentes baseados no consenso acadêmico, que viabilizam a sistematização do conhecimento produzido pela comunidade discursiva dos geógrafos e configura o padrão de organização relativo à paisagem. </w:t>
      </w:r>
    </w:p>
    <w:p w14:paraId="7B7896C4" w14:textId="77777777" w:rsidR="00B125DC" w:rsidRPr="00C10E17" w:rsidRDefault="00B125DC" w:rsidP="00556853">
      <w:pPr>
        <w:spacing w:after="0" w:line="360" w:lineRule="auto"/>
        <w:ind w:firstLine="708"/>
        <w:jc w:val="both"/>
        <w:rPr>
          <w:rFonts w:ascii="Times New Roman" w:eastAsia="Calibri" w:hAnsi="Times New Roman" w:cs="Times New Roman"/>
          <w:kern w:val="0"/>
          <w:sz w:val="24"/>
          <w:szCs w:val="24"/>
          <w14:ligatures w14:val="none"/>
        </w:rPr>
      </w:pPr>
      <w:r w:rsidRPr="00C10E17">
        <w:rPr>
          <w:rFonts w:ascii="Times New Roman" w:eastAsia="Calibri" w:hAnsi="Times New Roman" w:cs="Times New Roman"/>
          <w:kern w:val="0"/>
          <w:sz w:val="24"/>
          <w:szCs w:val="24"/>
          <w14:ligatures w14:val="none"/>
        </w:rPr>
        <w:t>O campo teórico sobre a dimensão ontológica da paisagem no contexto da Geografia e dos censos agropecuários de 1970 e 2006 forjam, no seu campo empírico, os conceitos dessas áreas de conhecimento, permitindo-nos identificar e extrair suas categorias. De acordo com a Organização Internacional de Normalização (International Organization for Standardization - ISO), a ISO 704, que trata dos princípios e métodos voltados para o trabalho da terminologia, vê-se que os objetos, entendidos</w:t>
      </w:r>
      <w:r w:rsidRPr="00C10E17">
        <w:rPr>
          <w:rFonts w:ascii="Calibri" w:eastAsia="Calibri" w:hAnsi="Calibri" w:cs="Times New Roman"/>
          <w:kern w:val="0"/>
          <w:sz w:val="24"/>
          <w:szCs w:val="24"/>
          <w:lang w:val="pt"/>
          <w14:ligatures w14:val="none"/>
        </w:rPr>
        <w:t xml:space="preserve"> </w:t>
      </w:r>
      <w:r w:rsidRPr="00C10E17">
        <w:rPr>
          <w:rFonts w:ascii="Times New Roman" w:eastAsia="Calibri" w:hAnsi="Times New Roman" w:cs="Times New Roman"/>
          <w:kern w:val="0"/>
          <w:sz w:val="24"/>
          <w:szCs w:val="24"/>
          <w:lang w:val="pt"/>
          <w14:ligatures w14:val="none"/>
        </w:rPr>
        <w:t>como qualquer coisa percebida ou concebida,</w:t>
      </w:r>
      <w:r w:rsidRPr="00C10E17">
        <w:rPr>
          <w:rFonts w:ascii="Times New Roman" w:eastAsia="Calibri" w:hAnsi="Times New Roman" w:cs="Times New Roman"/>
          <w:kern w:val="0"/>
          <w:sz w:val="24"/>
          <w:szCs w:val="24"/>
          <w14:ligatures w14:val="none"/>
        </w:rPr>
        <w:t xml:space="preserve"> são diferenciados entre si graças à conceituação e por meio desse processo os objetos são categorizados (</w:t>
      </w:r>
      <w:r w:rsidRPr="00C10E17">
        <w:rPr>
          <w:rFonts w:ascii="Times New Roman" w:eastAsia="Calibri" w:hAnsi="Times New Roman" w:cs="Times New Roman"/>
          <w:kern w:val="0"/>
          <w:sz w:val="24"/>
          <w:szCs w:val="24"/>
          <w:lang w:val="pt"/>
          <w14:ligatures w14:val="none"/>
        </w:rPr>
        <w:t>ISO 704, 2000)</w:t>
      </w:r>
      <w:r w:rsidRPr="00C10E17">
        <w:rPr>
          <w:rFonts w:ascii="Times New Roman" w:eastAsia="Calibri" w:hAnsi="Times New Roman" w:cs="Times New Roman"/>
          <w:kern w:val="0"/>
          <w:sz w:val="20"/>
          <w:szCs w:val="20"/>
          <w:lang w:val="pt"/>
          <w14:ligatures w14:val="none"/>
        </w:rPr>
        <w:t>.</w:t>
      </w:r>
      <w:r w:rsidRPr="00C10E17">
        <w:rPr>
          <w:rFonts w:ascii="Times New Roman" w:eastAsia="Calibri" w:hAnsi="Times New Roman" w:cs="Times New Roman"/>
          <w:kern w:val="0"/>
          <w:sz w:val="24"/>
          <w:szCs w:val="24"/>
          <w14:ligatures w14:val="none"/>
        </w:rPr>
        <w:t xml:space="preserve"> </w:t>
      </w:r>
    </w:p>
    <w:p w14:paraId="5C3CE845" w14:textId="77777777" w:rsidR="00B125DC" w:rsidRPr="00C10E17" w:rsidRDefault="00B125DC" w:rsidP="00556853">
      <w:pPr>
        <w:spacing w:after="0" w:line="360" w:lineRule="auto"/>
        <w:ind w:firstLine="709"/>
        <w:jc w:val="both"/>
        <w:rPr>
          <w:rFonts w:ascii="Times New Roman" w:eastAsia="Calibri" w:hAnsi="Times New Roman" w:cs="Times New Roman"/>
          <w:kern w:val="0"/>
          <w:sz w:val="24"/>
          <w:szCs w:val="24"/>
          <w:lang w:val="pt"/>
          <w14:ligatures w14:val="none"/>
        </w:rPr>
      </w:pPr>
      <w:r w:rsidRPr="00C10E17">
        <w:rPr>
          <w:rFonts w:ascii="Times New Roman" w:eastAsia="Calibri" w:hAnsi="Times New Roman" w:cs="Times New Roman"/>
          <w:kern w:val="0"/>
          <w:sz w:val="24"/>
          <w:szCs w:val="24"/>
          <w:lang w:val="pt"/>
          <w14:ligatures w14:val="none"/>
        </w:rPr>
        <w:t xml:space="preserve">Na classificação da paisagem, com base no mapeamento da área da Geografia e no contexto dos censos agropecuários, os termos revelam a especificidade de cada categoria. Dahlberg (1978) explicita que a comparação entre os conceitos por meio de suas características incide no modo de organização dos conceitos no sistema de classificação. Portanto, o conhecimento dessas características influencia na sua ordenação classificatória e relação conceitual. Consequentemente, em função de suas características, a paisagem pode ser classificada em paisagem natural e a paisagem cultural. </w:t>
      </w:r>
    </w:p>
    <w:p w14:paraId="27A77DB4" w14:textId="77777777" w:rsidR="00B125DC" w:rsidRPr="00CE5E4F" w:rsidRDefault="00B125DC" w:rsidP="00556853">
      <w:pPr>
        <w:spacing w:after="0" w:line="360" w:lineRule="auto"/>
        <w:ind w:firstLine="709"/>
        <w:jc w:val="both"/>
        <w:rPr>
          <w:rFonts w:ascii="Times New Roman" w:eastAsia="Calibri" w:hAnsi="Times New Roman" w:cs="Times New Roman"/>
          <w:kern w:val="0"/>
          <w:sz w:val="24"/>
          <w:szCs w:val="24"/>
          <w:lang w:val="pt"/>
          <w14:ligatures w14:val="none"/>
        </w:rPr>
      </w:pPr>
      <w:r w:rsidRPr="00CE5E4F">
        <w:rPr>
          <w:rFonts w:ascii="Times New Roman" w:eastAsia="Calibri" w:hAnsi="Times New Roman" w:cs="Times New Roman"/>
          <w:kern w:val="0"/>
          <w:sz w:val="24"/>
          <w:szCs w:val="24"/>
          <w:lang w:val="pt"/>
          <w14:ligatures w14:val="none"/>
        </w:rPr>
        <w:t xml:space="preserve">Sendo assim, à paisagem natural se vincula a cobertura da terra (águas, áreas de mineração e vegetação) e à paisagem cultural, conectam-se áreas urbanizadas (cidades, vilas e complexos industriais) e áreas agrícolas, sendo esta subdividida em: estabelecimento agropecuário; práticas agrícolas; recursos hídricos; terras irrigadas e métodos de irrigação; e utilização das terras, com base nos censos agropecuários. </w:t>
      </w:r>
    </w:p>
    <w:p w14:paraId="5F8E25AD" w14:textId="77777777" w:rsidR="00B125DC" w:rsidRPr="00CE5E4F" w:rsidRDefault="00B125DC" w:rsidP="00556853">
      <w:pPr>
        <w:spacing w:after="0" w:line="360" w:lineRule="auto"/>
        <w:ind w:firstLine="708"/>
        <w:jc w:val="both"/>
        <w:rPr>
          <w:rFonts w:ascii="Times New Roman" w:eastAsia="Calibri" w:hAnsi="Times New Roman" w:cs="Times New Roman"/>
          <w:kern w:val="0"/>
          <w:sz w:val="24"/>
          <w:szCs w:val="24"/>
          <w:lang w:val="pt"/>
          <w14:ligatures w14:val="none"/>
        </w:rPr>
      </w:pPr>
      <w:r w:rsidRPr="00CE5E4F">
        <w:rPr>
          <w:rFonts w:ascii="Times New Roman" w:eastAsia="Calibri" w:hAnsi="Times New Roman" w:cs="Times New Roman"/>
          <w:kern w:val="0"/>
          <w:sz w:val="24"/>
          <w:szCs w:val="24"/>
          <w:lang w:val="pt"/>
          <w14:ligatures w14:val="none"/>
        </w:rPr>
        <w:t xml:space="preserve">A organização e representação da paisagem numa estrutura classificatória concentra o conhecimento consensual e compartilhado no domínio da Geografia, sendo complementada </w:t>
      </w:r>
      <w:r w:rsidRPr="00CE5E4F">
        <w:rPr>
          <w:rFonts w:ascii="Times New Roman" w:eastAsia="Calibri" w:hAnsi="Times New Roman" w:cs="Times New Roman"/>
          <w:kern w:val="0"/>
          <w:sz w:val="24"/>
          <w:szCs w:val="24"/>
          <w:lang w:val="pt"/>
          <w14:ligatures w14:val="none"/>
        </w:rPr>
        <w:lastRenderedPageBreak/>
        <w:t>pelos termos extraídos dos censos agropecuários, advindos das características previamente selecionadas para esta pesquisa.</w:t>
      </w:r>
    </w:p>
    <w:p w14:paraId="6F8DD0D4" w14:textId="77777777" w:rsidR="00863B19" w:rsidRDefault="00863B19" w:rsidP="00556853">
      <w:pPr>
        <w:spacing w:after="0" w:line="360" w:lineRule="auto"/>
        <w:jc w:val="both"/>
        <w:rPr>
          <w:rFonts w:ascii="Times New Roman" w:eastAsia="Calibri" w:hAnsi="Times New Roman" w:cs="Times New Roman"/>
          <w:b/>
          <w:bCs/>
          <w:kern w:val="0"/>
          <w:sz w:val="28"/>
          <w:szCs w:val="28"/>
          <w14:ligatures w14:val="none"/>
        </w:rPr>
      </w:pPr>
    </w:p>
    <w:p w14:paraId="4D33E51C" w14:textId="77777777" w:rsidR="00B125DC" w:rsidRDefault="00B125DC" w:rsidP="00556853">
      <w:pPr>
        <w:spacing w:after="0" w:line="360" w:lineRule="auto"/>
        <w:jc w:val="both"/>
        <w:rPr>
          <w:rFonts w:ascii="Times New Roman" w:eastAsia="Calibri" w:hAnsi="Times New Roman" w:cs="Times New Roman"/>
          <w:b/>
          <w:bCs/>
          <w:kern w:val="0"/>
          <w:sz w:val="24"/>
          <w:szCs w:val="24"/>
          <w14:ligatures w14:val="none"/>
        </w:rPr>
      </w:pPr>
      <w:r w:rsidRPr="00863B19">
        <w:rPr>
          <w:rFonts w:ascii="Times New Roman" w:eastAsia="Calibri" w:hAnsi="Times New Roman" w:cs="Times New Roman"/>
          <w:kern w:val="0"/>
          <w:sz w:val="24"/>
          <w:szCs w:val="24"/>
          <w14:ligatures w14:val="none"/>
        </w:rPr>
        <w:t>2</w:t>
      </w:r>
      <w:r w:rsidRPr="00DB4A51">
        <w:rPr>
          <w:rFonts w:ascii="Times New Roman" w:eastAsia="Calibri" w:hAnsi="Times New Roman" w:cs="Times New Roman"/>
          <w:b/>
          <w:bCs/>
          <w:kern w:val="0"/>
          <w:sz w:val="24"/>
          <w:szCs w:val="24"/>
          <w14:ligatures w14:val="none"/>
        </w:rPr>
        <w:t xml:space="preserve"> QUADRO CONCEITUAL DA PAISAGEM</w:t>
      </w:r>
    </w:p>
    <w:p w14:paraId="147CE556" w14:textId="77777777" w:rsidR="00863B19" w:rsidRPr="00DB4A51" w:rsidRDefault="00863B19" w:rsidP="00556853">
      <w:pPr>
        <w:spacing w:after="0" w:line="360" w:lineRule="auto"/>
        <w:jc w:val="both"/>
        <w:rPr>
          <w:rFonts w:ascii="Times New Roman" w:eastAsia="Calibri" w:hAnsi="Times New Roman" w:cs="Times New Roman"/>
          <w:b/>
          <w:bCs/>
          <w:kern w:val="0"/>
          <w:sz w:val="24"/>
          <w:szCs w:val="24"/>
          <w14:ligatures w14:val="none"/>
        </w:rPr>
      </w:pPr>
    </w:p>
    <w:p w14:paraId="5AE933B8" w14:textId="77777777" w:rsidR="00B125DC" w:rsidRPr="00CE5E4F" w:rsidRDefault="00B125DC" w:rsidP="00556853">
      <w:pPr>
        <w:spacing w:after="0" w:line="360" w:lineRule="auto"/>
        <w:ind w:firstLine="709"/>
        <w:jc w:val="both"/>
        <w:rPr>
          <w:rFonts w:ascii="Times New Roman" w:eastAsia="SimSun" w:hAnsi="Times New Roman" w:cs="Times New Roman"/>
          <w:kern w:val="1"/>
          <w:sz w:val="24"/>
          <w:szCs w:val="24"/>
          <w:lang w:eastAsia="zh-CN" w:bidi="hi-IN"/>
          <w14:ligatures w14:val="none"/>
        </w:rPr>
      </w:pPr>
      <w:r w:rsidRPr="00CE5E4F">
        <w:rPr>
          <w:rFonts w:ascii="Times New Roman" w:eastAsia="SimSun" w:hAnsi="Times New Roman" w:cs="Times New Roman"/>
          <w:kern w:val="1"/>
          <w:sz w:val="24"/>
          <w:szCs w:val="24"/>
          <w:lang w:eastAsia="zh-CN" w:bidi="hi-IN"/>
          <w14:ligatures w14:val="none"/>
        </w:rPr>
        <w:t>O quadro conceitual da paisagem é formado por diferentes abordagens teóricas e seu entendimento é mediado pela sinergia que se estabelece da depreensão de seus sistemas naturais e antrópicos, que agrupados revelam a dimensão de suas características e, por conseguinte, as categorias que atuarão para formar sua classificação no contexto da organização do conhecimento registrado e no domínio da Geografia.</w:t>
      </w:r>
    </w:p>
    <w:p w14:paraId="3F71FDCC" w14:textId="77777777" w:rsidR="00B125DC" w:rsidRPr="00CE5E4F" w:rsidRDefault="00B125DC" w:rsidP="00556853">
      <w:pPr>
        <w:spacing w:after="0" w:line="360" w:lineRule="auto"/>
        <w:ind w:firstLine="708"/>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 xml:space="preserve">No âmbito da Geografia, o estudo do conceito de paisagem, é referendado nesta pesquisa por textos acadêmicos sob a chancela de Tesser Obregon (2000), Cosgrove (1998), Solana (2016), Giannella (2008), Gomes (2013), Luchiari (2001), Santos (2014), Bertrand (2004), Saquet (2015), Gambi (1961), Turri (1974, 2002), Corrêa e Rosendahl (1998), Sauer (1998), Lema (1997), Veronezzi e Fajardo (2015), Lepczyk, Lortie e Anderson (2008), Konkoly-Gyuró (2018), </w:t>
      </w:r>
      <w:r w:rsidRPr="00CE5E4F">
        <w:rPr>
          <w:rFonts w:ascii="Times New Roman" w:eastAsia="SimSun" w:hAnsi="Times New Roman" w:cs="Times New Roman"/>
          <w:kern w:val="1"/>
          <w:sz w:val="24"/>
          <w:szCs w:val="24"/>
          <w:lang w:eastAsia="zh-CN" w:bidi="hi-IN"/>
          <w14:ligatures w14:val="none"/>
        </w:rPr>
        <w:t>Grenersen, Kemi e Nilsen (2016)</w:t>
      </w:r>
      <w:r w:rsidRPr="00CE5E4F">
        <w:rPr>
          <w:rFonts w:ascii="Times New Roman" w:eastAsia="Calibri" w:hAnsi="Times New Roman" w:cs="Times New Roman"/>
          <w:kern w:val="0"/>
          <w:sz w:val="24"/>
          <w:szCs w:val="24"/>
          <w14:ligatures w14:val="none"/>
        </w:rPr>
        <w:t xml:space="preserve"> e Cavaco (2005).</w:t>
      </w:r>
    </w:p>
    <w:p w14:paraId="132260CA" w14:textId="77777777" w:rsidR="00B125DC" w:rsidRDefault="00B125DC" w:rsidP="00556853">
      <w:pPr>
        <w:spacing w:after="0" w:line="360" w:lineRule="auto"/>
        <w:ind w:firstLine="709"/>
        <w:jc w:val="both"/>
        <w:rPr>
          <w:rFonts w:ascii="Times New Roman" w:eastAsia="Calibri" w:hAnsi="Times New Roman" w:cs="Times New Roman"/>
          <w:kern w:val="0"/>
          <w:sz w:val="24"/>
          <w:szCs w:val="24"/>
          <w14:ligatures w14:val="none"/>
        </w:rPr>
      </w:pPr>
      <w:r w:rsidRPr="00CE5E4F">
        <w:rPr>
          <w:rFonts w:ascii="Times New Roman" w:eastAsia="SimSun" w:hAnsi="Times New Roman" w:cs="Times New Roman"/>
          <w:kern w:val="1"/>
          <w:sz w:val="24"/>
          <w:szCs w:val="24"/>
          <w:lang w:eastAsia="zh-CN" w:bidi="hi-IN"/>
          <w14:ligatures w14:val="none"/>
        </w:rPr>
        <w:t xml:space="preserve">A partir das décadas de 1960 e 1970, a paisagem se torna um conceito-chave da Geografia quando se insere em seus estudos os aspectos subjetivos e dá-se destaque aos seus significados, com o homem assumindo um papel determinante nas relações causais que irão revelar a fragmentação da paisagem e consequentemente sua diversidade em paisagens morfológicas, vegetais, urbanas e rurais, emergindo, desse modo, a noção de paisagem integradora, segundo Santos (2014, p. 78): “A paisagem é materialidade, formada por objetos materiais e não materiais. A vida é sinônimo de relações sociais, e estas não são possíveis sem a materialidade, que fixa relações sociais, que se dão por intermédio dos objetos”. </w:t>
      </w:r>
      <w:r w:rsidRPr="00CE5E4F">
        <w:rPr>
          <w:rFonts w:ascii="Times New Roman" w:eastAsia="Calibri" w:hAnsi="Times New Roman" w:cs="Times New Roman"/>
          <w:kern w:val="0"/>
          <w:sz w:val="24"/>
          <w:szCs w:val="24"/>
          <w14:ligatures w14:val="none"/>
        </w:rPr>
        <w:t xml:space="preserve">Bertrand (2004) também se refere ao conceito de paisagem vendo-a como um sistema de sistemas: </w:t>
      </w:r>
    </w:p>
    <w:p w14:paraId="69E0A116" w14:textId="77777777" w:rsidR="00863B19" w:rsidRPr="00CE5E4F" w:rsidRDefault="00863B19" w:rsidP="00556853">
      <w:pPr>
        <w:spacing w:after="0" w:line="360" w:lineRule="auto"/>
        <w:ind w:firstLine="709"/>
        <w:jc w:val="both"/>
        <w:rPr>
          <w:rFonts w:ascii="Times New Roman" w:eastAsia="Calibri" w:hAnsi="Times New Roman" w:cs="Times New Roman"/>
          <w:kern w:val="0"/>
          <w:sz w:val="24"/>
          <w:szCs w:val="24"/>
          <w14:ligatures w14:val="none"/>
        </w:rPr>
      </w:pPr>
    </w:p>
    <w:p w14:paraId="28E7EB84" w14:textId="77777777" w:rsidR="00B125DC" w:rsidRPr="00CE5E4F" w:rsidRDefault="00B125DC" w:rsidP="00556853">
      <w:pPr>
        <w:spacing w:after="0" w:line="360" w:lineRule="auto"/>
        <w:ind w:left="2268"/>
        <w:jc w:val="both"/>
        <w:rPr>
          <w:rFonts w:ascii="Times New Roman" w:eastAsia="Calibri" w:hAnsi="Times New Roman" w:cs="Times New Roman"/>
          <w:kern w:val="0"/>
          <w:sz w:val="20"/>
          <w:szCs w:val="20"/>
          <w14:ligatures w14:val="none"/>
        </w:rPr>
      </w:pPr>
      <w:r w:rsidRPr="00CE5E4F">
        <w:rPr>
          <w:rFonts w:ascii="Times New Roman" w:eastAsia="Calibri" w:hAnsi="Times New Roman" w:cs="Times New Roman"/>
          <w:kern w:val="0"/>
          <w:sz w:val="20"/>
          <w:szCs w:val="20"/>
          <w14:ligatures w14:val="none"/>
        </w:rPr>
        <w:t>A paisagem não é a simples adição de elementos geográficos disparatados. É, em uma determinada porção do espaço, o resultado da combinação dinâmica, portanto instável, de elementos físicos, biológicos e antrópicos que, reagindo dialeticamente uns sobre os outros, fazem da paisagem um conjunto único e indissociável, em perpétua evolução (Bertrand, 2004, p. 141).</w:t>
      </w:r>
    </w:p>
    <w:p w14:paraId="6F335AFC" w14:textId="77777777" w:rsidR="00863B19" w:rsidRDefault="00863B19" w:rsidP="00556853">
      <w:pPr>
        <w:spacing w:after="0" w:line="360" w:lineRule="auto"/>
        <w:ind w:firstLine="709"/>
        <w:jc w:val="both"/>
        <w:rPr>
          <w:rFonts w:ascii="Times New Roman" w:eastAsia="Calibri" w:hAnsi="Times New Roman" w:cs="Times New Roman"/>
          <w:kern w:val="0"/>
          <w:sz w:val="24"/>
          <w:szCs w:val="24"/>
          <w14:ligatures w14:val="none"/>
        </w:rPr>
      </w:pPr>
    </w:p>
    <w:p w14:paraId="64430164" w14:textId="6990B317" w:rsidR="00B125DC" w:rsidRPr="00CE5E4F" w:rsidRDefault="00B125DC" w:rsidP="00556853">
      <w:pPr>
        <w:spacing w:after="0" w:line="360" w:lineRule="auto"/>
        <w:ind w:firstLine="709"/>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 xml:space="preserve">Paisagem é, então, uma sucessão de forças naturais e artificiais que, juntas, operam diferentes ações produtivas, na concepção de Santos (2014). </w:t>
      </w:r>
      <w:r w:rsidRPr="00CE5E4F">
        <w:rPr>
          <w:rFonts w:ascii="Times New Roman" w:eastAsia="SimSun" w:hAnsi="Times New Roman" w:cs="Times New Roman"/>
          <w:kern w:val="1"/>
          <w:sz w:val="24"/>
          <w:szCs w:val="24"/>
          <w:lang w:eastAsia="zh-CN" w:bidi="hi-IN"/>
          <w14:ligatures w14:val="none"/>
        </w:rPr>
        <w:t xml:space="preserve">Esse conceito de paisagem </w:t>
      </w:r>
      <w:r w:rsidRPr="00CE5E4F">
        <w:rPr>
          <w:rFonts w:ascii="Times New Roman" w:eastAsia="SimSun" w:hAnsi="Times New Roman" w:cs="Times New Roman"/>
          <w:kern w:val="1"/>
          <w:sz w:val="24"/>
          <w:szCs w:val="24"/>
          <w:lang w:eastAsia="zh-CN" w:bidi="hi-IN"/>
          <w14:ligatures w14:val="none"/>
        </w:rPr>
        <w:lastRenderedPageBreak/>
        <w:t>reconhece as relações sociais como aspectos inerentes à análise da paisagem, indo além de simples descrições, destacando também conceitos de território e espaço geográfico, vistos sob o ponto de vista historicista e materialista, centrada na percepção dos sujeitos. Essa abordagem depreende a paisagem como representação por meio dos símbolos da vida cotidiana, segundo Saquet (2015).</w:t>
      </w:r>
    </w:p>
    <w:p w14:paraId="79993C61" w14:textId="77777777" w:rsidR="00B125DC" w:rsidRDefault="00B125DC" w:rsidP="00556853">
      <w:pPr>
        <w:widowControl w:val="0"/>
        <w:tabs>
          <w:tab w:val="left" w:pos="0"/>
          <w:tab w:val="center"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r w:rsidRPr="00CE5E4F">
        <w:rPr>
          <w:rFonts w:ascii="Times New Roman" w:eastAsia="SimSun" w:hAnsi="Times New Roman" w:cs="Times New Roman"/>
          <w:kern w:val="1"/>
          <w:sz w:val="24"/>
          <w:szCs w:val="24"/>
          <w:lang w:eastAsia="zh-CN" w:bidi="hi-IN"/>
          <w14:ligatures w14:val="none"/>
        </w:rPr>
        <w:t xml:space="preserve">Em fins da década de 1990, Corrêa e Rosendahl (1998) incluem em seu trabalho </w:t>
      </w:r>
      <w:r w:rsidRPr="00CE5E4F">
        <w:rPr>
          <w:rFonts w:ascii="Times New Roman" w:eastAsia="SimSun" w:hAnsi="Times New Roman" w:cs="Times New Roman"/>
          <w:i/>
          <w:iCs/>
          <w:kern w:val="1"/>
          <w:sz w:val="24"/>
          <w:szCs w:val="24"/>
          <w:lang w:eastAsia="zh-CN" w:bidi="hi-IN"/>
          <w14:ligatures w14:val="none"/>
        </w:rPr>
        <w:t>Paisagem, tempo e cultura</w:t>
      </w:r>
      <w:r w:rsidRPr="00CE5E4F">
        <w:rPr>
          <w:rFonts w:ascii="Times New Roman" w:eastAsia="SimSun" w:hAnsi="Times New Roman" w:cs="Times New Roman"/>
          <w:kern w:val="1"/>
          <w:sz w:val="24"/>
          <w:szCs w:val="24"/>
          <w:lang w:eastAsia="zh-CN" w:bidi="hi-IN"/>
          <w14:ligatures w14:val="none"/>
        </w:rPr>
        <w:t xml:space="preserve">, a tradução do texto </w:t>
      </w:r>
      <w:r w:rsidRPr="00CE5E4F">
        <w:rPr>
          <w:rFonts w:ascii="Times New Roman" w:eastAsia="SimSun" w:hAnsi="Times New Roman" w:cs="Times New Roman"/>
          <w:i/>
          <w:iCs/>
          <w:kern w:val="1"/>
          <w:sz w:val="24"/>
          <w:szCs w:val="24"/>
          <w:lang w:eastAsia="zh-CN" w:bidi="hi-IN"/>
          <w14:ligatures w14:val="none"/>
        </w:rPr>
        <w:t>A morfologia da paisagem</w:t>
      </w:r>
      <w:r w:rsidRPr="00CE5E4F">
        <w:rPr>
          <w:rFonts w:ascii="Times New Roman" w:eastAsia="SimSun" w:hAnsi="Times New Roman" w:cs="Times New Roman"/>
          <w:kern w:val="1"/>
          <w:sz w:val="24"/>
          <w:szCs w:val="24"/>
          <w:lang w:eastAsia="zh-CN" w:bidi="hi-IN"/>
          <w14:ligatures w14:val="none"/>
        </w:rPr>
        <w:t xml:space="preserve">, de Carl Ortwin Sauer (1889-1975), escrito em 1925. Para este geógrafo americano, a paisagem corresponde a um sistema integrado que associa formas físicas e culturais: </w:t>
      </w:r>
    </w:p>
    <w:p w14:paraId="6275CDE9" w14:textId="77777777" w:rsidR="00863B19" w:rsidRPr="00CE5E4F" w:rsidRDefault="00863B19" w:rsidP="00556853">
      <w:pPr>
        <w:widowControl w:val="0"/>
        <w:tabs>
          <w:tab w:val="left" w:pos="0"/>
          <w:tab w:val="center"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p>
    <w:p w14:paraId="06AE5A64" w14:textId="77777777" w:rsidR="00B125DC" w:rsidRPr="00CE5E4F" w:rsidRDefault="00B125DC" w:rsidP="00D121C1">
      <w:pPr>
        <w:widowControl w:val="0"/>
        <w:tabs>
          <w:tab w:val="left" w:pos="2268"/>
        </w:tabs>
        <w:suppressAutoHyphens/>
        <w:spacing w:after="0" w:line="240" w:lineRule="auto"/>
        <w:ind w:left="2268"/>
        <w:jc w:val="both"/>
        <w:rPr>
          <w:rFonts w:ascii="Times New Roman" w:eastAsia="SimSun" w:hAnsi="Times New Roman" w:cs="Times New Roman"/>
          <w:kern w:val="1"/>
          <w:sz w:val="20"/>
          <w:szCs w:val="20"/>
          <w:lang w:eastAsia="zh-CN" w:bidi="hi-IN"/>
          <w14:ligatures w14:val="none"/>
        </w:rPr>
      </w:pPr>
      <w:r w:rsidRPr="00CE5E4F">
        <w:rPr>
          <w:rFonts w:ascii="Times New Roman" w:eastAsia="SimSun" w:hAnsi="Times New Roman" w:cs="Times New Roman"/>
          <w:kern w:val="1"/>
          <w:sz w:val="20"/>
          <w:szCs w:val="20"/>
          <w:lang w:eastAsia="zh-CN" w:bidi="hi-IN"/>
          <w14:ligatures w14:val="none"/>
        </w:rPr>
        <w:t>O conteúdo da paisagem é encontrado, portanto, nas qualidades físicas da área que são importantes para o homem e nas formas do uso da área, em fatos de base física e fatos da cultura humana.</w:t>
      </w:r>
    </w:p>
    <w:p w14:paraId="69CE5943" w14:textId="77777777" w:rsidR="00B125DC" w:rsidRPr="00CE5E4F" w:rsidRDefault="00B125DC" w:rsidP="00D121C1">
      <w:pPr>
        <w:widowControl w:val="0"/>
        <w:tabs>
          <w:tab w:val="left" w:pos="0"/>
        </w:tabs>
        <w:suppressAutoHyphens/>
        <w:spacing w:after="0" w:line="240" w:lineRule="auto"/>
        <w:ind w:left="2268"/>
        <w:jc w:val="both"/>
        <w:rPr>
          <w:rFonts w:ascii="Times New Roman" w:eastAsia="SimSun" w:hAnsi="Times New Roman" w:cs="Times New Roman"/>
          <w:kern w:val="1"/>
          <w:sz w:val="20"/>
          <w:szCs w:val="20"/>
          <w:lang w:eastAsia="zh-CN" w:bidi="hi-IN"/>
          <w14:ligatures w14:val="none"/>
        </w:rPr>
      </w:pPr>
      <w:r w:rsidRPr="00CE5E4F">
        <w:rPr>
          <w:rFonts w:ascii="Times New Roman" w:eastAsia="SimSun" w:hAnsi="Times New Roman" w:cs="Times New Roman"/>
          <w:kern w:val="1"/>
          <w:sz w:val="20"/>
          <w:szCs w:val="20"/>
          <w:lang w:eastAsia="zh-CN" w:bidi="hi-IN"/>
          <w14:ligatures w14:val="none"/>
        </w:rPr>
        <w:t xml:space="preserve">A divisão de formas em naturais e culturais é a base necessária para   determinar a importância da área e o caráter da atividade humana. [...] a geografia torna-se então aquela parte do último capítulo humano na história da Terra que diz respeito à diferenciação da paisagem pelo homem (Sauer, 1998, p. 29, 43). </w:t>
      </w:r>
    </w:p>
    <w:p w14:paraId="4CD8AAAD" w14:textId="77777777" w:rsidR="00863B19" w:rsidRDefault="00863B19" w:rsidP="00556853">
      <w:pPr>
        <w:widowControl w:val="0"/>
        <w:tabs>
          <w:tab w:val="center" w:pos="0"/>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p>
    <w:p w14:paraId="2C433C41" w14:textId="5C694068" w:rsidR="00B125DC" w:rsidRPr="00CE5E4F" w:rsidRDefault="00B125DC" w:rsidP="00556853">
      <w:pPr>
        <w:widowControl w:val="0"/>
        <w:tabs>
          <w:tab w:val="center" w:pos="0"/>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r w:rsidRPr="00CE5E4F">
        <w:rPr>
          <w:rFonts w:ascii="Times New Roman" w:eastAsia="SimSun" w:hAnsi="Times New Roman" w:cs="Times New Roman"/>
          <w:kern w:val="1"/>
          <w:sz w:val="24"/>
          <w:szCs w:val="24"/>
          <w:lang w:eastAsia="zh-CN" w:bidi="hi-IN"/>
          <w14:ligatures w14:val="none"/>
        </w:rPr>
        <w:t xml:space="preserve">Partindo dos apontamentos de Sauer (1998), percebe-se a introdução da classificação da paisagem em duas vertentes, a natural e a cultural. </w:t>
      </w:r>
      <w:r w:rsidRPr="00863B19">
        <w:rPr>
          <w:rFonts w:ascii="Times New Roman" w:eastAsia="SimSun" w:hAnsi="Times New Roman" w:cs="Times New Roman"/>
          <w:kern w:val="1"/>
          <w:sz w:val="24"/>
          <w:szCs w:val="24"/>
          <w:lang w:eastAsia="zh-CN" w:bidi="hi-IN"/>
          <w14:ligatures w14:val="none"/>
        </w:rPr>
        <w:t xml:space="preserve">Ao descrever </w:t>
      </w:r>
      <w:r w:rsidRPr="00CE5E4F">
        <w:rPr>
          <w:rFonts w:ascii="Times New Roman" w:eastAsia="SimSun" w:hAnsi="Times New Roman" w:cs="Times New Roman"/>
          <w:kern w:val="1"/>
          <w:sz w:val="24"/>
          <w:szCs w:val="24"/>
          <w:lang w:eastAsia="zh-CN" w:bidi="hi-IN"/>
          <w14:ligatures w14:val="none"/>
        </w:rPr>
        <w:t>sobre a paisagem natural, Sauer (1998) explica que os critérios que exprimem suas formas são, primeiramente, os materiais da crosta terrestre, compreendidos entre topografia, solo, drenagem (rios, pântanos, cursos de água, alagados), vegetação e a distribuição mineral. O segundo fator determinante é o clima.</w:t>
      </w:r>
    </w:p>
    <w:p w14:paraId="2A6B4615" w14:textId="77777777" w:rsidR="00B125DC" w:rsidRDefault="00B125DC" w:rsidP="00556853">
      <w:pPr>
        <w:widowControl w:val="0"/>
        <w:tabs>
          <w:tab w:val="left"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r w:rsidRPr="00C10E17">
        <w:rPr>
          <w:rFonts w:ascii="Times New Roman" w:eastAsia="SimSun" w:hAnsi="Times New Roman" w:cs="Times New Roman"/>
          <w:kern w:val="1"/>
          <w:sz w:val="24"/>
          <w:szCs w:val="24"/>
          <w:lang w:eastAsia="zh-CN" w:bidi="hi-IN"/>
          <w14:ligatures w14:val="none"/>
        </w:rPr>
        <w:t xml:space="preserve">A respeito da paisagem </w:t>
      </w:r>
      <w:r w:rsidRPr="00CE5E4F">
        <w:rPr>
          <w:rFonts w:ascii="Times New Roman" w:eastAsia="SimSun" w:hAnsi="Times New Roman" w:cs="Times New Roman"/>
          <w:kern w:val="1"/>
          <w:sz w:val="24"/>
          <w:szCs w:val="24"/>
          <w:lang w:eastAsia="zh-CN" w:bidi="hi-IN"/>
          <w14:ligatures w14:val="none"/>
        </w:rPr>
        <w:t>cultural, Sauer (1998) esclarece que seu estudo subentende a paisagem natural transformada pelas mãos dos homens por meio de suas culturas ao fazer uso das formas naturais:</w:t>
      </w:r>
    </w:p>
    <w:p w14:paraId="01CD2228" w14:textId="77777777" w:rsidR="00863B19" w:rsidRPr="00CE5E4F" w:rsidRDefault="00863B19" w:rsidP="00556853">
      <w:pPr>
        <w:widowControl w:val="0"/>
        <w:tabs>
          <w:tab w:val="left"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p>
    <w:p w14:paraId="706C5D81" w14:textId="77777777" w:rsidR="00B125DC" w:rsidRPr="00CE5E4F" w:rsidRDefault="00B125DC" w:rsidP="00D121C1">
      <w:pPr>
        <w:widowControl w:val="0"/>
        <w:tabs>
          <w:tab w:val="left" w:pos="709"/>
        </w:tabs>
        <w:suppressAutoHyphens/>
        <w:spacing w:after="0" w:line="240" w:lineRule="auto"/>
        <w:ind w:left="2268"/>
        <w:jc w:val="both"/>
        <w:rPr>
          <w:rFonts w:ascii="Times New Roman" w:eastAsia="SimSun" w:hAnsi="Times New Roman" w:cs="Times New Roman"/>
          <w:kern w:val="1"/>
          <w:sz w:val="20"/>
          <w:szCs w:val="20"/>
          <w:lang w:eastAsia="zh-CN" w:bidi="hi-IN"/>
          <w14:ligatures w14:val="none"/>
        </w:rPr>
      </w:pPr>
      <w:r w:rsidRPr="00CE5E4F">
        <w:rPr>
          <w:rFonts w:ascii="Times New Roman" w:eastAsia="SimSun" w:hAnsi="Times New Roman" w:cs="Times New Roman"/>
          <w:kern w:val="1"/>
          <w:sz w:val="20"/>
          <w:szCs w:val="20"/>
          <w:lang w:eastAsia="zh-CN" w:bidi="hi-IN"/>
          <w14:ligatures w14:val="none"/>
        </w:rPr>
        <w:t>A paisagem cultural é a área geográfica em seu último significado (</w:t>
      </w:r>
      <w:r w:rsidRPr="00CE5E4F">
        <w:rPr>
          <w:rFonts w:ascii="Times New Roman" w:eastAsia="SimSun" w:hAnsi="Times New Roman" w:cs="Times New Roman"/>
          <w:i/>
          <w:iCs/>
          <w:kern w:val="1"/>
          <w:sz w:val="20"/>
          <w:szCs w:val="20"/>
          <w:lang w:eastAsia="zh-CN" w:bidi="hi-IN"/>
          <w14:ligatures w14:val="none"/>
        </w:rPr>
        <w:t>chore</w:t>
      </w:r>
      <w:r w:rsidRPr="00CE5E4F">
        <w:rPr>
          <w:rFonts w:ascii="Times New Roman" w:eastAsia="SimSun" w:hAnsi="Times New Roman" w:cs="Times New Roman"/>
          <w:kern w:val="1"/>
          <w:sz w:val="20"/>
          <w:szCs w:val="20"/>
          <w:lang w:eastAsia="zh-CN" w:bidi="hi-IN"/>
          <w14:ligatures w14:val="none"/>
        </w:rPr>
        <w:t>). Suas formas são todas obras do homem que caracterizam a paisagem. [...] marcas do homem na paisagem. A habitação inclui os tipos de estrutura que o homem constrói e seu agrupamento, dispersos como em muitos distritos rurais ou aglomerados em vilas e cidades com seus planos variáveis (</w:t>
      </w:r>
      <w:r w:rsidRPr="00CE5E4F">
        <w:rPr>
          <w:rFonts w:ascii="Times New Roman" w:eastAsia="SimSun" w:hAnsi="Times New Roman" w:cs="Times New Roman"/>
          <w:i/>
          <w:iCs/>
          <w:kern w:val="1"/>
          <w:sz w:val="20"/>
          <w:szCs w:val="20"/>
          <w:lang w:eastAsia="zh-CN" w:bidi="hi-IN"/>
          <w14:ligatures w14:val="none"/>
        </w:rPr>
        <w:t>Städtebild</w:t>
      </w:r>
      <w:r w:rsidRPr="00CE5E4F">
        <w:rPr>
          <w:rFonts w:ascii="Times New Roman" w:eastAsia="SimSun" w:hAnsi="Times New Roman" w:cs="Times New Roman"/>
          <w:kern w:val="1"/>
          <w:sz w:val="20"/>
          <w:szCs w:val="20"/>
          <w:lang w:eastAsia="zh-CN" w:bidi="hi-IN"/>
          <w14:ligatures w14:val="none"/>
        </w:rPr>
        <w:t>). Formas de produção são tipos de utilização da terra visando produtos primários, fazendas, florestas, minas [...]. (Sauer, 1998, p. 57-58, grifos do autor).</w:t>
      </w:r>
    </w:p>
    <w:p w14:paraId="5A1886EE" w14:textId="77777777" w:rsidR="00863B19" w:rsidRDefault="00863B19" w:rsidP="00556853">
      <w:pPr>
        <w:widowControl w:val="0"/>
        <w:tabs>
          <w:tab w:val="left"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p>
    <w:p w14:paraId="084C21D1" w14:textId="2F1880F8" w:rsidR="00B125DC" w:rsidRPr="00CE5E4F" w:rsidRDefault="00B125DC" w:rsidP="00556853">
      <w:pPr>
        <w:widowControl w:val="0"/>
        <w:tabs>
          <w:tab w:val="left"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r w:rsidRPr="00CE5E4F">
        <w:rPr>
          <w:rFonts w:ascii="Times New Roman" w:eastAsia="SimSun" w:hAnsi="Times New Roman" w:cs="Times New Roman"/>
          <w:kern w:val="1"/>
          <w:sz w:val="24"/>
          <w:szCs w:val="24"/>
          <w:lang w:eastAsia="zh-CN" w:bidi="hi-IN"/>
          <w14:ligatures w14:val="none"/>
        </w:rPr>
        <w:t xml:space="preserve">No resgate da construção do conceito de paisagem, vamos percebendo uma dinâmica entre paisagem natural e paisagem cultural buscando a organização do espaço que se dá entre o uso, manejo, ocupação da terra e impactos ambientais. A esse respeito, Lema (1997) destaca que a dualidade entre paisagem natural e paisagem cultural faz emergir o papel das representações espaciais, importante contributo para o estudo da paisagem, pois pode designar </w:t>
      </w:r>
      <w:r w:rsidRPr="00CE5E4F">
        <w:rPr>
          <w:rFonts w:ascii="Times New Roman" w:eastAsia="SimSun" w:hAnsi="Times New Roman" w:cs="Times New Roman"/>
          <w:kern w:val="1"/>
          <w:sz w:val="24"/>
          <w:szCs w:val="24"/>
          <w:lang w:eastAsia="zh-CN" w:bidi="hi-IN"/>
          <w14:ligatures w14:val="none"/>
        </w:rPr>
        <w:lastRenderedPageBreak/>
        <w:t xml:space="preserve">as realidades materiais e imateriais. </w:t>
      </w:r>
    </w:p>
    <w:p w14:paraId="6BB9FD74" w14:textId="77777777" w:rsidR="00B125DC" w:rsidRPr="00CE5E4F" w:rsidRDefault="00B125DC" w:rsidP="00556853">
      <w:pPr>
        <w:spacing w:after="0" w:line="360" w:lineRule="auto"/>
        <w:ind w:firstLine="709"/>
        <w:jc w:val="both"/>
        <w:rPr>
          <w:rFonts w:ascii="Times New Roman" w:eastAsia="SimSun" w:hAnsi="Times New Roman" w:cs="Times New Roman"/>
          <w:kern w:val="1"/>
          <w:sz w:val="24"/>
          <w:szCs w:val="24"/>
          <w:lang w:eastAsia="zh-CN" w:bidi="hi-IN"/>
          <w14:ligatures w14:val="none"/>
        </w:rPr>
      </w:pPr>
      <w:r w:rsidRPr="00CE5E4F">
        <w:rPr>
          <w:rFonts w:ascii="Times New Roman" w:eastAsia="SimSun" w:hAnsi="Times New Roman" w:cs="Times New Roman"/>
          <w:kern w:val="1"/>
          <w:sz w:val="24"/>
          <w:szCs w:val="24"/>
          <w:lang w:eastAsia="zh-CN" w:bidi="hi-IN"/>
          <w14:ligatures w14:val="none"/>
        </w:rPr>
        <w:t>Os elementos perceptíveis da paisagem originados de atividades econômicas, como é o caso das práticas agrícolas; áreas ocupadas por estabelecimentos agropecuários, tais como estábulos, fazendas, armazéns, caminhos, entre outros; utilização das terras, abrangendo lavouras, pastagens, matas e florestas; e recursos hídricos, suscitam e englobam a paisagem rural. Essa paisagem nos vem dos censos agropecuários brasileiros, pois assumem a condição de informações icônicas porque evocam imagens da paisagem rural e possui fortes implicações visuais; corresponde às variáveis investigadas pelos censos agropecuários brasileiros selecionadas para esta pesquisa, estando  seu conceito intimamente ligado às ações antrópicas, por um lado (Bertrand, 2004; Santos, 2014), ou seja, deve ser analisada pelas diferentes formas de uso da terra enquanto recurso econômico, e por recursos naturais, por outro lado, sendo impactados pelas atividades humanas.</w:t>
      </w:r>
    </w:p>
    <w:p w14:paraId="593D43A0" w14:textId="77777777" w:rsidR="00B125DC" w:rsidRPr="00CE5E4F" w:rsidRDefault="00B125DC" w:rsidP="00556853">
      <w:pPr>
        <w:widowControl w:val="0"/>
        <w:tabs>
          <w:tab w:val="left" w:pos="709"/>
        </w:tabs>
        <w:suppressAutoHyphens/>
        <w:spacing w:after="0" w:line="360" w:lineRule="auto"/>
        <w:ind w:firstLine="709"/>
        <w:jc w:val="both"/>
        <w:rPr>
          <w:rFonts w:ascii="Times New Roman" w:eastAsia="SimSun" w:hAnsi="Times New Roman" w:cs="Times New Roman"/>
          <w:kern w:val="1"/>
          <w:sz w:val="24"/>
          <w:szCs w:val="24"/>
          <w:lang w:eastAsia="zh-CN" w:bidi="hi-IN"/>
          <w14:ligatures w14:val="none"/>
        </w:rPr>
      </w:pPr>
      <w:r w:rsidRPr="00CE5E4F">
        <w:rPr>
          <w:rFonts w:ascii="Times New Roman" w:eastAsia="SimSun" w:hAnsi="Times New Roman" w:cs="Times New Roman"/>
          <w:kern w:val="1"/>
          <w:sz w:val="24"/>
          <w:szCs w:val="24"/>
          <w:lang w:eastAsia="zh-CN" w:bidi="hi-IN"/>
          <w14:ligatures w14:val="none"/>
        </w:rPr>
        <w:t>A paisagem rural combina fatores de produção devidos à agricultura e diversidade de climas que influenciam o plantio e a colheita, a rotatividade dos solos, as técnicas, estruturas e sistemas de produção, que vão das mais elementares como as queimadas e alternância dos solos às técnicas mais sofisticadas em relação aos contextos econômicos (Cavaco, 2005).</w:t>
      </w:r>
    </w:p>
    <w:p w14:paraId="1E582DF7" w14:textId="77777777" w:rsidR="00B125DC" w:rsidRPr="00CE5E4F" w:rsidRDefault="00B125DC" w:rsidP="00556853">
      <w:pPr>
        <w:spacing w:after="0" w:line="360" w:lineRule="auto"/>
        <w:ind w:firstLine="709"/>
        <w:jc w:val="both"/>
        <w:rPr>
          <w:rFonts w:ascii="Times New Roman" w:eastAsia="Calibri" w:hAnsi="Times New Roman" w:cs="Times New Roman"/>
          <w:kern w:val="0"/>
          <w:sz w:val="24"/>
          <w:szCs w:val="24"/>
          <w14:ligatures w14:val="none"/>
        </w:rPr>
      </w:pPr>
      <w:r w:rsidRPr="00CE5E4F">
        <w:rPr>
          <w:rFonts w:ascii="Times New Roman" w:eastAsia="SimSun" w:hAnsi="Times New Roman" w:cs="Times New Roman"/>
          <w:kern w:val="1"/>
          <w:sz w:val="24"/>
          <w:szCs w:val="24"/>
          <w:lang w:eastAsia="zh-CN" w:bidi="hi-IN"/>
          <w14:ligatures w14:val="none"/>
        </w:rPr>
        <w:t>A título de ilustração, sob uma perspectiva sociológica o estudo do conceito de paisagem pode se relacionar ao conceito de documento, para quando não existem registros escritos ou oral. Nesses casos, a própria paisagem pode ser vista como documento ou prova, como relatado em tribunais superiores na Noruega e no Canadá (</w:t>
      </w:r>
      <w:bookmarkStart w:id="77" w:name="_Hlk145662707"/>
      <w:r w:rsidRPr="00CE5E4F">
        <w:rPr>
          <w:rFonts w:ascii="Times New Roman" w:eastAsia="SimSun" w:hAnsi="Times New Roman" w:cs="Times New Roman"/>
          <w:kern w:val="1"/>
          <w:sz w:val="24"/>
          <w:szCs w:val="24"/>
          <w:lang w:eastAsia="zh-CN" w:bidi="hi-IN"/>
          <w14:ligatures w14:val="none"/>
        </w:rPr>
        <w:t>Grenersen; Kemi; Nilsen, 2016</w:t>
      </w:r>
      <w:bookmarkEnd w:id="77"/>
      <w:r w:rsidRPr="00CE5E4F">
        <w:rPr>
          <w:rFonts w:ascii="Times New Roman" w:eastAsia="SimSun" w:hAnsi="Times New Roman" w:cs="Times New Roman"/>
          <w:kern w:val="1"/>
          <w:sz w:val="24"/>
          <w:szCs w:val="24"/>
          <w:lang w:eastAsia="zh-CN" w:bidi="hi-IN"/>
          <w14:ligatures w14:val="none"/>
        </w:rPr>
        <w:t xml:space="preserve">). </w:t>
      </w:r>
    </w:p>
    <w:p w14:paraId="37E8123B" w14:textId="77777777" w:rsidR="00B125DC" w:rsidRPr="00CE5E4F" w:rsidRDefault="00B125DC" w:rsidP="00863B19">
      <w:pPr>
        <w:autoSpaceDE w:val="0"/>
        <w:autoSpaceDN w:val="0"/>
        <w:adjustRightInd w:val="0"/>
        <w:spacing w:after="0" w:line="360" w:lineRule="auto"/>
        <w:ind w:firstLine="709"/>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Esse recorte nos forneceu a base necessária para o direcionamento do estudo da paisagem na área de Geografia, indicando-nos lacunas a serem identificadas e apontando possíveis soluções que possam auxiliar futuramente outros profissionais que se dediquem na representação</w:t>
      </w:r>
      <w:r>
        <w:rPr>
          <w:rFonts w:ascii="Times New Roman" w:eastAsia="Calibri" w:hAnsi="Times New Roman" w:cs="Times New Roman"/>
          <w:kern w:val="0"/>
          <w:sz w:val="24"/>
          <w:szCs w:val="24"/>
          <w14:ligatures w14:val="none"/>
        </w:rPr>
        <w:t xml:space="preserve"> </w:t>
      </w:r>
      <w:r w:rsidRPr="00C10E17">
        <w:rPr>
          <w:rFonts w:ascii="Times New Roman" w:eastAsia="Calibri" w:hAnsi="Times New Roman" w:cs="Times New Roman"/>
          <w:kern w:val="0"/>
          <w:sz w:val="24"/>
          <w:szCs w:val="24"/>
          <w14:ligatures w14:val="none"/>
        </w:rPr>
        <w:t xml:space="preserve">do conhecimento dessa </w:t>
      </w:r>
      <w:r w:rsidRPr="00CE5E4F">
        <w:rPr>
          <w:rFonts w:ascii="Times New Roman" w:eastAsia="Calibri" w:hAnsi="Times New Roman" w:cs="Times New Roman"/>
          <w:kern w:val="0"/>
          <w:sz w:val="24"/>
          <w:szCs w:val="24"/>
          <w14:ligatures w14:val="none"/>
        </w:rPr>
        <w:t>temática, assim como na organização da informação por meio do emprego de ferramentas adequadas que propiciem sua recuperação de maneira eficaz.</w:t>
      </w:r>
    </w:p>
    <w:p w14:paraId="50F89289" w14:textId="77777777" w:rsidR="00B125DC" w:rsidRDefault="00B125DC" w:rsidP="00863B19">
      <w:pPr>
        <w:spacing w:after="0" w:line="360" w:lineRule="auto"/>
        <w:jc w:val="both"/>
        <w:rPr>
          <w:rFonts w:ascii="Times New Roman" w:eastAsia="Calibri" w:hAnsi="Times New Roman" w:cs="Times New Roman"/>
          <w:kern w:val="0"/>
          <w:sz w:val="24"/>
          <w:szCs w:val="24"/>
          <w14:ligatures w14:val="none"/>
        </w:rPr>
      </w:pPr>
    </w:p>
    <w:p w14:paraId="6B1A6A1C" w14:textId="77777777" w:rsidR="00B125DC" w:rsidRPr="00374494" w:rsidRDefault="00B125DC" w:rsidP="00863B19">
      <w:pPr>
        <w:spacing w:after="0" w:line="360" w:lineRule="auto"/>
        <w:jc w:val="both"/>
        <w:rPr>
          <w:rFonts w:ascii="Times New Roman" w:hAnsi="Times New Roman" w:cs="Times New Roman"/>
          <w:b/>
          <w:bCs/>
          <w:sz w:val="24"/>
          <w:szCs w:val="24"/>
        </w:rPr>
      </w:pPr>
      <w:r w:rsidRPr="00CE5E4F">
        <w:rPr>
          <w:rFonts w:ascii="Times New Roman" w:eastAsia="Calibri" w:hAnsi="Times New Roman" w:cs="Times New Roman"/>
          <w:b/>
          <w:bCs/>
          <w:kern w:val="0"/>
          <w:sz w:val="24"/>
          <w:szCs w:val="24"/>
          <w14:ligatures w14:val="none"/>
        </w:rPr>
        <w:t xml:space="preserve">2 </w:t>
      </w:r>
      <w:r w:rsidRPr="00374494">
        <w:rPr>
          <w:rFonts w:ascii="Times New Roman" w:hAnsi="Times New Roman" w:cs="Times New Roman"/>
          <w:b/>
          <w:bCs/>
          <w:sz w:val="24"/>
          <w:szCs w:val="24"/>
        </w:rPr>
        <w:t>METODOLOGIA</w:t>
      </w:r>
    </w:p>
    <w:p w14:paraId="71F1B473" w14:textId="77777777" w:rsidR="00863B19" w:rsidRDefault="00863B19" w:rsidP="00863B19">
      <w:pPr>
        <w:spacing w:after="0" w:line="360" w:lineRule="auto"/>
        <w:ind w:firstLine="709"/>
        <w:jc w:val="both"/>
        <w:rPr>
          <w:rFonts w:ascii="Times New Roman" w:hAnsi="Times New Roman" w:cs="Times New Roman"/>
          <w:sz w:val="24"/>
          <w:szCs w:val="24"/>
          <w:lang w:eastAsia="pt-BR"/>
        </w:rPr>
      </w:pPr>
    </w:p>
    <w:p w14:paraId="6F6593ED" w14:textId="35A40F74" w:rsidR="00B125DC" w:rsidRDefault="00B125DC" w:rsidP="00556853">
      <w:pPr>
        <w:spacing w:after="0" w:line="360" w:lineRule="auto"/>
        <w:ind w:firstLine="709"/>
        <w:jc w:val="both"/>
        <w:rPr>
          <w:rFonts w:ascii="Times New Roman" w:hAnsi="Times New Roman" w:cs="Times New Roman"/>
          <w:sz w:val="24"/>
          <w:szCs w:val="24"/>
          <w:lang w:eastAsia="pt-BR"/>
        </w:rPr>
      </w:pPr>
      <w:r w:rsidRPr="00374494">
        <w:rPr>
          <w:rFonts w:ascii="Times New Roman" w:hAnsi="Times New Roman" w:cs="Times New Roman"/>
          <w:sz w:val="24"/>
          <w:szCs w:val="24"/>
          <w:lang w:eastAsia="pt-BR"/>
        </w:rPr>
        <w:t>Os procedimentos metodológicos adotados n</w:t>
      </w:r>
      <w:r w:rsidRPr="00374494">
        <w:rPr>
          <w:rFonts w:ascii="Times New Roman" w:hAnsi="Times New Roman" w:cs="Times New Roman"/>
          <w:sz w:val="24"/>
          <w:szCs w:val="24"/>
        </w:rPr>
        <w:t>o desenvolvimento da</w:t>
      </w:r>
      <w:r w:rsidRPr="00374494">
        <w:rPr>
          <w:rFonts w:ascii="Times New Roman" w:hAnsi="Times New Roman" w:cs="Times New Roman"/>
          <w:sz w:val="24"/>
          <w:szCs w:val="24"/>
          <w:lang w:eastAsia="pt-BR"/>
        </w:rPr>
        <w:t xml:space="preserve"> pesquisa com vistas a alcançar o objetivo principal se dividiram em pesquisa bibliográfica e pesquisa documental. </w:t>
      </w:r>
    </w:p>
    <w:p w14:paraId="26E8F0B2" w14:textId="77777777" w:rsidR="00B125DC" w:rsidRDefault="00B125DC" w:rsidP="00556853">
      <w:pPr>
        <w:spacing w:after="0" w:line="360" w:lineRule="auto"/>
        <w:ind w:firstLine="709"/>
        <w:jc w:val="both"/>
        <w:rPr>
          <w:rFonts w:ascii="Times New Roman" w:hAnsi="Times New Roman" w:cs="Times New Roman"/>
          <w:sz w:val="24"/>
          <w:szCs w:val="24"/>
        </w:rPr>
      </w:pPr>
      <w:r w:rsidRPr="00374494">
        <w:rPr>
          <w:rFonts w:ascii="Times New Roman" w:hAnsi="Times New Roman" w:cs="Times New Roman"/>
          <w:sz w:val="24"/>
          <w:szCs w:val="24"/>
          <w:lang w:eastAsia="pt-BR"/>
        </w:rPr>
        <w:t xml:space="preserve">Nesta primeira etapa, a pesquisa bibliográfica foi sistematizada em dois eixos: </w:t>
      </w:r>
      <w:r w:rsidRPr="00374494">
        <w:rPr>
          <w:rFonts w:ascii="Times New Roman" w:hAnsi="Times New Roman" w:cs="Times New Roman"/>
          <w:sz w:val="24"/>
          <w:szCs w:val="24"/>
        </w:rPr>
        <w:t xml:space="preserve">no âmbito da CI, contemplando a área de representação da informação e organização do conhecimento; e na área de Geografia, direcionada ao estudo da paisagem, com abordagem qualitativa e corpus constituído por fontes primárias, composto por artigos de periódicos e teses; fontes secundárias, </w:t>
      </w:r>
      <w:r w:rsidRPr="00374494">
        <w:rPr>
          <w:rFonts w:ascii="Times New Roman" w:hAnsi="Times New Roman" w:cs="Times New Roman"/>
          <w:sz w:val="24"/>
          <w:szCs w:val="24"/>
        </w:rPr>
        <w:lastRenderedPageBreak/>
        <w:t xml:space="preserve">entre as quais livros, dicionários, tesauros, ontologias e taxonomias, nacionais e internacionais, publicados a partir da década de 1960 até dezembro de 2020. </w:t>
      </w:r>
    </w:p>
    <w:p w14:paraId="5166B168" w14:textId="77777777" w:rsidR="00B125DC" w:rsidRPr="00374494" w:rsidRDefault="00B125DC" w:rsidP="00556853">
      <w:pPr>
        <w:spacing w:after="0" w:line="360" w:lineRule="auto"/>
        <w:ind w:firstLine="709"/>
        <w:jc w:val="both"/>
        <w:rPr>
          <w:rFonts w:ascii="Times New Roman" w:hAnsi="Times New Roman" w:cs="Times New Roman"/>
          <w:sz w:val="24"/>
          <w:szCs w:val="24"/>
        </w:rPr>
      </w:pPr>
      <w:r w:rsidRPr="00374494">
        <w:rPr>
          <w:rFonts w:ascii="Times New Roman" w:hAnsi="Times New Roman" w:cs="Times New Roman"/>
          <w:sz w:val="24"/>
          <w:szCs w:val="24"/>
        </w:rPr>
        <w:t>Os artigos de periódicos foram pesquisados na plataforma</w:t>
      </w:r>
      <w:bookmarkStart w:id="78" w:name="_Hlk21516414"/>
      <w:r w:rsidRPr="00374494">
        <w:rPr>
          <w:rFonts w:ascii="Times New Roman" w:hAnsi="Times New Roman" w:cs="Times New Roman"/>
          <w:sz w:val="24"/>
          <w:szCs w:val="24"/>
        </w:rPr>
        <w:t xml:space="preserve"> ScienceDirect; e nas bases de dados Scientific Eletronic Library Online (SciELO</w:t>
      </w:r>
      <w:bookmarkEnd w:id="78"/>
      <w:r w:rsidRPr="00374494">
        <w:rPr>
          <w:rFonts w:ascii="Times New Roman" w:hAnsi="Times New Roman" w:cs="Times New Roman"/>
          <w:sz w:val="24"/>
          <w:szCs w:val="24"/>
        </w:rPr>
        <w:t>)</w:t>
      </w:r>
      <w:r>
        <w:rPr>
          <w:rFonts w:ascii="Times New Roman" w:hAnsi="Times New Roman" w:cs="Times New Roman"/>
          <w:sz w:val="24"/>
          <w:szCs w:val="24"/>
        </w:rPr>
        <w:t xml:space="preserve">, </w:t>
      </w:r>
      <w:r w:rsidRPr="00374494">
        <w:rPr>
          <w:rFonts w:ascii="Times New Roman" w:hAnsi="Times New Roman" w:cs="Times New Roman"/>
          <w:sz w:val="24"/>
          <w:szCs w:val="24"/>
        </w:rPr>
        <w:t>Library</w:t>
      </w:r>
      <w:r>
        <w:rPr>
          <w:rFonts w:ascii="Times New Roman" w:hAnsi="Times New Roman" w:cs="Times New Roman"/>
          <w:sz w:val="24"/>
          <w:szCs w:val="24"/>
        </w:rPr>
        <w:t>,</w:t>
      </w:r>
      <w:r w:rsidRPr="00374494">
        <w:rPr>
          <w:rFonts w:ascii="Times New Roman" w:hAnsi="Times New Roman" w:cs="Times New Roman"/>
          <w:sz w:val="24"/>
          <w:szCs w:val="24"/>
        </w:rPr>
        <w:t xml:space="preserve"> </w:t>
      </w:r>
      <w:r w:rsidRPr="00C10E17">
        <w:rPr>
          <w:rFonts w:ascii="Times New Roman" w:hAnsi="Times New Roman" w:cs="Times New Roman"/>
          <w:sz w:val="24"/>
          <w:szCs w:val="24"/>
        </w:rPr>
        <w:t>Information Science and Technology Abstracts (LISTA) e Web of Science. Para as fontes s</w:t>
      </w:r>
      <w:r w:rsidRPr="00374494">
        <w:rPr>
          <w:rFonts w:ascii="Times New Roman" w:hAnsi="Times New Roman" w:cs="Times New Roman"/>
          <w:sz w:val="24"/>
          <w:szCs w:val="24"/>
        </w:rPr>
        <w:t xml:space="preserve">ecundárias, efetuamos nossa busca na Rede Sirius da </w:t>
      </w:r>
      <w:bookmarkStart w:id="79" w:name="_Hlk21516575"/>
      <w:r w:rsidRPr="00374494">
        <w:rPr>
          <w:rFonts w:ascii="Times New Roman" w:hAnsi="Times New Roman" w:cs="Times New Roman"/>
          <w:sz w:val="24"/>
          <w:szCs w:val="24"/>
        </w:rPr>
        <w:t xml:space="preserve">Universidade Estadual do Rio de Janeiro </w:t>
      </w:r>
      <w:bookmarkEnd w:id="79"/>
      <w:r w:rsidRPr="00374494">
        <w:rPr>
          <w:rFonts w:ascii="Times New Roman" w:hAnsi="Times New Roman" w:cs="Times New Roman"/>
          <w:sz w:val="24"/>
          <w:szCs w:val="24"/>
        </w:rPr>
        <w:t xml:space="preserve">(UERJ), no Repositório Institucional da </w:t>
      </w:r>
      <w:bookmarkStart w:id="80" w:name="_Hlk21516512"/>
      <w:r w:rsidRPr="00374494">
        <w:rPr>
          <w:rFonts w:ascii="Times New Roman" w:hAnsi="Times New Roman" w:cs="Times New Roman"/>
          <w:sz w:val="24"/>
          <w:szCs w:val="24"/>
        </w:rPr>
        <w:t>Universidade Federal F</w:t>
      </w:r>
      <w:bookmarkEnd w:id="80"/>
      <w:r w:rsidRPr="00374494">
        <w:rPr>
          <w:rFonts w:ascii="Times New Roman" w:hAnsi="Times New Roman" w:cs="Times New Roman"/>
          <w:sz w:val="24"/>
          <w:szCs w:val="24"/>
        </w:rPr>
        <w:t>luminense (UFF), Biblioteca Digital Brasileira de Teses e Dissertações (BDTD) do Instituto Brasileiro de Informação em Ciência e Tecnologia (Ibict), Base de Dados Referencial de Artigos de Periódicos em Ciência da Informação (Brapci), na Rede de Bibliotecas do IBGE e pesquisa livre na Web  (google acadêmico) contemplando termos relativos à Geografia, a saber: paisagem, paisagem rural, pensamento geográfico, teoria geográfica, espaço, território, região, configuração espacial, categorias geográficas e ontologia, combinando com o termo paisagem. Incluímos, também, neste rol os seguintes termos de busca: modernidade, pós-modernidade e cultura. O período coberto pela pesquisa bibliográfica teve como ponto de partida a década de 1970 até dezembro de 2020.</w:t>
      </w:r>
    </w:p>
    <w:p w14:paraId="78C1F497" w14:textId="4C9524D2" w:rsidR="00B125DC" w:rsidRPr="00374494" w:rsidRDefault="00B125DC" w:rsidP="00995252">
      <w:pPr>
        <w:spacing w:after="0" w:line="360" w:lineRule="auto"/>
        <w:ind w:firstLine="709"/>
        <w:jc w:val="both"/>
        <w:rPr>
          <w:rFonts w:ascii="Times New Roman" w:hAnsi="Times New Roman" w:cs="Times New Roman"/>
          <w:sz w:val="24"/>
          <w:szCs w:val="24"/>
        </w:rPr>
      </w:pPr>
      <w:r w:rsidRPr="00374494">
        <w:rPr>
          <w:rFonts w:ascii="Times New Roman" w:hAnsi="Times New Roman" w:cs="Times New Roman"/>
          <w:sz w:val="24"/>
          <w:szCs w:val="24"/>
        </w:rPr>
        <w:t xml:space="preserve">A pesquisa documental constituiu a segunda etapa, que teve por escopo examinar como o assunto paisagem é organizado e representado nos sistemas de Classificação Decimal Universal (CDU) e Classificação Decimal de Dewey (CDD), bem como em tesauros (Agrovoc Multilingual Thesaurus; Geoethno Thesaurus; Thesaurus das Nações Unidas; Everglades Online Thesaurus; Agricultural Thesaurus) e ontologias. A pesquisa documental também nos forneceu o retrospecto dos censos agropecuários. Por sua vez, os Censos Agropecuários de 1970 e 2006 são as fontes documentais que deram início ao desenvolvimento dessa investigação em sua dimensão empírica. </w:t>
      </w:r>
    </w:p>
    <w:p w14:paraId="43D14668" w14:textId="77777777" w:rsidR="00B125DC" w:rsidRPr="00374494" w:rsidRDefault="00B125DC" w:rsidP="00556853">
      <w:pPr>
        <w:spacing w:after="0" w:line="360" w:lineRule="auto"/>
        <w:ind w:firstLine="708"/>
        <w:jc w:val="both"/>
        <w:rPr>
          <w:rFonts w:ascii="Times New Roman" w:hAnsi="Times New Roman" w:cs="Times New Roman"/>
          <w:sz w:val="24"/>
          <w:szCs w:val="24"/>
        </w:rPr>
      </w:pPr>
      <w:r w:rsidRPr="00374494">
        <w:rPr>
          <w:rFonts w:ascii="Times New Roman" w:hAnsi="Times New Roman" w:cs="Times New Roman"/>
          <w:sz w:val="24"/>
          <w:szCs w:val="24"/>
        </w:rPr>
        <w:t>Na terceira etapa, selecionamos dos censos agropecuários de 1970 e 2006 as características investigadas que exercem a função de informações icônicas por nos remeterem à imagem mental da paisagem rural. Na quarta etapa, deram-se a c</w:t>
      </w:r>
      <w:r w:rsidRPr="00374494">
        <w:rPr>
          <w:rFonts w:ascii="Times New Roman" w:hAnsi="Times New Roman" w:cs="Times New Roman"/>
          <w:sz w:val="24"/>
          <w:szCs w:val="24"/>
          <w:lang w:eastAsia="pt-BR"/>
        </w:rPr>
        <w:t xml:space="preserve">aptura e formação do corpus terminológico partindo do entendimento consensual sobre a paisagem identificado no mapeamento do domínio da Geografia; o estabelecimento do quadro conceitual da paisagem e sua estrutura classificatória (classes, subclasses, subclasses subordinadas e subconjuntos que individualizam a paisagem); e elaboração do mapa conceitual da paisagem (sua estrutura gráfica) para visualização hierárquica dos conceitos relativos à paisagem natural e paisagem cultural. </w:t>
      </w:r>
    </w:p>
    <w:p w14:paraId="4E86DFDE" w14:textId="77777777" w:rsidR="00B125DC" w:rsidRDefault="00B125DC" w:rsidP="00556853">
      <w:pPr>
        <w:spacing w:line="360" w:lineRule="auto"/>
        <w:jc w:val="both"/>
        <w:rPr>
          <w:rFonts w:ascii="Times New Roman" w:hAnsi="Times New Roman" w:cs="Times New Roman"/>
          <w:sz w:val="24"/>
          <w:szCs w:val="24"/>
        </w:rPr>
      </w:pPr>
    </w:p>
    <w:p w14:paraId="27472A8E" w14:textId="77777777" w:rsidR="00B125DC" w:rsidRDefault="00B125DC" w:rsidP="00863B19">
      <w:pPr>
        <w:spacing w:after="0" w:line="360" w:lineRule="auto"/>
        <w:jc w:val="both"/>
        <w:rPr>
          <w:rFonts w:ascii="Times New Roman" w:hAnsi="Times New Roman" w:cs="Times New Roman"/>
          <w:sz w:val="24"/>
          <w:szCs w:val="24"/>
        </w:rPr>
      </w:pPr>
      <w:r w:rsidRPr="00D121C1">
        <w:rPr>
          <w:rFonts w:ascii="Times New Roman" w:hAnsi="Times New Roman" w:cs="Times New Roman"/>
          <w:sz w:val="24"/>
          <w:szCs w:val="24"/>
        </w:rPr>
        <w:lastRenderedPageBreak/>
        <w:t>3</w:t>
      </w:r>
      <w:r w:rsidRPr="00374494">
        <w:rPr>
          <w:rFonts w:ascii="Times New Roman" w:hAnsi="Times New Roman" w:cs="Times New Roman"/>
          <w:sz w:val="24"/>
          <w:szCs w:val="24"/>
        </w:rPr>
        <w:t xml:space="preserve"> </w:t>
      </w:r>
      <w:r w:rsidRPr="00374494">
        <w:rPr>
          <w:rFonts w:ascii="Times New Roman" w:hAnsi="Times New Roman" w:cs="Times New Roman"/>
          <w:b/>
          <w:bCs/>
          <w:sz w:val="24"/>
          <w:szCs w:val="24"/>
        </w:rPr>
        <w:t>ANÁLISE E RESULTADOS</w:t>
      </w:r>
      <w:r w:rsidRPr="00374494">
        <w:rPr>
          <w:rFonts w:ascii="Times New Roman" w:hAnsi="Times New Roman" w:cs="Times New Roman"/>
          <w:sz w:val="24"/>
          <w:szCs w:val="24"/>
        </w:rPr>
        <w:t xml:space="preserve"> </w:t>
      </w:r>
    </w:p>
    <w:p w14:paraId="35AECAE2" w14:textId="77777777" w:rsidR="00863B19" w:rsidRPr="00374494" w:rsidRDefault="00863B19" w:rsidP="00863B19">
      <w:pPr>
        <w:spacing w:after="0" w:line="360" w:lineRule="auto"/>
        <w:jc w:val="both"/>
        <w:rPr>
          <w:rFonts w:ascii="Times New Roman" w:hAnsi="Times New Roman" w:cs="Times New Roman"/>
          <w:sz w:val="24"/>
          <w:szCs w:val="24"/>
        </w:rPr>
      </w:pPr>
    </w:p>
    <w:p w14:paraId="70385A6E" w14:textId="77777777" w:rsidR="00B125DC" w:rsidRPr="00374494" w:rsidRDefault="00B125DC" w:rsidP="00863B19">
      <w:pPr>
        <w:spacing w:after="0" w:line="360" w:lineRule="auto"/>
        <w:ind w:firstLine="709"/>
        <w:jc w:val="both"/>
        <w:rPr>
          <w:rFonts w:ascii="Times New Roman" w:hAnsi="Times New Roman" w:cs="Times New Roman"/>
          <w:sz w:val="24"/>
          <w:szCs w:val="24"/>
        </w:rPr>
      </w:pPr>
      <w:r w:rsidRPr="00374494">
        <w:rPr>
          <w:rFonts w:ascii="Times New Roman" w:hAnsi="Times New Roman" w:cs="Times New Roman"/>
          <w:sz w:val="24"/>
          <w:szCs w:val="24"/>
        </w:rPr>
        <w:t>O levantamento bibliográfico seletivo evidenciou que há uma numerosa literatura sobre paisagem abrangida por outras áreas do conhecimento, entre as quais Artes, Linguística, Arquitetura, Arqueologia, História, Turismo, Meio Ambiente, entre outras, fato que torna a paisagem um termo bastante profuso, segundo Bertrand (</w:t>
      </w:r>
      <w:r w:rsidRPr="00733AC2">
        <w:rPr>
          <w:rFonts w:ascii="Times New Roman" w:hAnsi="Times New Roman" w:cs="Times New Roman"/>
          <w:sz w:val="24"/>
          <w:szCs w:val="24"/>
        </w:rPr>
        <w:t>2004)</w:t>
      </w:r>
      <w:r>
        <w:rPr>
          <w:rFonts w:ascii="Times New Roman" w:hAnsi="Times New Roman" w:cs="Times New Roman"/>
          <w:sz w:val="24"/>
          <w:szCs w:val="24"/>
        </w:rPr>
        <w:t xml:space="preserve">. </w:t>
      </w:r>
      <w:r w:rsidRPr="00374494">
        <w:rPr>
          <w:rFonts w:ascii="Times New Roman" w:hAnsi="Times New Roman" w:cs="Times New Roman"/>
          <w:sz w:val="24"/>
          <w:szCs w:val="24"/>
        </w:rPr>
        <w:t>Na base de dados Web of Science, por exemplo, a pesquisa sobre o termo paisagem obteve os seguintes resultados: estudos de linguística (97); biodiversidade (532); ecologia (2,1); planejamento regional (725); arquitetura (621); estudos urbanos (772); geociências (962); ciências ambientais (2); e geografia física (972).</w:t>
      </w:r>
    </w:p>
    <w:p w14:paraId="3CF22DCA" w14:textId="77777777" w:rsidR="00B125DC" w:rsidRPr="00374494" w:rsidRDefault="00B125DC" w:rsidP="00863B19">
      <w:pPr>
        <w:spacing w:after="0" w:line="360" w:lineRule="auto"/>
        <w:ind w:firstLine="709"/>
        <w:jc w:val="both"/>
        <w:rPr>
          <w:rFonts w:ascii="Times New Roman" w:hAnsi="Times New Roman" w:cs="Times New Roman"/>
          <w:sz w:val="24"/>
          <w:szCs w:val="24"/>
        </w:rPr>
      </w:pPr>
      <w:r w:rsidRPr="00374494">
        <w:rPr>
          <w:rFonts w:ascii="Times New Roman" w:hAnsi="Times New Roman" w:cs="Times New Roman"/>
          <w:sz w:val="24"/>
          <w:szCs w:val="24"/>
          <w:lang w:eastAsia="pt-BR"/>
        </w:rPr>
        <w:t xml:space="preserve">O mapeamento da área de Geografia, por meio do corpus teórico selecionado foi fundamental por ter exercido a função de ferramenta orientadora ao nos proporcionar um instantâneo e perspectiva integrada da área, levando-nos a identificar os conceitos-chave atribuídos à paisagem, que personaliza o padrão de comunicação da comunidade discursiva dos geógrafos. </w:t>
      </w:r>
    </w:p>
    <w:p w14:paraId="31D373BA" w14:textId="77777777" w:rsidR="00B125DC" w:rsidRPr="00CE5E4F" w:rsidRDefault="00B125DC" w:rsidP="00863B19">
      <w:pPr>
        <w:spacing w:after="0" w:line="360" w:lineRule="auto"/>
        <w:ind w:firstLine="426"/>
        <w:jc w:val="both"/>
        <w:rPr>
          <w:rFonts w:ascii="Times New Roman" w:eastAsia="Times New Roman" w:hAnsi="Times New Roman" w:cs="Times New Roman"/>
          <w:kern w:val="0"/>
          <w:sz w:val="24"/>
          <w:szCs w:val="24"/>
          <w:lang w:eastAsia="pt-BR"/>
          <w14:ligatures w14:val="none"/>
        </w:rPr>
      </w:pPr>
      <w:r w:rsidRPr="00374494">
        <w:rPr>
          <w:rFonts w:ascii="Times New Roman" w:hAnsi="Times New Roman" w:cs="Times New Roman"/>
          <w:sz w:val="24"/>
          <w:szCs w:val="24"/>
          <w:lang w:eastAsia="pt-BR"/>
        </w:rPr>
        <w:t xml:space="preserve">A princípio, supúnhamos apenas os teóricos da área de Geografia como comunidade discursiva. No entanto, </w:t>
      </w:r>
      <w:bookmarkStart w:id="81" w:name="_Hlk58332505"/>
      <w:r w:rsidRPr="00374494">
        <w:rPr>
          <w:rFonts w:ascii="Times New Roman" w:hAnsi="Times New Roman" w:cs="Times New Roman"/>
          <w:sz w:val="24"/>
          <w:szCs w:val="24"/>
          <w:lang w:eastAsia="pt-BR"/>
        </w:rPr>
        <w:t>a partir da avaliação dos censos agropecuários, percebemos que estávamos diante de outra comunidade discursiva composta por</w:t>
      </w:r>
      <w:r w:rsidRPr="00374494">
        <w:rPr>
          <w:rFonts w:ascii="Times New Roman" w:eastAsia="Times New Roman" w:hAnsi="Times New Roman" w:cs="Times New Roman"/>
          <w:color w:val="00B050"/>
          <w:kern w:val="0"/>
          <w:sz w:val="24"/>
          <w:szCs w:val="24"/>
          <w:lang w:eastAsia="pt-BR"/>
          <w14:ligatures w14:val="none"/>
        </w:rPr>
        <w:t xml:space="preserve"> </w:t>
      </w:r>
      <w:r w:rsidRPr="00CE5E4F">
        <w:rPr>
          <w:rFonts w:ascii="Times New Roman" w:eastAsia="Times New Roman" w:hAnsi="Times New Roman" w:cs="Times New Roman"/>
          <w:kern w:val="0"/>
          <w:sz w:val="24"/>
          <w:szCs w:val="24"/>
          <w:lang w:eastAsia="pt-BR"/>
          <w14:ligatures w14:val="none"/>
        </w:rPr>
        <w:t>geógrafos, estatísticos e economistas, partilhando conhecimento e questionamentos de forma consensual, com base num conjunto de elementos linguísticos, semânticos e pragmáticos verificáveis no elenco das variáveis investigadas pelos censos, que proporciona um caráter de totalidade comunicativa a essa outra comunidade</w:t>
      </w:r>
      <w:bookmarkEnd w:id="81"/>
      <w:r w:rsidRPr="00CE5E4F">
        <w:rPr>
          <w:rFonts w:ascii="Times New Roman" w:eastAsia="Times New Roman" w:hAnsi="Times New Roman" w:cs="Times New Roman"/>
          <w:kern w:val="0"/>
          <w:sz w:val="24"/>
          <w:szCs w:val="24"/>
          <w:lang w:eastAsia="pt-BR"/>
          <w14:ligatures w14:val="none"/>
        </w:rPr>
        <w:t xml:space="preserve">. </w:t>
      </w:r>
    </w:p>
    <w:p w14:paraId="180B7C24" w14:textId="77777777" w:rsidR="00B125DC" w:rsidRPr="00CE5E4F" w:rsidRDefault="00B125DC" w:rsidP="00863B19">
      <w:pPr>
        <w:spacing w:after="0" w:line="360" w:lineRule="auto"/>
        <w:ind w:firstLine="568"/>
        <w:jc w:val="both"/>
        <w:rPr>
          <w:rFonts w:ascii="Times New Roman" w:eastAsia="Calibri" w:hAnsi="Times New Roman" w:cs="Times New Roman"/>
          <w:kern w:val="0"/>
          <w:sz w:val="24"/>
          <w:szCs w:val="24"/>
          <w14:ligatures w14:val="none"/>
        </w:rPr>
      </w:pPr>
      <w:r w:rsidRPr="00CE5E4F">
        <w:rPr>
          <w:rFonts w:ascii="Times New Roman" w:eastAsia="Times New Roman" w:hAnsi="Times New Roman" w:cs="Times New Roman"/>
          <w:kern w:val="0"/>
          <w:sz w:val="24"/>
          <w:szCs w:val="24"/>
          <w:lang w:eastAsia="pt-BR"/>
          <w14:ligatures w14:val="none"/>
        </w:rPr>
        <w:t>Essa rede discursiva proveniente tanto dos censos agropecuários como da comunidade dos geógrafos</w:t>
      </w:r>
      <w:r>
        <w:rPr>
          <w:rFonts w:ascii="Times New Roman" w:eastAsia="Times New Roman" w:hAnsi="Times New Roman" w:cs="Times New Roman"/>
          <w:kern w:val="0"/>
          <w:sz w:val="24"/>
          <w:szCs w:val="24"/>
          <w:lang w:eastAsia="pt-BR"/>
          <w14:ligatures w14:val="none"/>
        </w:rPr>
        <w:t>,</w:t>
      </w:r>
      <w:r w:rsidRPr="00CE5E4F">
        <w:rPr>
          <w:rFonts w:ascii="Times New Roman" w:eastAsia="Times New Roman" w:hAnsi="Times New Roman" w:cs="Times New Roman"/>
          <w:kern w:val="0"/>
          <w:sz w:val="24"/>
          <w:szCs w:val="24"/>
          <w:lang w:eastAsia="pt-BR"/>
          <w14:ligatures w14:val="none"/>
        </w:rPr>
        <w:t xml:space="preserve"> por meio da literatura pesquisada, comprova a importância que a terminologia</w:t>
      </w:r>
      <w:r w:rsidRPr="00D91827">
        <w:rPr>
          <w:rFonts w:eastAsia="MS PGothic"/>
          <w:color w:val="000000"/>
          <w:kern w:val="24"/>
        </w:rPr>
        <w:t xml:space="preserve"> </w:t>
      </w:r>
      <w:r w:rsidRPr="00C10E17">
        <w:rPr>
          <w:rFonts w:ascii="Times New Roman" w:eastAsia="MS PGothic" w:hAnsi="Times New Roman" w:cs="Times New Roman"/>
          <w:kern w:val="24"/>
          <w:sz w:val="24"/>
          <w:szCs w:val="24"/>
        </w:rPr>
        <w:t>conceitual e denominativa</w:t>
      </w:r>
      <w:r w:rsidRPr="00C10E17">
        <w:rPr>
          <w:rFonts w:ascii="Times New Roman" w:eastAsia="Times New Roman" w:hAnsi="Times New Roman" w:cs="Times New Roman"/>
          <w:kern w:val="0"/>
          <w:sz w:val="24"/>
          <w:szCs w:val="24"/>
          <w:lang w:eastAsia="pt-BR"/>
          <w14:ligatures w14:val="none"/>
        </w:rPr>
        <w:t xml:space="preserve"> </w:t>
      </w:r>
      <w:r w:rsidRPr="00CE5E4F">
        <w:rPr>
          <w:rFonts w:ascii="Times New Roman" w:eastAsia="Times New Roman" w:hAnsi="Times New Roman" w:cs="Times New Roman"/>
          <w:kern w:val="0"/>
          <w:sz w:val="24"/>
          <w:szCs w:val="24"/>
          <w:lang w:eastAsia="pt-BR"/>
          <w14:ligatures w14:val="none"/>
        </w:rPr>
        <w:t xml:space="preserve">assume na sistematização da informação e do conhecimento produzido pelas comunidades discursivas, que por sua vez são precedidas pelas garantias literária e semântica, conforme destacam Barité </w:t>
      </w:r>
      <w:r w:rsidRPr="00CE5E4F">
        <w:rPr>
          <w:rFonts w:ascii="Times New Roman" w:eastAsia="Times New Roman" w:hAnsi="Times New Roman" w:cs="Times New Roman"/>
          <w:i/>
          <w:iCs/>
          <w:kern w:val="0"/>
          <w:sz w:val="24"/>
          <w:szCs w:val="24"/>
          <w:lang w:eastAsia="pt-BR"/>
          <w14:ligatures w14:val="none"/>
        </w:rPr>
        <w:t>et al</w:t>
      </w:r>
      <w:r w:rsidRPr="00CE5E4F">
        <w:rPr>
          <w:rFonts w:ascii="Times New Roman" w:eastAsia="Times New Roman" w:hAnsi="Times New Roman" w:cs="Times New Roman"/>
          <w:kern w:val="0"/>
          <w:sz w:val="24"/>
          <w:szCs w:val="24"/>
          <w:lang w:eastAsia="pt-BR"/>
          <w14:ligatures w14:val="none"/>
        </w:rPr>
        <w:t>. (2010) e Beghtol (1986).</w:t>
      </w:r>
      <w:r w:rsidRPr="00CE5E4F">
        <w:rPr>
          <w:rFonts w:ascii="Times New Roman" w:eastAsia="Calibri" w:hAnsi="Times New Roman" w:cs="Times New Roman"/>
          <w:kern w:val="0"/>
          <w:sz w:val="24"/>
          <w:szCs w:val="24"/>
          <w14:ligatures w14:val="none"/>
        </w:rPr>
        <w:t xml:space="preserve"> A terminologia padronizada, graças à</w:t>
      </w:r>
      <w:r w:rsidRPr="00CE5E4F">
        <w:rPr>
          <w:rFonts w:ascii="Times New Roman" w:eastAsia="Times New Roman" w:hAnsi="Times New Roman"/>
          <w:sz w:val="24"/>
          <w:szCs w:val="24"/>
          <w:lang w:eastAsia="pt-BR"/>
        </w:rPr>
        <w:t xml:space="preserve"> literatura pesquisada, se traduziu na estrutura classificatória da paisagem constituída por quatro categorias, divididas em classe, subclasse, subclasse subordinada e subconjuntos (Quadro 1).</w:t>
      </w:r>
    </w:p>
    <w:p w14:paraId="0BA63531" w14:textId="77777777" w:rsidR="00B125DC" w:rsidRPr="00CE5E4F" w:rsidRDefault="00B125DC" w:rsidP="00863B19">
      <w:pPr>
        <w:widowControl w:val="0"/>
        <w:tabs>
          <w:tab w:val="left" w:pos="709"/>
        </w:tabs>
        <w:suppressAutoHyphens/>
        <w:spacing w:after="0" w:line="360" w:lineRule="auto"/>
        <w:jc w:val="both"/>
        <w:rPr>
          <w:rFonts w:ascii="Times New Roman" w:eastAsia="Calibri" w:hAnsi="Times New Roman" w:cs="Times New Roman"/>
          <w:kern w:val="0"/>
          <w:sz w:val="24"/>
          <w:szCs w:val="24"/>
          <w14:ligatures w14:val="none"/>
        </w:rPr>
      </w:pPr>
      <w:r w:rsidRPr="00CE5E4F">
        <w:rPr>
          <w:rFonts w:ascii="Times New Roman" w:eastAsia="SimSun" w:hAnsi="Times New Roman" w:cs="Times New Roman"/>
          <w:kern w:val="1"/>
          <w:sz w:val="24"/>
          <w:szCs w:val="24"/>
          <w:lang w:eastAsia="zh-CN" w:bidi="hi-IN"/>
          <w14:ligatures w14:val="none"/>
        </w:rPr>
        <w:tab/>
        <w:t>O painel conceitual da paisagem (Quadro 1) revelou sua noção classificatória e categórica, tendo nos fornecido um conjunto de conceitos atualizados da área de Geografia e especificidade quando agregadas as informações extraídas dos censos agropecuários. Esse resultado reforça a validade da</w:t>
      </w:r>
      <w:r w:rsidRPr="00CE5E4F">
        <w:rPr>
          <w:rFonts w:ascii="Times New Roman" w:eastAsia="Calibri" w:hAnsi="Times New Roman" w:cs="Times New Roman"/>
          <w:kern w:val="0"/>
          <w:sz w:val="24"/>
          <w:szCs w:val="24"/>
          <w14:ligatures w14:val="none"/>
        </w:rPr>
        <w:t xml:space="preserve"> classificação especializada como meio de podermos visualizar </w:t>
      </w:r>
      <w:r w:rsidRPr="00CE5E4F">
        <w:rPr>
          <w:rFonts w:ascii="Times New Roman" w:eastAsia="Calibri" w:hAnsi="Times New Roman" w:cs="Times New Roman"/>
          <w:kern w:val="0"/>
          <w:sz w:val="24"/>
          <w:szCs w:val="24"/>
          <w14:ligatures w14:val="none"/>
        </w:rPr>
        <w:lastRenderedPageBreak/>
        <w:t xml:space="preserve">a representação da paisagem no contexto informacional e distanciamento do senso comum. Conforme Galvão (1998), a formulação de conceitos é o caminho para nos aproximarmos da ciência. </w:t>
      </w:r>
    </w:p>
    <w:p w14:paraId="0253508D" w14:textId="77777777" w:rsidR="00B125DC" w:rsidRPr="00CE5E4F" w:rsidRDefault="00B125DC" w:rsidP="00863B19">
      <w:pPr>
        <w:widowControl w:val="0"/>
        <w:tabs>
          <w:tab w:val="left" w:pos="709"/>
        </w:tabs>
        <w:suppressAutoHyphens/>
        <w:spacing w:after="0" w:line="360" w:lineRule="auto"/>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ab/>
        <w:t>Com base na Teoria do Conceito, postulada por Dahlberg (1978), a definição dos termos, tanto aqueles mapeados na área de Geografia, quanto aqueles identificados nos censos agropecuários de 1970 e 2006, se singularizam por meio de sua definição</w:t>
      </w:r>
      <w:r>
        <w:rPr>
          <w:rFonts w:ascii="Times New Roman" w:eastAsia="Calibri" w:hAnsi="Times New Roman" w:cs="Times New Roman"/>
          <w:color w:val="FF0066"/>
          <w:kern w:val="0"/>
          <w:sz w:val="24"/>
          <w:szCs w:val="24"/>
          <w14:ligatures w14:val="none"/>
        </w:rPr>
        <w:t xml:space="preserve"> </w:t>
      </w:r>
      <w:r w:rsidRPr="00CE5E4F">
        <w:rPr>
          <w:rFonts w:ascii="Times New Roman" w:eastAsia="Calibri" w:hAnsi="Times New Roman" w:cs="Times New Roman"/>
          <w:kern w:val="0"/>
          <w:sz w:val="24"/>
          <w:szCs w:val="24"/>
          <w14:ligatures w14:val="none"/>
        </w:rPr>
        <w:t>como medida de redução de variantes terminológicas que possam ocasionar ruídos nas operações de busca e recuperação. Foi partindo do mapeamento teórico da área, organização e conceituação desse conteúdo que propomos a estrutura classificatória da paisagem, apresentada no Quadro 1 - Painel conceitual da paisagem, e que poderá contribuir com estudos futuros na área de organização e representação do conhecimento para elaboração de SOCs que versem sobre a paisagem.</w:t>
      </w:r>
    </w:p>
    <w:p w14:paraId="02326F65" w14:textId="4D4FDC15" w:rsidR="00B125DC" w:rsidRPr="00556853" w:rsidRDefault="00B125DC" w:rsidP="00B125DC">
      <w:pPr>
        <w:spacing w:after="240"/>
        <w:jc w:val="center"/>
        <w:rPr>
          <w:rFonts w:ascii="Times New Roman" w:eastAsia="Calibri" w:hAnsi="Times New Roman" w:cs="Times New Roman"/>
          <w:b/>
          <w:bCs/>
          <w:kern w:val="0"/>
          <w:sz w:val="24"/>
          <w:szCs w:val="24"/>
          <w14:ligatures w14:val="none"/>
        </w:rPr>
      </w:pPr>
      <w:r w:rsidRPr="00556853">
        <w:rPr>
          <w:rFonts w:ascii="Times New Roman" w:eastAsia="Calibri" w:hAnsi="Times New Roman" w:cs="Times New Roman"/>
          <w:b/>
          <w:bCs/>
          <w:kern w:val="0"/>
          <w:sz w:val="24"/>
          <w:szCs w:val="24"/>
          <w14:ligatures w14:val="none"/>
        </w:rPr>
        <w:t>Quadro 1</w:t>
      </w:r>
      <w:r w:rsidR="00556853" w:rsidRPr="00C14F57">
        <w:rPr>
          <w:rFonts w:ascii="Times New Roman" w:eastAsia="Calibri" w:hAnsi="Times New Roman" w:cs="Times New Roman"/>
          <w:kern w:val="0"/>
          <w:sz w:val="24"/>
          <w:szCs w:val="24"/>
          <w14:ligatures w14:val="none"/>
        </w:rPr>
        <w:t xml:space="preserve">: </w:t>
      </w:r>
      <w:r w:rsidRPr="00C14F57">
        <w:rPr>
          <w:rFonts w:ascii="Times New Roman" w:eastAsia="Calibri" w:hAnsi="Times New Roman" w:cs="Times New Roman"/>
          <w:kern w:val="0"/>
          <w:sz w:val="24"/>
          <w:szCs w:val="24"/>
          <w14:ligatures w14:val="none"/>
        </w:rPr>
        <w:t xml:space="preserve"> Painel conceitual da paisagem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6588"/>
      </w:tblGrid>
      <w:tr w:rsidR="00B125DC" w:rsidRPr="00374494" w14:paraId="6CF5AFD6" w14:textId="77777777" w:rsidTr="001615CA">
        <w:trPr>
          <w:trHeight w:val="202"/>
          <w:jc w:val="center"/>
        </w:trPr>
        <w:tc>
          <w:tcPr>
            <w:tcW w:w="1783" w:type="dxa"/>
            <w:shd w:val="clear" w:color="auto" w:fill="E7E6E6" w:themeFill="background2"/>
            <w:tcMar>
              <w:top w:w="113" w:type="dxa"/>
              <w:left w:w="113" w:type="dxa"/>
              <w:bottom w:w="113" w:type="dxa"/>
              <w:right w:w="113" w:type="dxa"/>
            </w:tcMar>
            <w:vAlign w:val="center"/>
          </w:tcPr>
          <w:p w14:paraId="63E8238C" w14:textId="77777777" w:rsidR="00B125DC" w:rsidRPr="00374494" w:rsidRDefault="00B125DC" w:rsidP="001615CA">
            <w:pPr>
              <w:spacing w:after="0" w:line="240" w:lineRule="auto"/>
              <w:jc w:val="center"/>
              <w:rPr>
                <w:rFonts w:ascii="Times New Roman" w:eastAsia="Calibri" w:hAnsi="Times New Roman" w:cs="Times New Roman"/>
                <w:b/>
                <w:bCs/>
                <w:kern w:val="0"/>
                <w:sz w:val="18"/>
                <w:szCs w:val="18"/>
                <w14:ligatures w14:val="none"/>
              </w:rPr>
            </w:pPr>
            <w:r w:rsidRPr="00374494">
              <w:rPr>
                <w:rFonts w:ascii="Times New Roman" w:eastAsia="Calibri" w:hAnsi="Times New Roman" w:cs="Times New Roman"/>
                <w:b/>
                <w:bCs/>
                <w:kern w:val="0"/>
                <w:sz w:val="18"/>
                <w:szCs w:val="18"/>
                <w14:ligatures w14:val="none"/>
              </w:rPr>
              <w:t>Termo</w:t>
            </w:r>
          </w:p>
        </w:tc>
        <w:tc>
          <w:tcPr>
            <w:tcW w:w="6126" w:type="dxa"/>
            <w:shd w:val="clear" w:color="auto" w:fill="E7E6E6" w:themeFill="background2"/>
            <w:tcMar>
              <w:top w:w="113" w:type="dxa"/>
              <w:left w:w="113" w:type="dxa"/>
              <w:bottom w:w="113" w:type="dxa"/>
              <w:right w:w="113" w:type="dxa"/>
            </w:tcMar>
            <w:vAlign w:val="center"/>
          </w:tcPr>
          <w:p w14:paraId="5BA891FE" w14:textId="77777777" w:rsidR="00B125DC" w:rsidRPr="00374494" w:rsidRDefault="00B125DC" w:rsidP="001615CA">
            <w:pPr>
              <w:spacing w:after="0" w:line="240" w:lineRule="auto"/>
              <w:jc w:val="center"/>
              <w:rPr>
                <w:rFonts w:ascii="Times New Roman" w:eastAsia="Calibri" w:hAnsi="Times New Roman" w:cs="Times New Roman"/>
                <w:b/>
                <w:bCs/>
                <w:kern w:val="0"/>
                <w:sz w:val="18"/>
                <w:szCs w:val="18"/>
                <w14:ligatures w14:val="none"/>
              </w:rPr>
            </w:pPr>
            <w:r w:rsidRPr="00374494">
              <w:rPr>
                <w:rFonts w:ascii="Times New Roman" w:eastAsia="Calibri" w:hAnsi="Times New Roman" w:cs="Times New Roman"/>
                <w:b/>
                <w:bCs/>
                <w:kern w:val="0"/>
                <w:sz w:val="18"/>
                <w:szCs w:val="18"/>
                <w14:ligatures w14:val="none"/>
              </w:rPr>
              <w:t>Conceito</w:t>
            </w:r>
          </w:p>
        </w:tc>
      </w:tr>
      <w:tr w:rsidR="00B125DC" w:rsidRPr="00374494" w14:paraId="1A16F825" w14:textId="77777777" w:rsidTr="001615CA">
        <w:trPr>
          <w:trHeight w:val="522"/>
          <w:jc w:val="center"/>
        </w:trPr>
        <w:tc>
          <w:tcPr>
            <w:tcW w:w="1783" w:type="dxa"/>
            <w:shd w:val="clear" w:color="auto" w:fill="auto"/>
            <w:tcMar>
              <w:top w:w="113" w:type="dxa"/>
              <w:left w:w="113" w:type="dxa"/>
              <w:bottom w:w="113" w:type="dxa"/>
              <w:right w:w="113" w:type="dxa"/>
            </w:tcMar>
          </w:tcPr>
          <w:p w14:paraId="28679A88"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Paisagem</w:t>
            </w:r>
          </w:p>
          <w:p w14:paraId="29A01B90"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6126" w:type="dxa"/>
            <w:shd w:val="clear" w:color="auto" w:fill="auto"/>
            <w:tcMar>
              <w:top w:w="113" w:type="dxa"/>
              <w:left w:w="113" w:type="dxa"/>
              <w:bottom w:w="113" w:type="dxa"/>
              <w:right w:w="113" w:type="dxa"/>
            </w:tcMar>
          </w:tcPr>
          <w:p w14:paraId="7E4E3A13"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Conjunto de elementos visíveis de uma região formado por objetos naturais e antrópicos depreendidos de símbolos sociais e naturais que refletem o espaço vivido pela sociedade e seus modos de produção</w:t>
            </w:r>
          </w:p>
        </w:tc>
      </w:tr>
      <w:tr w:rsidR="00B125DC" w:rsidRPr="00374494" w14:paraId="77B2D84C" w14:textId="77777777" w:rsidTr="001615CA">
        <w:trPr>
          <w:trHeight w:val="522"/>
          <w:jc w:val="center"/>
        </w:trPr>
        <w:tc>
          <w:tcPr>
            <w:tcW w:w="1783" w:type="dxa"/>
            <w:shd w:val="clear" w:color="auto" w:fill="auto"/>
            <w:tcMar>
              <w:top w:w="113" w:type="dxa"/>
              <w:left w:w="113" w:type="dxa"/>
              <w:bottom w:w="113" w:type="dxa"/>
              <w:right w:w="113" w:type="dxa"/>
            </w:tcMar>
          </w:tcPr>
          <w:p w14:paraId="7E3A660D"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Paisagem Natural</w:t>
            </w:r>
          </w:p>
        </w:tc>
        <w:tc>
          <w:tcPr>
            <w:tcW w:w="6126" w:type="dxa"/>
            <w:shd w:val="clear" w:color="auto" w:fill="auto"/>
            <w:tcMar>
              <w:top w:w="113" w:type="dxa"/>
              <w:left w:w="113" w:type="dxa"/>
              <w:bottom w:w="113" w:type="dxa"/>
              <w:right w:w="113" w:type="dxa"/>
            </w:tcMar>
          </w:tcPr>
          <w:p w14:paraId="2169ECEC"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SimSun" w:hAnsi="Times New Roman" w:cs="Times New Roman"/>
                <w:kern w:val="1"/>
                <w:sz w:val="18"/>
                <w:szCs w:val="18"/>
                <w:lang w:eastAsia="zh-CN" w:bidi="hi-IN"/>
                <w14:ligatures w14:val="none"/>
              </w:rPr>
              <w:t>Conjunto de formas compreendido pela cobertura da terra, águas (rios, pântanos, cursos de água, alagados), vegetação (estruturas campestres e florestais), e áreas de mineração</w:t>
            </w:r>
          </w:p>
        </w:tc>
      </w:tr>
      <w:tr w:rsidR="00B125DC" w:rsidRPr="00374494" w14:paraId="70A38B67" w14:textId="77777777" w:rsidTr="001615CA">
        <w:trPr>
          <w:jc w:val="center"/>
        </w:trPr>
        <w:tc>
          <w:tcPr>
            <w:tcW w:w="1783" w:type="dxa"/>
            <w:shd w:val="clear" w:color="auto" w:fill="auto"/>
            <w:tcMar>
              <w:top w:w="113" w:type="dxa"/>
              <w:left w:w="113" w:type="dxa"/>
              <w:bottom w:w="113" w:type="dxa"/>
              <w:right w:w="113" w:type="dxa"/>
            </w:tcMar>
          </w:tcPr>
          <w:p w14:paraId="2320CF27"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Paisagem cultural</w:t>
            </w:r>
          </w:p>
        </w:tc>
        <w:tc>
          <w:tcPr>
            <w:tcW w:w="6126" w:type="dxa"/>
            <w:shd w:val="clear" w:color="auto" w:fill="auto"/>
            <w:tcMar>
              <w:top w:w="113" w:type="dxa"/>
              <w:left w:w="113" w:type="dxa"/>
              <w:bottom w:w="113" w:type="dxa"/>
              <w:right w:w="113" w:type="dxa"/>
            </w:tcMar>
          </w:tcPr>
          <w:p w14:paraId="3CB7C23E"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Conjunto de elementos que resultam de atividades econômicas e sociais exercidas por uma sociedade que utiliza técnicas agrícolas ou industriais, redes de comunicação e outras técnicas que englobam tanto o campo como a cidade</w:t>
            </w:r>
          </w:p>
        </w:tc>
      </w:tr>
      <w:tr w:rsidR="00B125DC" w:rsidRPr="00374494" w14:paraId="7D5697FC" w14:textId="77777777" w:rsidTr="001615CA">
        <w:trPr>
          <w:jc w:val="center"/>
        </w:trPr>
        <w:tc>
          <w:tcPr>
            <w:tcW w:w="1783" w:type="dxa"/>
            <w:shd w:val="clear" w:color="auto" w:fill="auto"/>
            <w:tcMar>
              <w:top w:w="113" w:type="dxa"/>
              <w:left w:w="113" w:type="dxa"/>
              <w:bottom w:w="113" w:type="dxa"/>
              <w:right w:w="113" w:type="dxa"/>
            </w:tcMar>
          </w:tcPr>
          <w:p w14:paraId="4D27E82D"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Áreas urbanizadas</w:t>
            </w:r>
          </w:p>
        </w:tc>
        <w:tc>
          <w:tcPr>
            <w:tcW w:w="6126" w:type="dxa"/>
            <w:shd w:val="clear" w:color="auto" w:fill="auto"/>
            <w:tcMar>
              <w:top w:w="113" w:type="dxa"/>
              <w:left w:w="113" w:type="dxa"/>
              <w:bottom w:w="113" w:type="dxa"/>
              <w:right w:w="113" w:type="dxa"/>
            </w:tcMar>
          </w:tcPr>
          <w:p w14:paraId="0F02E6A2"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Parte da paisagem cultural, são áreas correspondentes às cidades (sede municipais), vilas (sedes distritais) e complexos industriais</w:t>
            </w:r>
          </w:p>
        </w:tc>
      </w:tr>
      <w:tr w:rsidR="00B125DC" w:rsidRPr="00374494" w14:paraId="61EBDF90" w14:textId="77777777" w:rsidTr="001615CA">
        <w:trPr>
          <w:jc w:val="center"/>
        </w:trPr>
        <w:tc>
          <w:tcPr>
            <w:tcW w:w="1783" w:type="dxa"/>
            <w:shd w:val="clear" w:color="auto" w:fill="auto"/>
            <w:tcMar>
              <w:top w:w="113" w:type="dxa"/>
              <w:left w:w="113" w:type="dxa"/>
              <w:bottom w:w="113" w:type="dxa"/>
              <w:right w:w="113" w:type="dxa"/>
            </w:tcMar>
          </w:tcPr>
          <w:p w14:paraId="7E119528"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Áreas agrícolas</w:t>
            </w:r>
          </w:p>
        </w:tc>
        <w:tc>
          <w:tcPr>
            <w:tcW w:w="6126" w:type="dxa"/>
            <w:shd w:val="clear" w:color="auto" w:fill="auto"/>
            <w:tcMar>
              <w:top w:w="113" w:type="dxa"/>
              <w:left w:w="113" w:type="dxa"/>
              <w:bottom w:w="113" w:type="dxa"/>
              <w:right w:w="113" w:type="dxa"/>
            </w:tcMar>
          </w:tcPr>
          <w:p w14:paraId="03940E0E"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Parte da paisagem cultural, são áreas utilizadas para a produção de alimentos</w:t>
            </w:r>
          </w:p>
        </w:tc>
      </w:tr>
      <w:tr w:rsidR="00B125DC" w:rsidRPr="00374494" w14:paraId="018CA04E" w14:textId="77777777" w:rsidTr="001615CA">
        <w:trPr>
          <w:trHeight w:val="503"/>
          <w:jc w:val="center"/>
        </w:trPr>
        <w:tc>
          <w:tcPr>
            <w:tcW w:w="1783" w:type="dxa"/>
            <w:shd w:val="clear" w:color="auto" w:fill="auto"/>
            <w:tcMar>
              <w:top w:w="113" w:type="dxa"/>
              <w:left w:w="113" w:type="dxa"/>
              <w:bottom w:w="113" w:type="dxa"/>
              <w:right w:w="113" w:type="dxa"/>
            </w:tcMar>
          </w:tcPr>
          <w:p w14:paraId="30EC8529"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Estabelecimento agropecuário</w:t>
            </w:r>
          </w:p>
        </w:tc>
        <w:tc>
          <w:tcPr>
            <w:tcW w:w="6126" w:type="dxa"/>
            <w:shd w:val="clear" w:color="auto" w:fill="auto"/>
            <w:tcMar>
              <w:top w:w="113" w:type="dxa"/>
              <w:left w:w="113" w:type="dxa"/>
              <w:bottom w:w="113" w:type="dxa"/>
              <w:right w:w="113" w:type="dxa"/>
            </w:tcMar>
          </w:tcPr>
          <w:p w14:paraId="7CBD344E"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Parte das áreas agrícolas, é a unidade dedicada às atividades agropecuárias: fazendas e hortos</w:t>
            </w:r>
          </w:p>
        </w:tc>
      </w:tr>
      <w:tr w:rsidR="00B125DC" w:rsidRPr="00374494" w14:paraId="1D832DA2" w14:textId="77777777" w:rsidTr="001615CA">
        <w:trPr>
          <w:jc w:val="center"/>
        </w:trPr>
        <w:tc>
          <w:tcPr>
            <w:tcW w:w="1783" w:type="dxa"/>
            <w:shd w:val="clear" w:color="auto" w:fill="auto"/>
            <w:tcMar>
              <w:top w:w="113" w:type="dxa"/>
              <w:left w:w="113" w:type="dxa"/>
              <w:bottom w:w="113" w:type="dxa"/>
              <w:right w:w="113" w:type="dxa"/>
            </w:tcMar>
          </w:tcPr>
          <w:p w14:paraId="0AEE8F81"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Práticas agrícolas</w:t>
            </w:r>
          </w:p>
        </w:tc>
        <w:tc>
          <w:tcPr>
            <w:tcW w:w="6126" w:type="dxa"/>
            <w:shd w:val="clear" w:color="auto" w:fill="auto"/>
            <w:tcMar>
              <w:top w:w="113" w:type="dxa"/>
              <w:left w:w="113" w:type="dxa"/>
              <w:bottom w:w="113" w:type="dxa"/>
              <w:right w:w="113" w:type="dxa"/>
            </w:tcMar>
          </w:tcPr>
          <w:p w14:paraId="7D04000F"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 xml:space="preserve">Dão formas à paisagem cultural e resultam de técnicas quanto ao plantio, limpeza de terrenos ou proteção de encostas: plantio em nível; pousio ou descanso de solos; proteção e/ou conservação de encostas; queimada; rotação de culturas; uso de lavouras para recuperação de pastagens; e terraços </w:t>
            </w:r>
          </w:p>
        </w:tc>
      </w:tr>
      <w:tr w:rsidR="00B125DC" w:rsidRPr="00374494" w14:paraId="0A5537F0" w14:textId="77777777" w:rsidTr="001615CA">
        <w:trPr>
          <w:jc w:val="center"/>
        </w:trPr>
        <w:tc>
          <w:tcPr>
            <w:tcW w:w="1783" w:type="dxa"/>
            <w:shd w:val="clear" w:color="auto" w:fill="auto"/>
            <w:tcMar>
              <w:top w:w="113" w:type="dxa"/>
              <w:left w:w="113" w:type="dxa"/>
              <w:bottom w:w="113" w:type="dxa"/>
              <w:right w:w="113" w:type="dxa"/>
            </w:tcMar>
          </w:tcPr>
          <w:p w14:paraId="4C7A6A8E"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Recursos hídricos</w:t>
            </w:r>
          </w:p>
        </w:tc>
        <w:tc>
          <w:tcPr>
            <w:tcW w:w="6126" w:type="dxa"/>
            <w:shd w:val="clear" w:color="auto" w:fill="auto"/>
            <w:tcMar>
              <w:top w:w="113" w:type="dxa"/>
              <w:left w:w="113" w:type="dxa"/>
              <w:bottom w:w="113" w:type="dxa"/>
              <w:right w:w="113" w:type="dxa"/>
            </w:tcMar>
          </w:tcPr>
          <w:p w14:paraId="0F56A71A"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Parte das áreas agrícolas, pode estar ou não em estabelecimento agropecuário: poços comuns, poços artesianos e cisternas</w:t>
            </w:r>
          </w:p>
        </w:tc>
      </w:tr>
      <w:tr w:rsidR="00B125DC" w:rsidRPr="00374494" w14:paraId="22B9CEC5" w14:textId="77777777" w:rsidTr="001615CA">
        <w:trPr>
          <w:jc w:val="center"/>
        </w:trPr>
        <w:tc>
          <w:tcPr>
            <w:tcW w:w="1783" w:type="dxa"/>
            <w:shd w:val="clear" w:color="auto" w:fill="auto"/>
            <w:tcMar>
              <w:top w:w="113" w:type="dxa"/>
              <w:left w:w="113" w:type="dxa"/>
              <w:bottom w:w="113" w:type="dxa"/>
              <w:right w:w="113" w:type="dxa"/>
            </w:tcMar>
          </w:tcPr>
          <w:p w14:paraId="024F9B1A"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Terras irrigadas</w:t>
            </w:r>
          </w:p>
        </w:tc>
        <w:tc>
          <w:tcPr>
            <w:tcW w:w="6126" w:type="dxa"/>
            <w:shd w:val="clear" w:color="auto" w:fill="auto"/>
            <w:tcMar>
              <w:top w:w="113" w:type="dxa"/>
              <w:left w:w="113" w:type="dxa"/>
              <w:bottom w:w="113" w:type="dxa"/>
              <w:right w:w="113" w:type="dxa"/>
            </w:tcMar>
          </w:tcPr>
          <w:p w14:paraId="42FDEEAA"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 xml:space="preserve">Parte das áreas agrícolas, resultam da prática e método de aplicação de água, que não da chuva, diretamente à superfície do solo cultivado </w:t>
            </w:r>
          </w:p>
        </w:tc>
      </w:tr>
      <w:tr w:rsidR="00B125DC" w:rsidRPr="00374494" w14:paraId="206B4E04" w14:textId="77777777" w:rsidTr="001615CA">
        <w:trPr>
          <w:jc w:val="center"/>
        </w:trPr>
        <w:tc>
          <w:tcPr>
            <w:tcW w:w="1783" w:type="dxa"/>
            <w:shd w:val="clear" w:color="auto" w:fill="auto"/>
            <w:tcMar>
              <w:top w:w="113" w:type="dxa"/>
              <w:left w:w="113" w:type="dxa"/>
              <w:bottom w:w="113" w:type="dxa"/>
              <w:right w:w="113" w:type="dxa"/>
            </w:tcMar>
          </w:tcPr>
          <w:p w14:paraId="4D3E3255"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Utilização das terras</w:t>
            </w:r>
          </w:p>
        </w:tc>
        <w:tc>
          <w:tcPr>
            <w:tcW w:w="6126" w:type="dxa"/>
            <w:shd w:val="clear" w:color="auto" w:fill="auto"/>
            <w:tcMar>
              <w:top w:w="113" w:type="dxa"/>
              <w:left w:w="113" w:type="dxa"/>
              <w:bottom w:w="113" w:type="dxa"/>
              <w:right w:w="113" w:type="dxa"/>
            </w:tcMar>
          </w:tcPr>
          <w:p w14:paraId="661DCDC1" w14:textId="77777777" w:rsidR="00B125DC" w:rsidRPr="00374494" w:rsidRDefault="00B125DC" w:rsidP="001615CA">
            <w:pPr>
              <w:spacing w:after="0" w:line="240" w:lineRule="auto"/>
              <w:rPr>
                <w:rFonts w:ascii="Times New Roman" w:eastAsia="SimSun" w:hAnsi="Times New Roman" w:cs="Times New Roman"/>
                <w:kern w:val="1"/>
                <w:sz w:val="18"/>
                <w:szCs w:val="18"/>
                <w:lang w:eastAsia="zh-CN" w:bidi="hi-IN"/>
                <w14:ligatures w14:val="none"/>
              </w:rPr>
            </w:pPr>
            <w:r w:rsidRPr="00374494">
              <w:rPr>
                <w:rFonts w:ascii="Times New Roman" w:eastAsia="SimSun" w:hAnsi="Times New Roman" w:cs="Times New Roman"/>
                <w:kern w:val="1"/>
                <w:sz w:val="18"/>
                <w:szCs w:val="18"/>
                <w:lang w:eastAsia="zh-CN" w:bidi="hi-IN"/>
                <w14:ligatures w14:val="none"/>
              </w:rPr>
              <w:t xml:space="preserve">Parte das áreas agrícolas, compreendem áreas plantadas ou em preparo para o plantio: lavoura permanente (cultura de longa duração, tais como: café, laranja, cacau, banana, uva, entre outros, que após a colheita não necessitam de novo plantio); lavoura temporária (inclusive horticultura e culturas de curta duração e só produzem uma vez); forrageiras para corte (uso na alimentação de animais); matas e/ou florestas naturais; </w:t>
            </w:r>
            <w:r w:rsidRPr="00374494">
              <w:rPr>
                <w:rFonts w:ascii="Times New Roman" w:eastAsia="SimSun" w:hAnsi="Times New Roman" w:cs="Times New Roman"/>
                <w:kern w:val="1"/>
                <w:sz w:val="18"/>
                <w:szCs w:val="18"/>
                <w:lang w:eastAsia="zh-CN" w:bidi="hi-IN"/>
                <w14:ligatures w14:val="none"/>
              </w:rPr>
              <w:lastRenderedPageBreak/>
              <w:t xml:space="preserve">florestas plantadas com essências florestais (nativas e exóticas); pastagem natural (campos naturais); pastagem plantada; construções, benfeitorias e caminhos; terras degradadas (erodidas, desertificadas, salinizadas); e terras inaproveitáveis (áreas inadequadas para plantio ou pastos: encostas íngremes, pedreiras, pântanos)   </w:t>
            </w:r>
          </w:p>
        </w:tc>
      </w:tr>
    </w:tbl>
    <w:p w14:paraId="4F9CAE51" w14:textId="77777777" w:rsidR="00B125DC" w:rsidRPr="00374494" w:rsidRDefault="00B125DC" w:rsidP="00863B19">
      <w:pPr>
        <w:spacing w:after="0"/>
        <w:ind w:left="-142"/>
        <w:rPr>
          <w:rFonts w:ascii="Times New Roman" w:eastAsia="Calibri" w:hAnsi="Times New Roman" w:cs="Times New Roman"/>
          <w:kern w:val="0"/>
          <w:sz w:val="14"/>
          <w:szCs w:val="14"/>
          <w14:ligatures w14:val="none"/>
        </w:rPr>
      </w:pPr>
      <w:r w:rsidRPr="00374494">
        <w:rPr>
          <w:rFonts w:ascii="Times New Roman" w:eastAsia="Calibri" w:hAnsi="Times New Roman" w:cs="Times New Roman"/>
          <w:kern w:val="0"/>
          <w:sz w:val="14"/>
          <w:szCs w:val="14"/>
          <w14:ligatures w14:val="none"/>
        </w:rPr>
        <w:lastRenderedPageBreak/>
        <w:t xml:space="preserve">   </w:t>
      </w:r>
    </w:p>
    <w:p w14:paraId="48D8427A" w14:textId="77777777" w:rsidR="00B125DC" w:rsidRPr="008B2C16" w:rsidRDefault="00B125DC" w:rsidP="00863B19">
      <w:pPr>
        <w:spacing w:after="0"/>
        <w:ind w:firstLine="708"/>
        <w:rPr>
          <w:rFonts w:ascii="Times New Roman" w:eastAsia="Calibri" w:hAnsi="Times New Roman" w:cs="Times New Roman"/>
          <w:kern w:val="0"/>
          <w:sz w:val="20"/>
          <w:szCs w:val="20"/>
          <w14:ligatures w14:val="none"/>
        </w:rPr>
      </w:pPr>
      <w:bookmarkStart w:id="82" w:name="_Hlk146532250"/>
      <w:r w:rsidRPr="00374494">
        <w:rPr>
          <w:rFonts w:ascii="Times New Roman" w:eastAsia="Calibri" w:hAnsi="Times New Roman" w:cs="Times New Roman"/>
          <w:b/>
          <w:bCs/>
          <w:kern w:val="0"/>
          <w:sz w:val="20"/>
          <w:szCs w:val="20"/>
          <w14:ligatures w14:val="none"/>
        </w:rPr>
        <w:t>Fonte</w:t>
      </w:r>
      <w:r w:rsidRPr="008B2C16">
        <w:rPr>
          <w:rFonts w:ascii="Times New Roman" w:eastAsia="Calibri" w:hAnsi="Times New Roman" w:cs="Times New Roman"/>
          <w:kern w:val="0"/>
          <w:sz w:val="20"/>
          <w:szCs w:val="20"/>
          <w14:ligatures w14:val="none"/>
        </w:rPr>
        <w:t>: Dados da pesquisa.</w:t>
      </w:r>
    </w:p>
    <w:bookmarkEnd w:id="82"/>
    <w:p w14:paraId="4A33B0CF" w14:textId="77777777" w:rsidR="008B2C16" w:rsidRDefault="008B2C16" w:rsidP="00863B19">
      <w:pPr>
        <w:spacing w:after="0" w:line="360" w:lineRule="auto"/>
        <w:ind w:firstLine="708"/>
        <w:jc w:val="both"/>
        <w:rPr>
          <w:rFonts w:ascii="Times New Roman" w:hAnsi="Times New Roman" w:cs="Times New Roman"/>
          <w:sz w:val="24"/>
          <w:szCs w:val="24"/>
        </w:rPr>
      </w:pPr>
    </w:p>
    <w:p w14:paraId="2B7B0F20" w14:textId="081FE227" w:rsidR="00B125DC" w:rsidRPr="00374494" w:rsidRDefault="00B125DC" w:rsidP="00863B19">
      <w:pPr>
        <w:spacing w:after="0" w:line="360" w:lineRule="auto"/>
        <w:ind w:firstLine="708"/>
        <w:jc w:val="both"/>
        <w:rPr>
          <w:rFonts w:ascii="Times New Roman" w:hAnsi="Times New Roman" w:cs="Times New Roman"/>
          <w:sz w:val="24"/>
          <w:szCs w:val="24"/>
        </w:rPr>
      </w:pPr>
      <w:r w:rsidRPr="00374494">
        <w:rPr>
          <w:rFonts w:ascii="Times New Roman" w:hAnsi="Times New Roman" w:cs="Times New Roman"/>
          <w:sz w:val="24"/>
          <w:szCs w:val="24"/>
        </w:rPr>
        <w:t>A representação da paisagem por meio de sua conceitualização</w:t>
      </w:r>
      <w:r>
        <w:rPr>
          <w:rFonts w:ascii="Times New Roman" w:hAnsi="Times New Roman" w:cs="Times New Roman"/>
          <w:sz w:val="24"/>
          <w:szCs w:val="24"/>
        </w:rPr>
        <w:t xml:space="preserve"> e rede de relações</w:t>
      </w:r>
      <w:r w:rsidRPr="00374494">
        <w:rPr>
          <w:rFonts w:ascii="Times New Roman" w:hAnsi="Times New Roman" w:cs="Times New Roman"/>
          <w:sz w:val="24"/>
          <w:szCs w:val="24"/>
        </w:rPr>
        <w:t xml:space="preserve">, ou seja, sua representação formal e uniforme, promove a qualificação tanto dos termos, quanto de sua estrutura classificatória (Quadro 2), </w:t>
      </w:r>
      <w:r>
        <w:rPr>
          <w:rFonts w:ascii="Times New Roman" w:hAnsi="Times New Roman" w:cs="Times New Roman"/>
          <w:sz w:val="24"/>
          <w:szCs w:val="24"/>
        </w:rPr>
        <w:t>considerando-se</w:t>
      </w:r>
      <w:r w:rsidRPr="00374494">
        <w:rPr>
          <w:rFonts w:ascii="Times New Roman" w:hAnsi="Times New Roman" w:cs="Times New Roman"/>
          <w:sz w:val="24"/>
          <w:szCs w:val="24"/>
        </w:rPr>
        <w:t xml:space="preserve"> sua utilidade em responder perguntas formuladas por usuários sobre essa temática e, também, favorece a troca de informações e seu reuso por outras comunidades, como profissionais da área de CI e interessados em estudos voltados à organização e representação dessa área de assunto, tendo em vista que </w:t>
      </w:r>
      <w:r w:rsidRPr="00294B1A">
        <w:rPr>
          <w:rFonts w:ascii="Times New Roman" w:hAnsi="Times New Roman" w:cs="Times New Roman"/>
          <w:sz w:val="24"/>
          <w:szCs w:val="24"/>
        </w:rPr>
        <w:t xml:space="preserve">SOCs, como </w:t>
      </w:r>
      <w:r w:rsidRPr="00374494">
        <w:rPr>
          <w:rFonts w:ascii="Times New Roman" w:hAnsi="Times New Roman" w:cs="Times New Roman"/>
          <w:sz w:val="24"/>
          <w:szCs w:val="24"/>
        </w:rPr>
        <w:t>os esquemas de classificação, tesauros e ontologias disponíveis</w:t>
      </w:r>
      <w:r>
        <w:rPr>
          <w:rFonts w:ascii="Times New Roman" w:hAnsi="Times New Roman" w:cs="Times New Roman"/>
          <w:sz w:val="24"/>
          <w:szCs w:val="24"/>
        </w:rPr>
        <w:t>,</w:t>
      </w:r>
      <w:r w:rsidRPr="00374494">
        <w:rPr>
          <w:rFonts w:ascii="Times New Roman" w:hAnsi="Times New Roman" w:cs="Times New Roman"/>
          <w:sz w:val="24"/>
          <w:szCs w:val="24"/>
        </w:rPr>
        <w:t xml:space="preserve"> se mostraram limitados na representação da paisagem na área de especialidade da Geografia.   </w:t>
      </w:r>
    </w:p>
    <w:p w14:paraId="2AFFF912" w14:textId="77777777" w:rsidR="00B125DC" w:rsidRPr="00374494" w:rsidRDefault="00B125DC" w:rsidP="00863B19">
      <w:pPr>
        <w:spacing w:after="0"/>
        <w:rPr>
          <w:rFonts w:ascii="Times New Roman" w:eastAsia="Calibri" w:hAnsi="Times New Roman" w:cs="Times New Roman"/>
          <w:b/>
          <w:bCs/>
          <w:kern w:val="0"/>
          <w:sz w:val="20"/>
          <w:szCs w:val="20"/>
          <w14:ligatures w14:val="none"/>
        </w:rPr>
      </w:pPr>
      <w:r w:rsidRPr="00374494">
        <w:t xml:space="preserve"> </w:t>
      </w:r>
    </w:p>
    <w:p w14:paraId="3902F517" w14:textId="51020E09" w:rsidR="00B125DC" w:rsidRPr="008B2C16" w:rsidRDefault="00B125DC" w:rsidP="008B2C16">
      <w:pPr>
        <w:spacing w:after="240"/>
        <w:ind w:left="-993" w:firstLine="993"/>
        <w:jc w:val="center"/>
        <w:rPr>
          <w:rFonts w:ascii="Times New Roman" w:eastAsia="Calibri" w:hAnsi="Times New Roman" w:cs="Times New Roman"/>
          <w:kern w:val="0"/>
          <w:sz w:val="24"/>
          <w:szCs w:val="24"/>
          <w14:ligatures w14:val="none"/>
        </w:rPr>
      </w:pPr>
      <w:bookmarkStart w:id="83" w:name="_Hlk146531338"/>
      <w:r w:rsidRPr="008B2C16">
        <w:rPr>
          <w:rFonts w:ascii="Times New Roman" w:eastAsia="Calibri" w:hAnsi="Times New Roman" w:cs="Times New Roman"/>
          <w:b/>
          <w:bCs/>
          <w:kern w:val="0"/>
          <w:sz w:val="24"/>
          <w:szCs w:val="24"/>
          <w14:ligatures w14:val="none"/>
        </w:rPr>
        <w:t>Quadro 2</w:t>
      </w:r>
      <w:r w:rsidR="008B2C16" w:rsidRPr="008B2C16">
        <w:rPr>
          <w:rFonts w:ascii="Times New Roman" w:eastAsia="Calibri" w:hAnsi="Times New Roman" w:cs="Times New Roman"/>
          <w:kern w:val="0"/>
          <w:sz w:val="24"/>
          <w:szCs w:val="24"/>
          <w14:ligatures w14:val="none"/>
        </w:rPr>
        <w:t>:</w:t>
      </w:r>
      <w:r w:rsidRPr="008B2C16">
        <w:rPr>
          <w:rFonts w:ascii="Times New Roman" w:eastAsia="Calibri" w:hAnsi="Times New Roman" w:cs="Times New Roman"/>
          <w:kern w:val="0"/>
          <w:sz w:val="24"/>
          <w:szCs w:val="24"/>
          <w14:ligatures w14:val="none"/>
        </w:rPr>
        <w:t xml:space="preserve"> Estrutura classificatória da paisagem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985"/>
        <w:gridCol w:w="3690"/>
      </w:tblGrid>
      <w:tr w:rsidR="00B125DC" w:rsidRPr="00374494" w14:paraId="09929B27" w14:textId="77777777" w:rsidTr="001615CA">
        <w:trPr>
          <w:jc w:val="center"/>
        </w:trPr>
        <w:tc>
          <w:tcPr>
            <w:tcW w:w="1413" w:type="dxa"/>
            <w:shd w:val="clear" w:color="auto" w:fill="E7E6E6" w:themeFill="background2"/>
            <w:tcMar>
              <w:top w:w="113" w:type="dxa"/>
              <w:left w:w="113" w:type="dxa"/>
              <w:bottom w:w="113" w:type="dxa"/>
              <w:right w:w="113" w:type="dxa"/>
            </w:tcMar>
            <w:vAlign w:val="center"/>
          </w:tcPr>
          <w:p w14:paraId="41814D1F" w14:textId="77777777" w:rsidR="00B125DC" w:rsidRPr="00374494" w:rsidRDefault="00B125DC" w:rsidP="001615CA">
            <w:pPr>
              <w:spacing w:after="0" w:line="240" w:lineRule="auto"/>
              <w:jc w:val="center"/>
              <w:rPr>
                <w:rFonts w:ascii="Times New Roman" w:eastAsia="Calibri" w:hAnsi="Times New Roman" w:cs="Times New Roman"/>
                <w:b/>
                <w:bCs/>
                <w:kern w:val="0"/>
                <w:sz w:val="18"/>
                <w:szCs w:val="18"/>
                <w14:ligatures w14:val="none"/>
              </w:rPr>
            </w:pPr>
            <w:r w:rsidRPr="00374494">
              <w:rPr>
                <w:rFonts w:ascii="Times New Roman" w:eastAsia="Calibri" w:hAnsi="Times New Roman" w:cs="Times New Roman"/>
                <w:b/>
                <w:bCs/>
                <w:kern w:val="0"/>
                <w:sz w:val="18"/>
                <w:szCs w:val="18"/>
                <w14:ligatures w14:val="none"/>
              </w:rPr>
              <w:t>Classe</w:t>
            </w:r>
          </w:p>
        </w:tc>
        <w:tc>
          <w:tcPr>
            <w:tcW w:w="1417" w:type="dxa"/>
            <w:shd w:val="clear" w:color="auto" w:fill="E7E6E6" w:themeFill="background2"/>
            <w:tcMar>
              <w:top w:w="113" w:type="dxa"/>
              <w:left w:w="113" w:type="dxa"/>
              <w:bottom w:w="113" w:type="dxa"/>
              <w:right w:w="113" w:type="dxa"/>
            </w:tcMar>
            <w:vAlign w:val="center"/>
          </w:tcPr>
          <w:p w14:paraId="187868F8" w14:textId="77777777" w:rsidR="00B125DC" w:rsidRPr="00374494" w:rsidRDefault="00B125DC" w:rsidP="001615CA">
            <w:pPr>
              <w:spacing w:after="0" w:line="240" w:lineRule="auto"/>
              <w:jc w:val="center"/>
              <w:rPr>
                <w:rFonts w:ascii="Times New Roman" w:eastAsia="Calibri" w:hAnsi="Times New Roman" w:cs="Times New Roman"/>
                <w:b/>
                <w:bCs/>
                <w:kern w:val="0"/>
                <w:sz w:val="18"/>
                <w:szCs w:val="18"/>
                <w14:ligatures w14:val="none"/>
              </w:rPr>
            </w:pPr>
            <w:r w:rsidRPr="00374494">
              <w:rPr>
                <w:rFonts w:ascii="Times New Roman" w:eastAsia="Calibri" w:hAnsi="Times New Roman" w:cs="Times New Roman"/>
                <w:b/>
                <w:bCs/>
                <w:kern w:val="0"/>
                <w:sz w:val="18"/>
                <w:szCs w:val="18"/>
                <w14:ligatures w14:val="none"/>
              </w:rPr>
              <w:t>Subclasse</w:t>
            </w:r>
          </w:p>
        </w:tc>
        <w:tc>
          <w:tcPr>
            <w:tcW w:w="1985" w:type="dxa"/>
            <w:shd w:val="clear" w:color="auto" w:fill="E7E6E6" w:themeFill="background2"/>
            <w:tcMar>
              <w:top w:w="113" w:type="dxa"/>
              <w:left w:w="113" w:type="dxa"/>
              <w:bottom w:w="113" w:type="dxa"/>
              <w:right w:w="113" w:type="dxa"/>
            </w:tcMar>
            <w:vAlign w:val="center"/>
          </w:tcPr>
          <w:p w14:paraId="5E5FA93D" w14:textId="77777777" w:rsidR="00B125DC" w:rsidRPr="00374494" w:rsidRDefault="00B125DC" w:rsidP="001615CA">
            <w:pPr>
              <w:spacing w:after="0" w:line="240" w:lineRule="auto"/>
              <w:jc w:val="center"/>
              <w:rPr>
                <w:rFonts w:ascii="Times New Roman" w:eastAsia="Calibri" w:hAnsi="Times New Roman" w:cs="Times New Roman"/>
                <w:b/>
                <w:bCs/>
                <w:kern w:val="0"/>
                <w:sz w:val="18"/>
                <w:szCs w:val="18"/>
                <w14:ligatures w14:val="none"/>
              </w:rPr>
            </w:pPr>
            <w:r w:rsidRPr="00374494">
              <w:rPr>
                <w:rFonts w:ascii="Times New Roman" w:eastAsia="Calibri" w:hAnsi="Times New Roman" w:cs="Times New Roman"/>
                <w:b/>
                <w:bCs/>
                <w:kern w:val="0"/>
                <w:sz w:val="18"/>
                <w:szCs w:val="18"/>
                <w14:ligatures w14:val="none"/>
              </w:rPr>
              <w:t>Subclasse subordinada</w:t>
            </w:r>
          </w:p>
        </w:tc>
        <w:tc>
          <w:tcPr>
            <w:tcW w:w="3690" w:type="dxa"/>
            <w:shd w:val="clear" w:color="auto" w:fill="E7E6E6" w:themeFill="background2"/>
            <w:tcMar>
              <w:top w:w="113" w:type="dxa"/>
              <w:left w:w="113" w:type="dxa"/>
              <w:bottom w:w="113" w:type="dxa"/>
              <w:right w:w="113" w:type="dxa"/>
            </w:tcMar>
            <w:vAlign w:val="center"/>
          </w:tcPr>
          <w:p w14:paraId="16EC7D60" w14:textId="77777777" w:rsidR="00B125DC" w:rsidRPr="00374494" w:rsidRDefault="00B125DC" w:rsidP="001615CA">
            <w:pPr>
              <w:spacing w:after="0" w:line="240" w:lineRule="auto"/>
              <w:jc w:val="center"/>
              <w:rPr>
                <w:rFonts w:ascii="Times New Roman" w:eastAsia="Calibri" w:hAnsi="Times New Roman" w:cs="Times New Roman"/>
                <w:b/>
                <w:bCs/>
                <w:kern w:val="0"/>
                <w:sz w:val="18"/>
                <w:szCs w:val="18"/>
                <w14:ligatures w14:val="none"/>
              </w:rPr>
            </w:pPr>
            <w:r w:rsidRPr="00374494">
              <w:rPr>
                <w:rFonts w:ascii="Times New Roman" w:eastAsia="Calibri" w:hAnsi="Times New Roman" w:cs="Times New Roman"/>
                <w:b/>
                <w:bCs/>
                <w:kern w:val="0"/>
                <w:sz w:val="18"/>
                <w:szCs w:val="18"/>
                <w14:ligatures w14:val="none"/>
              </w:rPr>
              <w:t>Subconjuntos</w:t>
            </w:r>
          </w:p>
        </w:tc>
      </w:tr>
      <w:tr w:rsidR="00B125DC" w:rsidRPr="00374494" w14:paraId="24E0E9C4" w14:textId="77777777" w:rsidTr="001615CA">
        <w:trPr>
          <w:trHeight w:val="224"/>
          <w:jc w:val="center"/>
        </w:trPr>
        <w:tc>
          <w:tcPr>
            <w:tcW w:w="1413" w:type="dxa"/>
            <w:vMerge w:val="restart"/>
            <w:shd w:val="clear" w:color="auto" w:fill="auto"/>
            <w:tcMar>
              <w:top w:w="113" w:type="dxa"/>
              <w:left w:w="113" w:type="dxa"/>
              <w:bottom w:w="113" w:type="dxa"/>
              <w:right w:w="113" w:type="dxa"/>
            </w:tcMar>
            <w:vAlign w:val="center"/>
          </w:tcPr>
          <w:p w14:paraId="5856E163"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Paisagem natural</w:t>
            </w:r>
          </w:p>
        </w:tc>
        <w:tc>
          <w:tcPr>
            <w:tcW w:w="1417" w:type="dxa"/>
            <w:vMerge w:val="restart"/>
            <w:shd w:val="clear" w:color="auto" w:fill="auto"/>
            <w:tcMar>
              <w:top w:w="113" w:type="dxa"/>
              <w:left w:w="113" w:type="dxa"/>
              <w:bottom w:w="113" w:type="dxa"/>
              <w:right w:w="113" w:type="dxa"/>
            </w:tcMar>
            <w:vAlign w:val="center"/>
          </w:tcPr>
          <w:p w14:paraId="181171FA"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 xml:space="preserve">Cobertura </w:t>
            </w:r>
            <w:r w:rsidRPr="00374494">
              <w:rPr>
                <w:rFonts w:ascii="Times New Roman" w:eastAsia="Calibri" w:hAnsi="Times New Roman" w:cs="Times New Roman"/>
                <w:kern w:val="0"/>
                <w:sz w:val="18"/>
                <w:szCs w:val="18"/>
                <w14:ligatures w14:val="none"/>
              </w:rPr>
              <w:br/>
              <w:t>da terra</w:t>
            </w:r>
          </w:p>
        </w:tc>
        <w:tc>
          <w:tcPr>
            <w:tcW w:w="1985" w:type="dxa"/>
            <w:shd w:val="clear" w:color="auto" w:fill="auto"/>
            <w:tcMar>
              <w:top w:w="113" w:type="dxa"/>
              <w:left w:w="113" w:type="dxa"/>
              <w:bottom w:w="113" w:type="dxa"/>
              <w:right w:w="113" w:type="dxa"/>
            </w:tcMar>
            <w:vAlign w:val="center"/>
          </w:tcPr>
          <w:p w14:paraId="704E4395"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Águas</w:t>
            </w:r>
          </w:p>
        </w:tc>
        <w:tc>
          <w:tcPr>
            <w:tcW w:w="3690" w:type="dxa"/>
            <w:shd w:val="clear" w:color="auto" w:fill="auto"/>
            <w:tcMar>
              <w:top w:w="113" w:type="dxa"/>
              <w:left w:w="113" w:type="dxa"/>
              <w:bottom w:w="113" w:type="dxa"/>
              <w:right w:w="113" w:type="dxa"/>
            </w:tcMar>
            <w:vAlign w:val="center"/>
          </w:tcPr>
          <w:p w14:paraId="05839B13"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Alagados; Cursos de água; Pântanos; e rios</w:t>
            </w:r>
          </w:p>
        </w:tc>
      </w:tr>
      <w:tr w:rsidR="00B125DC" w:rsidRPr="00374494" w14:paraId="2C4277D8" w14:textId="77777777" w:rsidTr="001615CA">
        <w:trPr>
          <w:jc w:val="center"/>
        </w:trPr>
        <w:tc>
          <w:tcPr>
            <w:tcW w:w="1413" w:type="dxa"/>
            <w:vMerge/>
            <w:shd w:val="clear" w:color="auto" w:fill="auto"/>
            <w:tcMar>
              <w:top w:w="113" w:type="dxa"/>
              <w:left w:w="113" w:type="dxa"/>
              <w:bottom w:w="113" w:type="dxa"/>
              <w:right w:w="113" w:type="dxa"/>
            </w:tcMar>
            <w:vAlign w:val="center"/>
          </w:tcPr>
          <w:p w14:paraId="6374D114"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shd w:val="clear" w:color="auto" w:fill="auto"/>
            <w:tcMar>
              <w:top w:w="113" w:type="dxa"/>
              <w:left w:w="113" w:type="dxa"/>
              <w:bottom w:w="113" w:type="dxa"/>
              <w:right w:w="113" w:type="dxa"/>
            </w:tcMar>
            <w:vAlign w:val="center"/>
          </w:tcPr>
          <w:p w14:paraId="1385D40B"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985" w:type="dxa"/>
            <w:shd w:val="clear" w:color="auto" w:fill="auto"/>
            <w:tcMar>
              <w:top w:w="113" w:type="dxa"/>
              <w:left w:w="113" w:type="dxa"/>
              <w:bottom w:w="113" w:type="dxa"/>
              <w:right w:w="113" w:type="dxa"/>
            </w:tcMar>
            <w:vAlign w:val="center"/>
          </w:tcPr>
          <w:p w14:paraId="1024736E"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Áreas de mineração</w:t>
            </w:r>
          </w:p>
        </w:tc>
        <w:tc>
          <w:tcPr>
            <w:tcW w:w="3690" w:type="dxa"/>
            <w:shd w:val="clear" w:color="auto" w:fill="auto"/>
            <w:tcMar>
              <w:top w:w="113" w:type="dxa"/>
              <w:left w:w="113" w:type="dxa"/>
              <w:bottom w:w="113" w:type="dxa"/>
              <w:right w:w="113" w:type="dxa"/>
            </w:tcMar>
            <w:vAlign w:val="center"/>
          </w:tcPr>
          <w:p w14:paraId="616CF6BC"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w:t>
            </w:r>
          </w:p>
        </w:tc>
      </w:tr>
      <w:tr w:rsidR="00B125DC" w:rsidRPr="00374494" w14:paraId="6C3519CC" w14:textId="77777777" w:rsidTr="001615CA">
        <w:trPr>
          <w:trHeight w:val="211"/>
          <w:jc w:val="center"/>
        </w:trPr>
        <w:tc>
          <w:tcPr>
            <w:tcW w:w="1413" w:type="dxa"/>
            <w:vMerge/>
            <w:shd w:val="clear" w:color="auto" w:fill="auto"/>
            <w:tcMar>
              <w:top w:w="113" w:type="dxa"/>
              <w:left w:w="113" w:type="dxa"/>
              <w:bottom w:w="113" w:type="dxa"/>
              <w:right w:w="113" w:type="dxa"/>
            </w:tcMar>
            <w:vAlign w:val="center"/>
          </w:tcPr>
          <w:p w14:paraId="0CFC6261"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shd w:val="clear" w:color="auto" w:fill="auto"/>
            <w:tcMar>
              <w:top w:w="113" w:type="dxa"/>
              <w:left w:w="113" w:type="dxa"/>
              <w:bottom w:w="113" w:type="dxa"/>
              <w:right w:w="113" w:type="dxa"/>
            </w:tcMar>
            <w:vAlign w:val="center"/>
          </w:tcPr>
          <w:p w14:paraId="4956CC99"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985" w:type="dxa"/>
            <w:shd w:val="clear" w:color="auto" w:fill="auto"/>
            <w:tcMar>
              <w:top w:w="113" w:type="dxa"/>
              <w:left w:w="113" w:type="dxa"/>
              <w:bottom w:w="113" w:type="dxa"/>
              <w:right w:w="113" w:type="dxa"/>
            </w:tcMar>
            <w:vAlign w:val="center"/>
          </w:tcPr>
          <w:p w14:paraId="21F3ED9D"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Vegetação</w:t>
            </w:r>
          </w:p>
        </w:tc>
        <w:tc>
          <w:tcPr>
            <w:tcW w:w="3690" w:type="dxa"/>
            <w:shd w:val="clear" w:color="auto" w:fill="auto"/>
            <w:tcMar>
              <w:top w:w="113" w:type="dxa"/>
              <w:left w:w="113" w:type="dxa"/>
              <w:bottom w:w="113" w:type="dxa"/>
              <w:right w:w="113" w:type="dxa"/>
            </w:tcMar>
            <w:vAlign w:val="center"/>
          </w:tcPr>
          <w:p w14:paraId="25EF6652"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Campos; matas; e florestas</w:t>
            </w:r>
          </w:p>
        </w:tc>
      </w:tr>
      <w:tr w:rsidR="00B125DC" w:rsidRPr="00374494" w14:paraId="59F25EF8" w14:textId="77777777" w:rsidTr="001615CA">
        <w:trPr>
          <w:jc w:val="center"/>
        </w:trPr>
        <w:tc>
          <w:tcPr>
            <w:tcW w:w="1413" w:type="dxa"/>
            <w:vMerge w:val="restart"/>
            <w:shd w:val="clear" w:color="auto" w:fill="auto"/>
            <w:tcMar>
              <w:top w:w="113" w:type="dxa"/>
              <w:left w:w="113" w:type="dxa"/>
              <w:bottom w:w="113" w:type="dxa"/>
              <w:right w:w="113" w:type="dxa"/>
            </w:tcMar>
            <w:vAlign w:val="center"/>
          </w:tcPr>
          <w:p w14:paraId="4C2BA849"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Paisagem cultural</w:t>
            </w:r>
          </w:p>
          <w:p w14:paraId="41E3D80E"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p w14:paraId="5CE45B43"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p w14:paraId="3F8E12CD"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shd w:val="clear" w:color="auto" w:fill="auto"/>
            <w:tcMar>
              <w:top w:w="113" w:type="dxa"/>
              <w:left w:w="113" w:type="dxa"/>
              <w:bottom w:w="113" w:type="dxa"/>
              <w:right w:w="113" w:type="dxa"/>
            </w:tcMar>
            <w:vAlign w:val="center"/>
          </w:tcPr>
          <w:p w14:paraId="487406CF"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Áreas urbanizadas</w:t>
            </w:r>
          </w:p>
        </w:tc>
        <w:tc>
          <w:tcPr>
            <w:tcW w:w="1985" w:type="dxa"/>
            <w:shd w:val="clear" w:color="auto" w:fill="auto"/>
            <w:tcMar>
              <w:top w:w="113" w:type="dxa"/>
              <w:left w:w="113" w:type="dxa"/>
              <w:bottom w:w="113" w:type="dxa"/>
              <w:right w:w="113" w:type="dxa"/>
            </w:tcMar>
            <w:vAlign w:val="center"/>
          </w:tcPr>
          <w:p w14:paraId="2635FFDA"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Cidades, vilas e complexos industriais</w:t>
            </w:r>
          </w:p>
        </w:tc>
        <w:tc>
          <w:tcPr>
            <w:tcW w:w="3690" w:type="dxa"/>
            <w:shd w:val="clear" w:color="auto" w:fill="auto"/>
            <w:tcMar>
              <w:top w:w="113" w:type="dxa"/>
              <w:left w:w="113" w:type="dxa"/>
              <w:bottom w:w="113" w:type="dxa"/>
              <w:right w:w="113" w:type="dxa"/>
            </w:tcMar>
            <w:vAlign w:val="center"/>
          </w:tcPr>
          <w:p w14:paraId="00A52112"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w:t>
            </w:r>
          </w:p>
        </w:tc>
      </w:tr>
      <w:tr w:rsidR="00B125DC" w:rsidRPr="00374494" w14:paraId="273A61C9" w14:textId="77777777" w:rsidTr="001615CA">
        <w:trPr>
          <w:trHeight w:val="412"/>
          <w:jc w:val="center"/>
        </w:trPr>
        <w:tc>
          <w:tcPr>
            <w:tcW w:w="1413" w:type="dxa"/>
            <w:vMerge/>
            <w:shd w:val="clear" w:color="auto" w:fill="auto"/>
            <w:tcMar>
              <w:top w:w="113" w:type="dxa"/>
              <w:left w:w="113" w:type="dxa"/>
              <w:bottom w:w="113" w:type="dxa"/>
              <w:right w:w="113" w:type="dxa"/>
            </w:tcMar>
            <w:vAlign w:val="center"/>
          </w:tcPr>
          <w:p w14:paraId="4232291C"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val="restart"/>
            <w:shd w:val="clear" w:color="auto" w:fill="auto"/>
            <w:tcMar>
              <w:top w:w="113" w:type="dxa"/>
              <w:left w:w="113" w:type="dxa"/>
              <w:bottom w:w="113" w:type="dxa"/>
              <w:right w:w="113" w:type="dxa"/>
            </w:tcMar>
            <w:vAlign w:val="center"/>
          </w:tcPr>
          <w:p w14:paraId="195FF463"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Áreas agrícolas</w:t>
            </w:r>
          </w:p>
        </w:tc>
        <w:tc>
          <w:tcPr>
            <w:tcW w:w="1985" w:type="dxa"/>
            <w:shd w:val="clear" w:color="auto" w:fill="auto"/>
            <w:tcMar>
              <w:top w:w="113" w:type="dxa"/>
              <w:left w:w="113" w:type="dxa"/>
              <w:bottom w:w="113" w:type="dxa"/>
              <w:right w:w="113" w:type="dxa"/>
            </w:tcMar>
            <w:vAlign w:val="center"/>
          </w:tcPr>
          <w:p w14:paraId="112F2BF2"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Estabelecimento agropecuário</w:t>
            </w:r>
          </w:p>
        </w:tc>
        <w:tc>
          <w:tcPr>
            <w:tcW w:w="3690" w:type="dxa"/>
            <w:shd w:val="clear" w:color="auto" w:fill="auto"/>
            <w:tcMar>
              <w:top w:w="113" w:type="dxa"/>
              <w:left w:w="113" w:type="dxa"/>
              <w:bottom w:w="113" w:type="dxa"/>
              <w:right w:w="113" w:type="dxa"/>
            </w:tcMar>
            <w:vAlign w:val="center"/>
          </w:tcPr>
          <w:p w14:paraId="59B59C4F"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 xml:space="preserve">Fazendas e hortos </w:t>
            </w:r>
          </w:p>
        </w:tc>
      </w:tr>
      <w:tr w:rsidR="00B125DC" w:rsidRPr="00374494" w14:paraId="461B4437" w14:textId="77777777" w:rsidTr="001615CA">
        <w:trPr>
          <w:jc w:val="center"/>
        </w:trPr>
        <w:tc>
          <w:tcPr>
            <w:tcW w:w="1413" w:type="dxa"/>
            <w:vMerge/>
            <w:shd w:val="clear" w:color="auto" w:fill="auto"/>
            <w:tcMar>
              <w:top w:w="113" w:type="dxa"/>
              <w:left w:w="113" w:type="dxa"/>
              <w:bottom w:w="113" w:type="dxa"/>
              <w:right w:w="113" w:type="dxa"/>
            </w:tcMar>
            <w:vAlign w:val="center"/>
          </w:tcPr>
          <w:p w14:paraId="05C622C1"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shd w:val="clear" w:color="auto" w:fill="auto"/>
            <w:tcMar>
              <w:top w:w="113" w:type="dxa"/>
              <w:left w:w="113" w:type="dxa"/>
              <w:bottom w:w="113" w:type="dxa"/>
              <w:right w:w="113" w:type="dxa"/>
            </w:tcMar>
            <w:vAlign w:val="center"/>
          </w:tcPr>
          <w:p w14:paraId="1D300B93"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985" w:type="dxa"/>
            <w:shd w:val="clear" w:color="auto" w:fill="auto"/>
            <w:tcMar>
              <w:top w:w="113" w:type="dxa"/>
              <w:left w:w="113" w:type="dxa"/>
              <w:bottom w:w="113" w:type="dxa"/>
              <w:right w:w="113" w:type="dxa"/>
            </w:tcMar>
            <w:vAlign w:val="center"/>
          </w:tcPr>
          <w:p w14:paraId="5738C87D"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Práticas agrícolas</w:t>
            </w:r>
          </w:p>
        </w:tc>
        <w:tc>
          <w:tcPr>
            <w:tcW w:w="3690" w:type="dxa"/>
            <w:shd w:val="clear" w:color="auto" w:fill="auto"/>
            <w:tcMar>
              <w:top w:w="113" w:type="dxa"/>
              <w:left w:w="113" w:type="dxa"/>
              <w:bottom w:w="113" w:type="dxa"/>
              <w:right w:w="113" w:type="dxa"/>
            </w:tcMar>
            <w:vAlign w:val="center"/>
          </w:tcPr>
          <w:p w14:paraId="38704531"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Plantio em nível; pousio ou descanso de solos; proteção e/ou conservação de encostas; queimada; rotação de culturas; lavouras para reforma e/ou renovação e/ou recuperação de pastagens; e terraços</w:t>
            </w:r>
          </w:p>
        </w:tc>
      </w:tr>
      <w:tr w:rsidR="00B125DC" w:rsidRPr="00374494" w14:paraId="296773BE" w14:textId="77777777" w:rsidTr="001615CA">
        <w:trPr>
          <w:jc w:val="center"/>
        </w:trPr>
        <w:tc>
          <w:tcPr>
            <w:tcW w:w="1413" w:type="dxa"/>
            <w:vMerge/>
            <w:shd w:val="clear" w:color="auto" w:fill="auto"/>
            <w:tcMar>
              <w:top w:w="113" w:type="dxa"/>
              <w:left w:w="113" w:type="dxa"/>
              <w:bottom w:w="113" w:type="dxa"/>
              <w:right w:w="113" w:type="dxa"/>
            </w:tcMar>
            <w:vAlign w:val="center"/>
          </w:tcPr>
          <w:p w14:paraId="1F14BC89"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shd w:val="clear" w:color="auto" w:fill="auto"/>
            <w:tcMar>
              <w:top w:w="113" w:type="dxa"/>
              <w:left w:w="113" w:type="dxa"/>
              <w:bottom w:w="113" w:type="dxa"/>
              <w:right w:w="113" w:type="dxa"/>
            </w:tcMar>
            <w:vAlign w:val="center"/>
          </w:tcPr>
          <w:p w14:paraId="7991A357"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985" w:type="dxa"/>
            <w:shd w:val="clear" w:color="auto" w:fill="auto"/>
            <w:tcMar>
              <w:top w:w="113" w:type="dxa"/>
              <w:left w:w="113" w:type="dxa"/>
              <w:bottom w:w="113" w:type="dxa"/>
              <w:right w:w="113" w:type="dxa"/>
            </w:tcMar>
            <w:vAlign w:val="center"/>
          </w:tcPr>
          <w:p w14:paraId="63343D0F"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Recursos hídricos</w:t>
            </w:r>
          </w:p>
        </w:tc>
        <w:tc>
          <w:tcPr>
            <w:tcW w:w="3690" w:type="dxa"/>
            <w:shd w:val="clear" w:color="auto" w:fill="auto"/>
            <w:tcMar>
              <w:top w:w="113" w:type="dxa"/>
              <w:left w:w="113" w:type="dxa"/>
              <w:bottom w:w="113" w:type="dxa"/>
              <w:right w:w="113" w:type="dxa"/>
            </w:tcMar>
            <w:vAlign w:val="center"/>
          </w:tcPr>
          <w:p w14:paraId="66175D69"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Poços artesianos; poços comuns; e cisternas</w:t>
            </w:r>
          </w:p>
        </w:tc>
      </w:tr>
      <w:tr w:rsidR="00B125DC" w:rsidRPr="00374494" w14:paraId="7F762598" w14:textId="77777777" w:rsidTr="001615CA">
        <w:trPr>
          <w:jc w:val="center"/>
        </w:trPr>
        <w:tc>
          <w:tcPr>
            <w:tcW w:w="1413" w:type="dxa"/>
            <w:vMerge/>
            <w:shd w:val="clear" w:color="auto" w:fill="auto"/>
            <w:tcMar>
              <w:top w:w="113" w:type="dxa"/>
              <w:left w:w="113" w:type="dxa"/>
              <w:bottom w:w="113" w:type="dxa"/>
              <w:right w:w="113" w:type="dxa"/>
            </w:tcMar>
            <w:vAlign w:val="center"/>
          </w:tcPr>
          <w:p w14:paraId="00CFF766"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shd w:val="clear" w:color="auto" w:fill="auto"/>
            <w:tcMar>
              <w:top w:w="113" w:type="dxa"/>
              <w:left w:w="113" w:type="dxa"/>
              <w:bottom w:w="113" w:type="dxa"/>
              <w:right w:w="113" w:type="dxa"/>
            </w:tcMar>
            <w:vAlign w:val="center"/>
          </w:tcPr>
          <w:p w14:paraId="4552C072"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985" w:type="dxa"/>
            <w:shd w:val="clear" w:color="auto" w:fill="auto"/>
            <w:tcMar>
              <w:top w:w="113" w:type="dxa"/>
              <w:left w:w="113" w:type="dxa"/>
              <w:bottom w:w="113" w:type="dxa"/>
              <w:right w:w="113" w:type="dxa"/>
            </w:tcMar>
            <w:vAlign w:val="center"/>
          </w:tcPr>
          <w:p w14:paraId="12ADBEB1"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Terras irrigadas</w:t>
            </w:r>
          </w:p>
        </w:tc>
        <w:tc>
          <w:tcPr>
            <w:tcW w:w="3690" w:type="dxa"/>
            <w:shd w:val="clear" w:color="auto" w:fill="auto"/>
            <w:tcMar>
              <w:top w:w="113" w:type="dxa"/>
              <w:left w:w="113" w:type="dxa"/>
              <w:bottom w:w="113" w:type="dxa"/>
              <w:right w:w="113" w:type="dxa"/>
            </w:tcMar>
            <w:vAlign w:val="center"/>
          </w:tcPr>
          <w:p w14:paraId="2E79531C"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Gotejamento; Inundação; Pivô central; Sulcos</w:t>
            </w:r>
          </w:p>
        </w:tc>
      </w:tr>
      <w:tr w:rsidR="00B125DC" w:rsidRPr="00374494" w14:paraId="6C5B549F" w14:textId="77777777" w:rsidTr="001615CA">
        <w:trPr>
          <w:trHeight w:val="50"/>
          <w:jc w:val="center"/>
        </w:trPr>
        <w:tc>
          <w:tcPr>
            <w:tcW w:w="1413" w:type="dxa"/>
            <w:vMerge/>
            <w:shd w:val="clear" w:color="auto" w:fill="auto"/>
            <w:tcMar>
              <w:top w:w="113" w:type="dxa"/>
              <w:left w:w="113" w:type="dxa"/>
              <w:bottom w:w="113" w:type="dxa"/>
              <w:right w:w="113" w:type="dxa"/>
            </w:tcMar>
            <w:vAlign w:val="center"/>
          </w:tcPr>
          <w:p w14:paraId="728D42E9"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417" w:type="dxa"/>
            <w:vMerge/>
            <w:shd w:val="clear" w:color="auto" w:fill="auto"/>
            <w:tcMar>
              <w:top w:w="113" w:type="dxa"/>
              <w:left w:w="113" w:type="dxa"/>
              <w:bottom w:w="113" w:type="dxa"/>
              <w:right w:w="113" w:type="dxa"/>
            </w:tcMar>
            <w:vAlign w:val="center"/>
          </w:tcPr>
          <w:p w14:paraId="304CC6E0"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p>
        </w:tc>
        <w:tc>
          <w:tcPr>
            <w:tcW w:w="1985" w:type="dxa"/>
            <w:shd w:val="clear" w:color="auto" w:fill="auto"/>
            <w:tcMar>
              <w:top w:w="113" w:type="dxa"/>
              <w:left w:w="113" w:type="dxa"/>
              <w:bottom w:w="113" w:type="dxa"/>
              <w:right w:w="113" w:type="dxa"/>
            </w:tcMar>
            <w:vAlign w:val="center"/>
          </w:tcPr>
          <w:p w14:paraId="0C765E50"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Utilização das terras</w:t>
            </w:r>
          </w:p>
        </w:tc>
        <w:tc>
          <w:tcPr>
            <w:tcW w:w="3690" w:type="dxa"/>
            <w:shd w:val="clear" w:color="auto" w:fill="auto"/>
            <w:tcMar>
              <w:top w:w="113" w:type="dxa"/>
              <w:left w:w="113" w:type="dxa"/>
              <w:bottom w:w="113" w:type="dxa"/>
              <w:right w:w="113" w:type="dxa"/>
            </w:tcMar>
            <w:vAlign w:val="center"/>
          </w:tcPr>
          <w:p w14:paraId="340CDBDC" w14:textId="77777777" w:rsidR="00B125DC" w:rsidRPr="00374494" w:rsidRDefault="00B125DC" w:rsidP="001615CA">
            <w:pPr>
              <w:spacing w:after="0" w:line="240" w:lineRule="auto"/>
              <w:rPr>
                <w:rFonts w:ascii="Times New Roman" w:eastAsia="Calibri" w:hAnsi="Times New Roman" w:cs="Times New Roman"/>
                <w:kern w:val="0"/>
                <w:sz w:val="18"/>
                <w:szCs w:val="18"/>
                <w14:ligatures w14:val="none"/>
              </w:rPr>
            </w:pPr>
            <w:r w:rsidRPr="00374494">
              <w:rPr>
                <w:rFonts w:ascii="Times New Roman" w:eastAsia="Calibri" w:hAnsi="Times New Roman" w:cs="Times New Roman"/>
                <w:kern w:val="0"/>
                <w:sz w:val="18"/>
                <w:szCs w:val="18"/>
                <w14:ligatures w14:val="none"/>
              </w:rPr>
              <w:t>Construções; benfeitorias e caminhos; florestas plantadas com essências florestais; forrageiras para corte; lavoura permanente; lavoura temporária; matas e florestas naturais; pastagem natural; pastagem plantada; terras degradas; e terras inaproveitáveis</w:t>
            </w:r>
          </w:p>
        </w:tc>
      </w:tr>
    </w:tbl>
    <w:bookmarkEnd w:id="83"/>
    <w:p w14:paraId="06CA3F77" w14:textId="77777777" w:rsidR="00B125DC" w:rsidRPr="00374494" w:rsidRDefault="00B125DC" w:rsidP="00B125DC">
      <w:pPr>
        <w:spacing w:after="0"/>
        <w:ind w:left="-142"/>
        <w:rPr>
          <w:rFonts w:ascii="Times New Roman" w:eastAsia="Calibri" w:hAnsi="Times New Roman" w:cs="Times New Roman"/>
          <w:kern w:val="0"/>
          <w:sz w:val="14"/>
          <w:szCs w:val="14"/>
          <w14:ligatures w14:val="none"/>
        </w:rPr>
      </w:pPr>
      <w:r w:rsidRPr="00374494">
        <w:rPr>
          <w:rFonts w:ascii="Times New Roman" w:eastAsia="Calibri" w:hAnsi="Times New Roman" w:cs="Times New Roman"/>
          <w:kern w:val="0"/>
          <w:sz w:val="14"/>
          <w:szCs w:val="14"/>
          <w14:ligatures w14:val="none"/>
        </w:rPr>
        <w:t xml:space="preserve">   </w:t>
      </w:r>
    </w:p>
    <w:p w14:paraId="17F17AB2" w14:textId="77777777" w:rsidR="00B125DC" w:rsidRPr="008B2C16" w:rsidRDefault="00B125DC" w:rsidP="00863B19">
      <w:pPr>
        <w:spacing w:after="0" w:line="360" w:lineRule="auto"/>
        <w:ind w:firstLine="708"/>
        <w:rPr>
          <w:rFonts w:ascii="Times New Roman" w:eastAsia="Calibri" w:hAnsi="Times New Roman" w:cs="Times New Roman"/>
          <w:kern w:val="0"/>
          <w:sz w:val="20"/>
          <w:szCs w:val="20"/>
          <w14:ligatures w14:val="none"/>
        </w:rPr>
      </w:pPr>
      <w:r w:rsidRPr="008B2C16">
        <w:rPr>
          <w:rFonts w:ascii="Times New Roman" w:eastAsia="Calibri" w:hAnsi="Times New Roman" w:cs="Times New Roman"/>
          <w:b/>
          <w:bCs/>
          <w:kern w:val="0"/>
          <w:sz w:val="20"/>
          <w:szCs w:val="20"/>
          <w14:ligatures w14:val="none"/>
        </w:rPr>
        <w:t>Fonte</w:t>
      </w:r>
      <w:r w:rsidRPr="008B2C16">
        <w:rPr>
          <w:rFonts w:ascii="Times New Roman" w:eastAsia="Calibri" w:hAnsi="Times New Roman" w:cs="Times New Roman"/>
          <w:kern w:val="0"/>
          <w:sz w:val="20"/>
          <w:szCs w:val="20"/>
          <w14:ligatures w14:val="none"/>
        </w:rPr>
        <w:t>: Dados da pesquisa.</w:t>
      </w:r>
    </w:p>
    <w:p w14:paraId="25FCB690" w14:textId="77777777" w:rsidR="00B125DC" w:rsidRPr="00374494" w:rsidRDefault="00B125DC" w:rsidP="00863B19">
      <w:pPr>
        <w:spacing w:after="0" w:line="360" w:lineRule="auto"/>
        <w:rPr>
          <w:rFonts w:ascii="Times New Roman" w:eastAsia="Calibri" w:hAnsi="Times New Roman" w:cs="Times New Roman"/>
          <w:b/>
          <w:bCs/>
          <w:kern w:val="0"/>
          <w:sz w:val="20"/>
          <w:szCs w:val="20"/>
          <w14:ligatures w14:val="none"/>
        </w:rPr>
      </w:pPr>
    </w:p>
    <w:p w14:paraId="6AF4791E" w14:textId="77777777" w:rsidR="00B125DC" w:rsidRDefault="00B125DC" w:rsidP="00B125DC">
      <w:pPr>
        <w:spacing w:line="240" w:lineRule="auto"/>
        <w:jc w:val="center"/>
        <w:rPr>
          <w:rFonts w:ascii="Times New Roman" w:eastAsia="Calibri" w:hAnsi="Times New Roman" w:cs="Times New Roman"/>
          <w:b/>
          <w:bCs/>
          <w:kern w:val="0"/>
          <w:sz w:val="20"/>
          <w:szCs w:val="20"/>
          <w14:ligatures w14:val="none"/>
        </w:rPr>
      </w:pPr>
    </w:p>
    <w:p w14:paraId="3FD766B0" w14:textId="6BB7E911" w:rsidR="00B125DC" w:rsidRPr="008B2C16" w:rsidRDefault="00B125DC" w:rsidP="00B125DC">
      <w:pPr>
        <w:spacing w:line="240" w:lineRule="auto"/>
        <w:jc w:val="center"/>
        <w:rPr>
          <w:rFonts w:ascii="Times New Roman" w:eastAsia="Calibri" w:hAnsi="Times New Roman" w:cs="Times New Roman"/>
          <w:kern w:val="0"/>
          <w:sz w:val="20"/>
          <w:szCs w:val="20"/>
          <w14:ligatures w14:val="none"/>
        </w:rPr>
      </w:pPr>
      <w:bookmarkStart w:id="84" w:name="_Hlk146531786"/>
      <w:bookmarkStart w:id="85" w:name="_Hlk146531533"/>
      <w:r w:rsidRPr="008B2C16">
        <w:rPr>
          <w:rFonts w:ascii="Times New Roman" w:eastAsia="Calibri" w:hAnsi="Times New Roman" w:cs="Times New Roman"/>
          <w:b/>
          <w:bCs/>
          <w:noProof/>
          <w:kern w:val="0"/>
          <w:sz w:val="24"/>
          <w:szCs w:val="24"/>
          <w:lang w:eastAsia="pt-BR"/>
          <w14:ligatures w14:val="none"/>
        </w:rPr>
        <w:lastRenderedPageBreak/>
        <w:drawing>
          <wp:anchor distT="0" distB="0" distL="114300" distR="114300" simplePos="0" relativeHeight="251659264" behindDoc="0" locked="0" layoutInCell="1" allowOverlap="1" wp14:anchorId="1F7D2317" wp14:editId="1EB7E0F5">
            <wp:simplePos x="0" y="0"/>
            <wp:positionH relativeFrom="margin">
              <wp:posOffset>-20955</wp:posOffset>
            </wp:positionH>
            <wp:positionV relativeFrom="paragraph">
              <wp:posOffset>327660</wp:posOffset>
            </wp:positionV>
            <wp:extent cx="5422265" cy="3540760"/>
            <wp:effectExtent l="0" t="0" r="6985" b="0"/>
            <wp:wrapSquare wrapText="bothSides"/>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bookmarkStart w:id="86" w:name="_Hlk146532645"/>
      <w:r w:rsidRPr="008B2C16">
        <w:rPr>
          <w:rFonts w:ascii="Times New Roman" w:eastAsia="Calibri" w:hAnsi="Times New Roman" w:cs="Times New Roman"/>
          <w:b/>
          <w:bCs/>
          <w:kern w:val="0"/>
          <w:sz w:val="24"/>
          <w:szCs w:val="24"/>
          <w14:ligatures w14:val="none"/>
        </w:rPr>
        <w:t>Figura 1</w:t>
      </w:r>
      <w:r w:rsidR="008B2C16" w:rsidRPr="008B2C16">
        <w:rPr>
          <w:rFonts w:ascii="Times New Roman" w:eastAsia="Calibri" w:hAnsi="Times New Roman" w:cs="Times New Roman"/>
          <w:kern w:val="0"/>
          <w:sz w:val="24"/>
          <w:szCs w:val="24"/>
          <w14:ligatures w14:val="none"/>
        </w:rPr>
        <w:t xml:space="preserve">: </w:t>
      </w:r>
      <w:r w:rsidRPr="008B2C16">
        <w:rPr>
          <w:rFonts w:ascii="Times New Roman" w:eastAsia="Calibri" w:hAnsi="Times New Roman" w:cs="Times New Roman"/>
          <w:kern w:val="0"/>
          <w:sz w:val="24"/>
          <w:szCs w:val="24"/>
          <w14:ligatures w14:val="none"/>
        </w:rPr>
        <w:t xml:space="preserve">Mapa conceitual da paisagem </w:t>
      </w:r>
      <w:bookmarkEnd w:id="86"/>
      <w:r w:rsidRPr="008B2C16">
        <w:rPr>
          <w:rFonts w:ascii="Times New Roman" w:eastAsia="Calibri" w:hAnsi="Times New Roman" w:cs="Times New Roman"/>
          <w:kern w:val="0"/>
          <w:sz w:val="24"/>
          <w:szCs w:val="24"/>
          <w14:ligatures w14:val="none"/>
        </w:rPr>
        <w:t>natural</w:t>
      </w:r>
      <w:bookmarkEnd w:id="84"/>
    </w:p>
    <w:p w14:paraId="458B5244" w14:textId="77777777" w:rsidR="00B125DC" w:rsidRPr="008B2C16" w:rsidRDefault="00B125DC" w:rsidP="00863B19">
      <w:pPr>
        <w:spacing w:after="0" w:line="360" w:lineRule="auto"/>
        <w:rPr>
          <w:rFonts w:ascii="Times New Roman" w:eastAsia="Calibri" w:hAnsi="Times New Roman" w:cs="Times New Roman"/>
          <w:kern w:val="0"/>
          <w:sz w:val="20"/>
          <w:szCs w:val="20"/>
          <w14:ligatures w14:val="none"/>
        </w:rPr>
      </w:pPr>
      <w:bookmarkStart w:id="87" w:name="_Hlk146532787"/>
      <w:bookmarkEnd w:id="85"/>
      <w:r w:rsidRPr="00374494">
        <w:rPr>
          <w:rFonts w:ascii="Times New Roman" w:eastAsia="Calibri" w:hAnsi="Times New Roman" w:cs="Times New Roman"/>
          <w:b/>
          <w:bCs/>
          <w:kern w:val="0"/>
          <w:sz w:val="20"/>
          <w:szCs w:val="20"/>
          <w14:ligatures w14:val="none"/>
        </w:rPr>
        <w:t xml:space="preserve">  </w:t>
      </w:r>
      <w:bookmarkStart w:id="88" w:name="_Hlk146531942"/>
      <w:r w:rsidRPr="008B2C16">
        <w:rPr>
          <w:rFonts w:ascii="Times New Roman" w:eastAsia="Calibri" w:hAnsi="Times New Roman" w:cs="Times New Roman"/>
          <w:b/>
          <w:bCs/>
          <w:kern w:val="0"/>
          <w:sz w:val="20"/>
          <w:szCs w:val="20"/>
          <w14:ligatures w14:val="none"/>
        </w:rPr>
        <w:t>Fonte</w:t>
      </w:r>
      <w:r w:rsidRPr="008B2C16">
        <w:rPr>
          <w:rFonts w:ascii="Times New Roman" w:eastAsia="Calibri" w:hAnsi="Times New Roman" w:cs="Times New Roman"/>
          <w:kern w:val="0"/>
          <w:sz w:val="20"/>
          <w:szCs w:val="20"/>
          <w14:ligatures w14:val="none"/>
        </w:rPr>
        <w:t>: Elaborado pelas autoras.</w:t>
      </w:r>
    </w:p>
    <w:bookmarkEnd w:id="87"/>
    <w:bookmarkEnd w:id="88"/>
    <w:p w14:paraId="21A08755" w14:textId="77777777" w:rsidR="008B2C16" w:rsidRDefault="008B2C16" w:rsidP="00863B19">
      <w:pPr>
        <w:spacing w:after="0" w:line="360" w:lineRule="auto"/>
        <w:ind w:left="-142" w:firstLine="426"/>
        <w:rPr>
          <w:rFonts w:ascii="Times New Roman" w:eastAsia="Calibri" w:hAnsi="Times New Roman" w:cs="Times New Roman"/>
          <w:kern w:val="0"/>
          <w:sz w:val="24"/>
          <w:szCs w:val="24"/>
          <w14:ligatures w14:val="none"/>
        </w:rPr>
      </w:pPr>
    </w:p>
    <w:p w14:paraId="0CDFDCDD" w14:textId="5D4E585B" w:rsidR="00B125DC" w:rsidRPr="00CE5E4F" w:rsidRDefault="00B125DC" w:rsidP="00863B19">
      <w:pPr>
        <w:spacing w:after="0" w:line="360" w:lineRule="auto"/>
        <w:ind w:left="-142" w:firstLine="426"/>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Do mesmo modo, o mapa conceitual da paisagem cultural resulta da formalização de sua conceituação, disposto na Figura 2:</w:t>
      </w:r>
    </w:p>
    <w:p w14:paraId="0328BBD1" w14:textId="77777777" w:rsidR="00B125DC" w:rsidRPr="00374494" w:rsidRDefault="00B125DC" w:rsidP="00863B19">
      <w:pPr>
        <w:spacing w:after="0" w:line="360" w:lineRule="auto"/>
        <w:rPr>
          <w:rFonts w:ascii="Times New Roman" w:eastAsia="Calibri" w:hAnsi="Times New Roman" w:cs="Times New Roman"/>
          <w:b/>
          <w:bCs/>
          <w:kern w:val="0"/>
          <w:sz w:val="20"/>
          <w:szCs w:val="20"/>
          <w14:ligatures w14:val="none"/>
        </w:rPr>
      </w:pPr>
    </w:p>
    <w:p w14:paraId="4CB9F6E0" w14:textId="77777777" w:rsidR="00B125DC" w:rsidRDefault="00B125DC" w:rsidP="008B2C16">
      <w:pPr>
        <w:spacing w:after="0" w:line="360" w:lineRule="auto"/>
        <w:rPr>
          <w:rFonts w:ascii="Times New Roman" w:eastAsia="Calibri" w:hAnsi="Times New Roman" w:cs="Times New Roman"/>
          <w:b/>
          <w:bCs/>
          <w:kern w:val="0"/>
          <w:sz w:val="20"/>
          <w:szCs w:val="20"/>
          <w14:ligatures w14:val="none"/>
        </w:rPr>
      </w:pPr>
    </w:p>
    <w:p w14:paraId="1540C0D4" w14:textId="77777777" w:rsidR="00B125DC" w:rsidRPr="00374494" w:rsidRDefault="00B125DC" w:rsidP="008B2C16">
      <w:pPr>
        <w:spacing w:after="0" w:line="360" w:lineRule="auto"/>
        <w:rPr>
          <w:rFonts w:ascii="Times New Roman" w:eastAsia="Calibri" w:hAnsi="Times New Roman" w:cs="Times New Roman"/>
          <w:b/>
          <w:bCs/>
          <w:kern w:val="0"/>
          <w:sz w:val="20"/>
          <w:szCs w:val="20"/>
          <w14:ligatures w14:val="none"/>
        </w:rPr>
      </w:pPr>
    </w:p>
    <w:p w14:paraId="70323A23" w14:textId="111BEF57" w:rsidR="00B125DC" w:rsidRDefault="00B125DC" w:rsidP="00B125DC">
      <w:pPr>
        <w:spacing w:after="0"/>
        <w:jc w:val="center"/>
        <w:rPr>
          <w:rFonts w:ascii="Times New Roman" w:eastAsia="Calibri" w:hAnsi="Times New Roman" w:cs="Times New Roman"/>
          <w:kern w:val="0"/>
          <w:sz w:val="24"/>
          <w:szCs w:val="24"/>
          <w14:ligatures w14:val="none"/>
        </w:rPr>
      </w:pPr>
      <w:r w:rsidRPr="008B2C16">
        <w:rPr>
          <w:rFonts w:ascii="Times New Roman" w:eastAsia="Calibri" w:hAnsi="Times New Roman" w:cs="Times New Roman"/>
          <w:b/>
          <w:bCs/>
          <w:noProof/>
          <w:kern w:val="0"/>
          <w:sz w:val="32"/>
          <w:szCs w:val="32"/>
          <w:lang w:eastAsia="pt-BR"/>
          <w14:ligatures w14:val="none"/>
        </w:rPr>
        <w:lastRenderedPageBreak/>
        <w:drawing>
          <wp:anchor distT="0" distB="0" distL="114300" distR="114300" simplePos="0" relativeHeight="251660288" behindDoc="0" locked="0" layoutInCell="1" allowOverlap="1" wp14:anchorId="0F3DD8F2" wp14:editId="52B86965">
            <wp:simplePos x="0" y="0"/>
            <wp:positionH relativeFrom="margin">
              <wp:posOffset>108585</wp:posOffset>
            </wp:positionH>
            <wp:positionV relativeFrom="paragraph">
              <wp:posOffset>189865</wp:posOffset>
            </wp:positionV>
            <wp:extent cx="5417820" cy="8260080"/>
            <wp:effectExtent l="0" t="0" r="0" b="7620"/>
            <wp:wrapSquare wrapText="bothSides"/>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bookmarkStart w:id="89" w:name="_Hlk146533086"/>
      <w:r w:rsidRPr="008B2C16">
        <w:rPr>
          <w:rFonts w:ascii="Times New Roman" w:eastAsia="Calibri" w:hAnsi="Times New Roman" w:cs="Times New Roman"/>
          <w:b/>
          <w:bCs/>
          <w:kern w:val="0"/>
          <w:sz w:val="24"/>
          <w:szCs w:val="24"/>
          <w14:ligatures w14:val="none"/>
        </w:rPr>
        <w:t>Figura 2</w:t>
      </w:r>
      <w:r w:rsidR="008B2C16" w:rsidRPr="008B2C16">
        <w:rPr>
          <w:rFonts w:ascii="Times New Roman" w:eastAsia="Calibri" w:hAnsi="Times New Roman" w:cs="Times New Roman"/>
          <w:kern w:val="0"/>
          <w:sz w:val="24"/>
          <w:szCs w:val="24"/>
          <w14:ligatures w14:val="none"/>
        </w:rPr>
        <w:t>:</w:t>
      </w:r>
      <w:r w:rsidRPr="008B2C16">
        <w:rPr>
          <w:rFonts w:ascii="Times New Roman" w:eastAsia="Calibri" w:hAnsi="Times New Roman" w:cs="Times New Roman"/>
          <w:kern w:val="0"/>
          <w:sz w:val="24"/>
          <w:szCs w:val="24"/>
          <w14:ligatures w14:val="none"/>
        </w:rPr>
        <w:t xml:space="preserve">  Mapa conceitual da paisagem cultural</w:t>
      </w:r>
      <w:bookmarkEnd w:id="89"/>
    </w:p>
    <w:p w14:paraId="2696D342" w14:textId="77777777" w:rsidR="008B2C16" w:rsidRPr="008B2C16" w:rsidRDefault="008B2C16" w:rsidP="00B125DC">
      <w:pPr>
        <w:spacing w:after="0"/>
        <w:jc w:val="center"/>
        <w:rPr>
          <w:rFonts w:ascii="Times New Roman" w:eastAsia="Calibri" w:hAnsi="Times New Roman" w:cs="Times New Roman"/>
          <w:kern w:val="0"/>
          <w:sz w:val="20"/>
          <w:szCs w:val="20"/>
          <w14:ligatures w14:val="none"/>
        </w:rPr>
      </w:pPr>
    </w:p>
    <w:p w14:paraId="17070767" w14:textId="77777777" w:rsidR="00B125DC" w:rsidRPr="008B2C16" w:rsidRDefault="00B125DC" w:rsidP="00863B19">
      <w:pPr>
        <w:spacing w:after="0"/>
        <w:rPr>
          <w:rFonts w:ascii="Times New Roman" w:eastAsia="Calibri" w:hAnsi="Times New Roman" w:cs="Times New Roman"/>
          <w:kern w:val="0"/>
          <w:sz w:val="20"/>
          <w:szCs w:val="20"/>
          <w14:ligatures w14:val="none"/>
        </w:rPr>
      </w:pPr>
      <w:r w:rsidRPr="008B2C16">
        <w:rPr>
          <w:rFonts w:ascii="Times New Roman" w:eastAsia="Calibri" w:hAnsi="Times New Roman" w:cs="Times New Roman"/>
          <w:kern w:val="0"/>
          <w:sz w:val="20"/>
          <w:szCs w:val="20"/>
          <w14:ligatures w14:val="none"/>
        </w:rPr>
        <w:t xml:space="preserve">         </w:t>
      </w:r>
      <w:bookmarkStart w:id="90" w:name="_Hlk146533175"/>
      <w:r w:rsidRPr="008B2C16">
        <w:rPr>
          <w:rFonts w:ascii="Times New Roman" w:eastAsia="Calibri" w:hAnsi="Times New Roman" w:cs="Times New Roman"/>
          <w:b/>
          <w:bCs/>
          <w:kern w:val="0"/>
          <w:sz w:val="20"/>
          <w:szCs w:val="20"/>
          <w14:ligatures w14:val="none"/>
        </w:rPr>
        <w:t>Fonte</w:t>
      </w:r>
      <w:r w:rsidRPr="008B2C16">
        <w:rPr>
          <w:rFonts w:ascii="Times New Roman" w:eastAsia="Calibri" w:hAnsi="Times New Roman" w:cs="Times New Roman"/>
          <w:kern w:val="0"/>
          <w:sz w:val="20"/>
          <w:szCs w:val="20"/>
          <w14:ligatures w14:val="none"/>
        </w:rPr>
        <w:t>: Elaborado pelas autoras.</w:t>
      </w:r>
    </w:p>
    <w:bookmarkEnd w:id="90"/>
    <w:p w14:paraId="03B3AA87" w14:textId="77777777" w:rsidR="00B125DC" w:rsidRPr="00374494" w:rsidRDefault="00B125DC" w:rsidP="00863B19">
      <w:pPr>
        <w:spacing w:after="0" w:line="360" w:lineRule="auto"/>
        <w:ind w:left="-142" w:hanging="142"/>
        <w:jc w:val="both"/>
        <w:rPr>
          <w:rFonts w:ascii="Times New Roman" w:eastAsia="Calibri" w:hAnsi="Times New Roman" w:cs="Times New Roman"/>
          <w:b/>
          <w:bCs/>
          <w:kern w:val="0"/>
          <w:sz w:val="24"/>
          <w:szCs w:val="24"/>
          <w14:ligatures w14:val="none"/>
        </w:rPr>
      </w:pPr>
      <w:r w:rsidRPr="00374494">
        <w:rPr>
          <w:rFonts w:ascii="Times New Roman" w:eastAsia="Calibri" w:hAnsi="Times New Roman" w:cs="Times New Roman"/>
          <w:color w:val="C45911" w:themeColor="accent2" w:themeShade="BF"/>
          <w:spacing w:val="-2"/>
          <w:kern w:val="0"/>
          <w:sz w:val="24"/>
          <w:szCs w:val="24"/>
          <w14:ligatures w14:val="none"/>
        </w:rPr>
        <w:lastRenderedPageBreak/>
        <w:t xml:space="preserve"> </w:t>
      </w:r>
      <w:r w:rsidRPr="00374494">
        <w:rPr>
          <w:rFonts w:ascii="Times New Roman" w:eastAsia="Calibri" w:hAnsi="Times New Roman" w:cs="Times New Roman"/>
          <w:spacing w:val="-2"/>
          <w:kern w:val="0"/>
          <w:sz w:val="24"/>
          <w:szCs w:val="24"/>
          <w14:ligatures w14:val="none"/>
        </w:rPr>
        <w:tab/>
      </w:r>
      <w:r w:rsidRPr="008B2C16">
        <w:rPr>
          <w:rFonts w:ascii="Times New Roman" w:eastAsia="Calibri" w:hAnsi="Times New Roman" w:cs="Times New Roman"/>
          <w:kern w:val="0"/>
          <w:sz w:val="24"/>
          <w:szCs w:val="24"/>
          <w14:ligatures w14:val="none"/>
        </w:rPr>
        <w:t>4</w:t>
      </w:r>
      <w:r w:rsidRPr="00374494">
        <w:rPr>
          <w:rFonts w:ascii="Times New Roman" w:eastAsia="Calibri" w:hAnsi="Times New Roman" w:cs="Times New Roman"/>
          <w:kern w:val="0"/>
          <w:sz w:val="24"/>
          <w:szCs w:val="24"/>
          <w14:ligatures w14:val="none"/>
        </w:rPr>
        <w:t xml:space="preserve"> </w:t>
      </w:r>
      <w:r w:rsidRPr="00374494">
        <w:rPr>
          <w:rFonts w:ascii="Times New Roman" w:eastAsia="Calibri" w:hAnsi="Times New Roman" w:cs="Times New Roman"/>
          <w:b/>
          <w:bCs/>
          <w:kern w:val="0"/>
          <w:sz w:val="24"/>
          <w:szCs w:val="24"/>
          <w14:ligatures w14:val="none"/>
        </w:rPr>
        <w:t>CONCLUSÃO</w:t>
      </w:r>
    </w:p>
    <w:p w14:paraId="1EA1A1AF" w14:textId="77777777" w:rsidR="00B125DC" w:rsidRPr="00374494" w:rsidRDefault="00B125DC" w:rsidP="00863B19">
      <w:pPr>
        <w:spacing w:after="0" w:line="360" w:lineRule="auto"/>
        <w:ind w:firstLine="708"/>
        <w:jc w:val="both"/>
        <w:rPr>
          <w:rFonts w:ascii="Times New Roman" w:eastAsia="Calibri" w:hAnsi="Times New Roman" w:cs="Times New Roman"/>
          <w:bCs/>
          <w:kern w:val="0"/>
          <w:sz w:val="24"/>
          <w:szCs w:val="24"/>
          <w:shd w:val="clear" w:color="auto" w:fill="FFFFFF"/>
          <w14:ligatures w14:val="none"/>
        </w:rPr>
      </w:pPr>
      <w:r w:rsidRPr="00374494">
        <w:rPr>
          <w:rFonts w:ascii="Times New Roman" w:eastAsia="Times New Roman" w:hAnsi="Times New Roman" w:cs="Times New Roman"/>
          <w:kern w:val="0"/>
          <w:sz w:val="24"/>
          <w:szCs w:val="24"/>
          <w:lang w:eastAsia="pt-BR"/>
          <w14:ligatures w14:val="none"/>
        </w:rPr>
        <w:t>O painel conceitual da paisagem</w:t>
      </w:r>
      <w:r>
        <w:rPr>
          <w:rFonts w:ascii="Times New Roman" w:eastAsia="Times New Roman" w:hAnsi="Times New Roman" w:cs="Times New Roman"/>
          <w:kern w:val="0"/>
          <w:sz w:val="24"/>
          <w:szCs w:val="24"/>
          <w:lang w:eastAsia="pt-BR"/>
          <w14:ligatures w14:val="none"/>
        </w:rPr>
        <w:t>,</w:t>
      </w:r>
      <w:r w:rsidRPr="00374494">
        <w:rPr>
          <w:rFonts w:ascii="Times New Roman" w:eastAsia="Times New Roman" w:hAnsi="Times New Roman" w:cs="Times New Roman"/>
          <w:kern w:val="0"/>
          <w:sz w:val="24"/>
          <w:szCs w:val="24"/>
          <w:lang w:eastAsia="pt-BR"/>
          <w14:ligatures w14:val="none"/>
        </w:rPr>
        <w:t xml:space="preserve"> que representa o inventário evolutivo de seu conceito, constitui sua dimensão ontológica. A representação desse padrão indicou a </w:t>
      </w:r>
      <w:r w:rsidRPr="00374494">
        <w:rPr>
          <w:rFonts w:ascii="Times New Roman" w:eastAsia="Calibri" w:hAnsi="Times New Roman" w:cs="Times New Roman"/>
          <w:kern w:val="0"/>
          <w:sz w:val="24"/>
          <w:szCs w:val="24"/>
          <w14:ligatures w14:val="none"/>
        </w:rPr>
        <w:t>classificação da paisagem em natural e paisagem cultural. Esta etapa da pesquisa mostrou-se como um marco definitório, pois nos apontou a preferência por parte dos geógrafos pelo termo paisagem cultural, um termo abrangente, na visão de Bertrand (2004), Cosgrove (1998), Gambi (1961), Lema (1997), Santos (2014), Sauer (1998) e Turri (1974, 2002), uma vez que</w:t>
      </w:r>
      <w:r w:rsidRPr="00374494">
        <w:rPr>
          <w:rFonts w:ascii="Times New Roman" w:eastAsia="SimSun" w:hAnsi="Times New Roman" w:cs="Times New Roman"/>
          <w:kern w:val="1"/>
          <w:sz w:val="24"/>
          <w:szCs w:val="24"/>
          <w:lang w:eastAsia="zh-CN" w:bidi="hi-IN"/>
          <w14:ligatures w14:val="none"/>
        </w:rPr>
        <w:t xml:space="preserve"> engloba tanto as configurações do campo, quanto da cidade. Pareceu-nos, portanto, que a expressão paisagem rural se associa mais ao senso comum.  Em vista desse resultado, estabeleceu-se, para nós, uma ruptura entre o senso comum</w:t>
      </w:r>
      <w:r w:rsidRPr="00374494">
        <w:rPr>
          <w:rFonts w:ascii="Times New Roman" w:eastAsia="Calibri" w:hAnsi="Times New Roman" w:cs="Times New Roman"/>
          <w:bCs/>
          <w:kern w:val="0"/>
          <w:sz w:val="24"/>
          <w:szCs w:val="24"/>
          <w:shd w:val="clear" w:color="auto" w:fill="FFFFFF"/>
          <w14:ligatures w14:val="none"/>
        </w:rPr>
        <w:t xml:space="preserve"> e a abordagem epistemológica e conceitual ao nos lançarmos à análise dessa área de especialidade.</w:t>
      </w:r>
    </w:p>
    <w:p w14:paraId="39C48998" w14:textId="77777777" w:rsidR="00B125DC" w:rsidRPr="00CE5E4F" w:rsidRDefault="00B125DC" w:rsidP="00863B19">
      <w:pPr>
        <w:autoSpaceDE w:val="0"/>
        <w:autoSpaceDN w:val="0"/>
        <w:adjustRightInd w:val="0"/>
        <w:spacing w:after="0" w:line="360" w:lineRule="auto"/>
        <w:ind w:firstLine="708"/>
        <w:jc w:val="both"/>
        <w:rPr>
          <w:rFonts w:ascii="Times New Roman" w:eastAsia="Calibri" w:hAnsi="Times New Roman" w:cs="Times New Roman"/>
          <w:bCs/>
          <w:kern w:val="0"/>
          <w:sz w:val="24"/>
          <w:szCs w:val="24"/>
          <w:shd w:val="clear" w:color="auto" w:fill="FFFFFF"/>
          <w14:ligatures w14:val="none"/>
        </w:rPr>
      </w:pPr>
      <w:r w:rsidRPr="00CE5E4F">
        <w:rPr>
          <w:rFonts w:ascii="Times New Roman" w:eastAsia="Calibri" w:hAnsi="Times New Roman" w:cs="Times New Roman"/>
          <w:bCs/>
          <w:kern w:val="0"/>
          <w:sz w:val="24"/>
          <w:szCs w:val="24"/>
          <w:shd w:val="clear" w:color="auto" w:fill="FFFFFF"/>
          <w14:ligatures w14:val="none"/>
        </w:rPr>
        <w:t xml:space="preserve">Ao viabilizar a detecção da terminologia especializada do domínio da Geografia, a análise de domínio e a garantia literária se confirmam como atividades próprias da área de organização e representação do conhecimento no âmbito da CI, na medida em que nos auxiliou a analisar esse campo do saber e conhecer o que é estudado nessa área do conhecimento por meio de seu campo teórico. </w:t>
      </w:r>
    </w:p>
    <w:p w14:paraId="43DF6FF3" w14:textId="77777777" w:rsidR="00B125DC" w:rsidRPr="00374494" w:rsidRDefault="00B125DC" w:rsidP="00863B19">
      <w:pPr>
        <w:autoSpaceDE w:val="0"/>
        <w:autoSpaceDN w:val="0"/>
        <w:adjustRightInd w:val="0"/>
        <w:spacing w:after="0" w:line="360" w:lineRule="auto"/>
        <w:ind w:firstLine="708"/>
        <w:jc w:val="both"/>
        <w:rPr>
          <w:rFonts w:ascii="Times New Roman" w:eastAsia="Calibri" w:hAnsi="Times New Roman" w:cs="Times New Roman"/>
          <w:kern w:val="0"/>
          <w:sz w:val="24"/>
          <w:szCs w:val="24"/>
          <w14:ligatures w14:val="none"/>
        </w:rPr>
      </w:pPr>
      <w:r w:rsidRPr="00374494">
        <w:rPr>
          <w:rFonts w:ascii="Times New Roman" w:eastAsia="SimSun" w:hAnsi="Times New Roman" w:cs="Times New Roman"/>
          <w:kern w:val="1"/>
          <w:sz w:val="24"/>
          <w:szCs w:val="24"/>
          <w:lang w:eastAsia="zh-CN" w:bidi="hi-IN"/>
          <w14:ligatures w14:val="none"/>
        </w:rPr>
        <w:t xml:space="preserve">Essa fase da pesquisa demonstrou que as contribuições que procederam da análise do domínio da Geografia e da avaliação das características pesquisadas pelos censos agropecuários de 1970 e 2006 se relacionam diretamente </w:t>
      </w:r>
      <w:r w:rsidRPr="00374494">
        <w:rPr>
          <w:rFonts w:ascii="Times New Roman" w:eastAsia="Times New Roman" w:hAnsi="Times New Roman" w:cs="Times New Roman"/>
          <w:kern w:val="0"/>
          <w:sz w:val="24"/>
          <w:szCs w:val="24"/>
          <w:lang w:eastAsia="pt-BR"/>
          <w14:ligatures w14:val="none"/>
        </w:rPr>
        <w:t>à questão da interdisciplinaridade, enriquecendo os estudos no âmbito da CI na área de especialidade de organização e representação do conhecimento,</w:t>
      </w:r>
      <w:r w:rsidRPr="00374494">
        <w:rPr>
          <w:rFonts w:ascii="Times New Roman" w:eastAsia="SimSun" w:hAnsi="Times New Roman" w:cs="Times New Roman"/>
          <w:kern w:val="1"/>
          <w:sz w:val="24"/>
          <w:szCs w:val="24"/>
          <w:lang w:eastAsia="zh-CN" w:bidi="hi-IN"/>
          <w14:ligatures w14:val="none"/>
        </w:rPr>
        <w:t xml:space="preserve"> </w:t>
      </w:r>
      <w:r w:rsidRPr="00374494">
        <w:rPr>
          <w:rFonts w:ascii="Times New Roman" w:eastAsia="Calibri" w:hAnsi="Times New Roman" w:cs="Times New Roman"/>
          <w:kern w:val="0"/>
          <w:sz w:val="24"/>
          <w:szCs w:val="24"/>
          <w14:ligatures w14:val="none"/>
        </w:rPr>
        <w:t>na medida em que ratificamos a importância desses dois significativos agentes como subsídios do  processo de seleção de termos com o propósito de construção de uma terminologia padronizada com vistas à sua posterior recuperação por diferentes segmentos de usuários, reforçando assim o aspecto coletivo do conhecimento.</w:t>
      </w:r>
    </w:p>
    <w:p w14:paraId="6DD68E0C" w14:textId="77777777" w:rsidR="00B125DC" w:rsidRPr="00CE5E4F" w:rsidRDefault="00B125DC" w:rsidP="00863B19">
      <w:pPr>
        <w:tabs>
          <w:tab w:val="left" w:pos="0"/>
        </w:tabs>
        <w:spacing w:after="0" w:line="360" w:lineRule="auto"/>
        <w:jc w:val="both"/>
        <w:rPr>
          <w:rFonts w:ascii="Times New Roman" w:eastAsia="Calibri" w:hAnsi="Times New Roman" w:cs="Times New Roman"/>
          <w:kern w:val="0"/>
          <w:sz w:val="24"/>
          <w:szCs w:val="24"/>
          <w14:ligatures w14:val="none"/>
        </w:rPr>
      </w:pPr>
      <w:r w:rsidRPr="00374494">
        <w:rPr>
          <w:rFonts w:ascii="Times New Roman" w:eastAsia="Calibri" w:hAnsi="Times New Roman" w:cs="Times New Roman"/>
          <w:kern w:val="0"/>
          <w:sz w:val="24"/>
          <w:szCs w:val="24"/>
          <w14:ligatures w14:val="none"/>
        </w:rPr>
        <w:tab/>
      </w:r>
      <w:r w:rsidRPr="00CE5E4F">
        <w:rPr>
          <w:rFonts w:ascii="Times New Roman" w:eastAsia="Calibri" w:hAnsi="Times New Roman" w:cs="Times New Roman"/>
          <w:kern w:val="0"/>
          <w:sz w:val="24"/>
          <w:szCs w:val="24"/>
          <w14:ligatures w14:val="none"/>
        </w:rPr>
        <w:t xml:space="preserve">O mapeamento das construções discursivas da comunidade dos geógrafos demonstrou sua importância no processo de organização e representação das unidades de conhecimento que especificam o universo terminológico que define seu padrão de organização no que diz respeito à conceituação da paisagem e, por conseguinte, em sua classificação. </w:t>
      </w:r>
    </w:p>
    <w:p w14:paraId="5B145B38" w14:textId="77777777" w:rsidR="00B125DC" w:rsidRPr="00CE5E4F" w:rsidRDefault="00B125DC" w:rsidP="00863B19">
      <w:pPr>
        <w:tabs>
          <w:tab w:val="left" w:pos="0"/>
        </w:tabs>
        <w:spacing w:after="0" w:line="360" w:lineRule="auto"/>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ab/>
        <w:t xml:space="preserve">A análise da área de Geografia, por meio da bibliografia selecionada, nos lançou ao desafio de detectar sua rede de termos chancelada pela garantia literária. A terminologia identificada e conceituada nos forneceu subsídios que respalda a estrutura classificatória da paisagem e se consolida na ontologia da paisagem no âmbito dos SOCs.  Em vista do exposto, partindo dessa ferramenta de representação da paisagem esperamos poder contribuir com outros </w:t>
      </w:r>
      <w:r w:rsidRPr="00CE5E4F">
        <w:rPr>
          <w:rFonts w:ascii="Times New Roman" w:eastAsia="Calibri" w:hAnsi="Times New Roman" w:cs="Times New Roman"/>
          <w:kern w:val="0"/>
          <w:sz w:val="24"/>
          <w:szCs w:val="24"/>
          <w14:ligatures w14:val="none"/>
        </w:rPr>
        <w:lastRenderedPageBreak/>
        <w:t xml:space="preserve">profissionais da área de CI no compartilhamento dessas informações e seu reuso, </w:t>
      </w:r>
      <w:r>
        <w:rPr>
          <w:rFonts w:ascii="Times New Roman" w:eastAsia="Calibri" w:hAnsi="Times New Roman" w:cs="Times New Roman"/>
          <w:kern w:val="0"/>
          <w:sz w:val="24"/>
          <w:szCs w:val="24"/>
          <w14:ligatures w14:val="none"/>
        </w:rPr>
        <w:t>levando em conta</w:t>
      </w:r>
      <w:r w:rsidRPr="00CE5E4F">
        <w:rPr>
          <w:rFonts w:ascii="Times New Roman" w:eastAsia="Calibri" w:hAnsi="Times New Roman" w:cs="Times New Roman"/>
          <w:kern w:val="0"/>
          <w:sz w:val="24"/>
          <w:szCs w:val="24"/>
          <w14:ligatures w14:val="none"/>
        </w:rPr>
        <w:t xml:space="preserve"> que ainda são poucas as iniciativas nessa esfera voltadas à paisagem. </w:t>
      </w:r>
    </w:p>
    <w:p w14:paraId="36FC4CBC" w14:textId="77777777" w:rsidR="00B125DC" w:rsidRPr="00CE5E4F" w:rsidRDefault="00B125DC" w:rsidP="00863B19">
      <w:pPr>
        <w:tabs>
          <w:tab w:val="left" w:pos="0"/>
        </w:tabs>
        <w:spacing w:after="0" w:line="360" w:lineRule="auto"/>
        <w:jc w:val="both"/>
        <w:rPr>
          <w:rFonts w:ascii="Times New Roman" w:eastAsia="Calibri" w:hAnsi="Times New Roman" w:cs="Times New Roman"/>
          <w:kern w:val="0"/>
          <w:sz w:val="24"/>
          <w:szCs w:val="24"/>
          <w14:ligatures w14:val="none"/>
        </w:rPr>
      </w:pPr>
      <w:r w:rsidRPr="00CE5E4F">
        <w:rPr>
          <w:rFonts w:ascii="Times New Roman" w:eastAsia="Calibri" w:hAnsi="Times New Roman" w:cs="Times New Roman"/>
          <w:kern w:val="0"/>
          <w:sz w:val="24"/>
          <w:szCs w:val="24"/>
          <w14:ligatures w14:val="none"/>
        </w:rPr>
        <w:tab/>
        <w:t xml:space="preserve">Além da análise de domínio como pré-requisito de se conhecer os fundamentos teóricos sobre a paisagem na área de Geografia, foi de suma importância analisar os censos agropecuários de 1970 e 2006, que se confirmam como repertório informativo por excelência não só acerca dos levantamentos socioeconômicos do meio agrário, mas como provedores de informações icônicas sobre a paisagem rural das regiões brasileiras, e sobretudo das Regiões Centro-Oeste e Sul. A sistematização desse conhecimento conjunto foi o alicerce para se compor o arranjo que combina consensualmente categorias, conceitos e produz a terminologia padronizada, amparadas pelas teorias que norteiam a área de organização e representação do conhecimento e reafirma o </w:t>
      </w:r>
      <w:r w:rsidRPr="00CE5E4F">
        <w:rPr>
          <w:rFonts w:ascii="Times New Roman" w:eastAsia="Calibri" w:hAnsi="Times New Roman" w:cs="Times New Roman"/>
          <w:i/>
          <w:iCs/>
          <w:kern w:val="0"/>
          <w:sz w:val="24"/>
          <w:szCs w:val="24"/>
          <w14:ligatures w14:val="none"/>
        </w:rPr>
        <w:t>status</w:t>
      </w:r>
      <w:r w:rsidRPr="00CE5E4F">
        <w:rPr>
          <w:rFonts w:ascii="Times New Roman" w:eastAsia="Calibri" w:hAnsi="Times New Roman" w:cs="Times New Roman"/>
          <w:kern w:val="0"/>
          <w:sz w:val="24"/>
          <w:szCs w:val="24"/>
          <w14:ligatures w14:val="none"/>
        </w:rPr>
        <w:t xml:space="preserve"> multitransdisciplinar da CI. </w:t>
      </w:r>
    </w:p>
    <w:p w14:paraId="08189687" w14:textId="77777777" w:rsidR="00B125DC" w:rsidRPr="00CE5E4F" w:rsidRDefault="00B125DC" w:rsidP="00863B19">
      <w:pPr>
        <w:suppressAutoHyphens/>
        <w:spacing w:after="0" w:line="360" w:lineRule="auto"/>
        <w:ind w:firstLine="708"/>
        <w:jc w:val="both"/>
        <w:rPr>
          <w:rFonts w:ascii="Times New Roman" w:eastAsia="Calibri" w:hAnsi="Times New Roman" w:cs="Times New Roman"/>
          <w:kern w:val="0"/>
          <w:sz w:val="24"/>
          <w:szCs w:val="24"/>
          <w:lang w:val="it-IT" w:eastAsia="ar-SA"/>
          <w14:ligatures w14:val="none"/>
        </w:rPr>
      </w:pPr>
      <w:r w:rsidRPr="00CE5E4F">
        <w:rPr>
          <w:rFonts w:ascii="Times New Roman" w:eastAsia="Calibri" w:hAnsi="Times New Roman" w:cs="Times New Roman"/>
          <w:kern w:val="0"/>
          <w:sz w:val="24"/>
          <w:szCs w:val="24"/>
          <w:lang w:val="it-IT" w:eastAsia="ar-SA"/>
          <w14:ligatures w14:val="none"/>
        </w:rPr>
        <w:t xml:space="preserve">Comclui-se que </w:t>
      </w:r>
      <w:bookmarkStart w:id="91" w:name="_Hlk57555786"/>
      <w:r w:rsidRPr="00CE5E4F">
        <w:rPr>
          <w:rFonts w:ascii="Times New Roman" w:eastAsia="Calibri" w:hAnsi="Times New Roman" w:cs="Times New Roman"/>
          <w:kern w:val="0"/>
          <w:sz w:val="24"/>
          <w:szCs w:val="24"/>
          <w:lang w:val="it-IT" w:eastAsia="ar-SA"/>
          <w14:ligatures w14:val="none"/>
        </w:rPr>
        <w:t xml:space="preserve">a informação geográfica oferece um vasto campo de estudos e discussões a ser investigado pela CI, pois abrange uma gama de informações que carecem de tratamento adequado, que demandam organização e representação. </w:t>
      </w:r>
      <w:bookmarkEnd w:id="91"/>
      <w:r w:rsidRPr="00CE5E4F">
        <w:rPr>
          <w:rFonts w:ascii="Times New Roman" w:eastAsia="Calibri" w:hAnsi="Times New Roman" w:cs="Times New Roman"/>
          <w:kern w:val="0"/>
          <w:sz w:val="24"/>
          <w:szCs w:val="24"/>
          <w:lang w:val="it-IT" w:eastAsia="ar-SA"/>
          <w14:ligatures w14:val="none"/>
        </w:rPr>
        <w:t xml:space="preserve">Sobre a paisagem, essa temática requer uma atualização contemporânea na sua abordagem analítica e em consequência um enfrentamento dessa questão por parte dos profissionais envolvidos com a área de organização e representação do conhecimento. A paisagem tem muito a nos dizer como objeto de estudo da Geografia e no diálogo com a Ciência da Informação, apontando-nos que há muito a ser respondido aos usuários de uma unidade de informação referente às suas questões, presentes ou futuras. </w:t>
      </w:r>
    </w:p>
    <w:p w14:paraId="5BB38CD4" w14:textId="77777777" w:rsidR="008B2C16" w:rsidRDefault="008B2C16" w:rsidP="00863B19">
      <w:pPr>
        <w:suppressAutoHyphens/>
        <w:spacing w:after="0" w:line="360" w:lineRule="auto"/>
        <w:jc w:val="both"/>
        <w:rPr>
          <w:rFonts w:ascii="Times New Roman" w:eastAsia="Calibri" w:hAnsi="Times New Roman" w:cs="Calibri"/>
          <w:b/>
          <w:bCs/>
          <w:kern w:val="0"/>
          <w:sz w:val="24"/>
          <w:szCs w:val="24"/>
          <w:lang w:val="it-IT" w:eastAsia="ar-SA"/>
          <w14:ligatures w14:val="none"/>
        </w:rPr>
      </w:pPr>
    </w:p>
    <w:p w14:paraId="32535E6F" w14:textId="47E94973" w:rsidR="00B125DC" w:rsidRDefault="00B125DC" w:rsidP="00863B19">
      <w:pPr>
        <w:suppressAutoHyphens/>
        <w:spacing w:after="0" w:line="360" w:lineRule="auto"/>
        <w:jc w:val="both"/>
        <w:rPr>
          <w:rFonts w:ascii="Times New Roman" w:eastAsia="Times New Roman" w:hAnsi="Times New Roman" w:cs="Times New Roman"/>
          <w:b/>
          <w:bCs/>
          <w:kern w:val="0"/>
          <w:sz w:val="24"/>
          <w:szCs w:val="24"/>
          <w:lang w:eastAsia="pt-BR"/>
          <w14:ligatures w14:val="none"/>
        </w:rPr>
      </w:pPr>
      <w:r w:rsidRPr="00374494">
        <w:rPr>
          <w:rFonts w:ascii="Times New Roman" w:eastAsia="Calibri" w:hAnsi="Times New Roman" w:cs="Calibri"/>
          <w:b/>
          <w:bCs/>
          <w:kern w:val="0"/>
          <w:sz w:val="24"/>
          <w:szCs w:val="24"/>
          <w:lang w:val="it-IT" w:eastAsia="ar-SA"/>
          <w14:ligatures w14:val="none"/>
        </w:rPr>
        <w:t>REFERÊNCIAS</w:t>
      </w:r>
      <w:r w:rsidRPr="00374494">
        <w:rPr>
          <w:rFonts w:ascii="Times New Roman" w:eastAsia="Times New Roman" w:hAnsi="Times New Roman" w:cs="Times New Roman"/>
          <w:b/>
          <w:bCs/>
          <w:kern w:val="0"/>
          <w:sz w:val="24"/>
          <w:szCs w:val="24"/>
          <w:lang w:eastAsia="pt-BR"/>
          <w14:ligatures w14:val="none"/>
        </w:rPr>
        <w:t xml:space="preserve"> </w:t>
      </w:r>
    </w:p>
    <w:p w14:paraId="2F35182F" w14:textId="77777777" w:rsidR="008B2C16" w:rsidRPr="00374494" w:rsidRDefault="008B2C16" w:rsidP="00863B19">
      <w:pPr>
        <w:suppressAutoHyphens/>
        <w:spacing w:after="0" w:line="360" w:lineRule="auto"/>
        <w:jc w:val="both"/>
        <w:rPr>
          <w:rFonts w:ascii="Times New Roman" w:eastAsia="Times New Roman" w:hAnsi="Times New Roman" w:cs="Times New Roman"/>
          <w:b/>
          <w:bCs/>
          <w:kern w:val="0"/>
          <w:sz w:val="24"/>
          <w:szCs w:val="24"/>
          <w:lang w:eastAsia="pt-BR"/>
          <w14:ligatures w14:val="none"/>
        </w:rPr>
      </w:pPr>
    </w:p>
    <w:p w14:paraId="435A944D" w14:textId="77777777" w:rsidR="00B125DC" w:rsidRPr="00645C75" w:rsidRDefault="00B125DC" w:rsidP="008B2C16">
      <w:pPr>
        <w:spacing w:after="0" w:line="240" w:lineRule="auto"/>
        <w:jc w:val="both"/>
        <w:rPr>
          <w:rFonts w:ascii="Times New Roman" w:eastAsia="Calibri" w:hAnsi="Times New Roman" w:cs="Times New Roman"/>
          <w:kern w:val="0"/>
          <w:sz w:val="24"/>
          <w:szCs w:val="24"/>
          <w14:ligatures w14:val="none"/>
        </w:rPr>
      </w:pPr>
      <w:r w:rsidRPr="00645C75">
        <w:rPr>
          <w:rFonts w:ascii="Times New Roman" w:eastAsia="Calibri" w:hAnsi="Times New Roman" w:cs="Times New Roman"/>
          <w:kern w:val="0"/>
          <w:sz w:val="24"/>
          <w:szCs w:val="24"/>
          <w14:ligatures w14:val="none"/>
        </w:rPr>
        <w:t xml:space="preserve">AGRICULTURAL Thesaurus. Washington, D. C.: National Agricultural Library, 2020. Disponível em: </w:t>
      </w:r>
      <w:hyperlink r:id="rId29" w:history="1">
        <w:r w:rsidRPr="00645C75">
          <w:rPr>
            <w:rFonts w:ascii="Times New Roman" w:eastAsia="Calibri" w:hAnsi="Times New Roman" w:cs="Times New Roman"/>
            <w:kern w:val="0"/>
            <w:sz w:val="24"/>
            <w:szCs w:val="24"/>
            <w14:ligatures w14:val="none"/>
          </w:rPr>
          <w:t>https://agclass.nal.usda.gov/background.shtml</w:t>
        </w:r>
      </w:hyperlink>
      <w:r w:rsidRPr="00645C75">
        <w:rPr>
          <w:rFonts w:ascii="Times New Roman" w:eastAsia="Calibri" w:hAnsi="Times New Roman" w:cs="Times New Roman"/>
          <w:kern w:val="0"/>
          <w:sz w:val="24"/>
          <w:szCs w:val="24"/>
          <w14:ligatures w14:val="none"/>
        </w:rPr>
        <w:t>. Acesso em: maio 2020.</w:t>
      </w:r>
    </w:p>
    <w:p w14:paraId="04F82EDC" w14:textId="77777777" w:rsidR="00B125DC" w:rsidRPr="00645C75" w:rsidRDefault="00B125DC" w:rsidP="008B2C16">
      <w:pPr>
        <w:spacing w:after="0" w:line="360" w:lineRule="auto"/>
        <w:jc w:val="both"/>
        <w:rPr>
          <w:rFonts w:ascii="Times New Roman" w:eastAsia="Calibri" w:hAnsi="Times New Roman" w:cs="Times New Roman"/>
          <w:kern w:val="0"/>
          <w:sz w:val="24"/>
          <w:szCs w:val="24"/>
          <w14:ligatures w14:val="none"/>
        </w:rPr>
      </w:pPr>
    </w:p>
    <w:p w14:paraId="402A5C14" w14:textId="77777777" w:rsidR="00B125DC" w:rsidRPr="007A5DCB" w:rsidRDefault="00B125DC" w:rsidP="008B2C16">
      <w:pPr>
        <w:spacing w:after="0" w:line="240" w:lineRule="auto"/>
        <w:jc w:val="both"/>
        <w:rPr>
          <w:rFonts w:ascii="Times New Roman" w:eastAsia="Calibri" w:hAnsi="Times New Roman" w:cs="Times New Roman"/>
          <w:kern w:val="0"/>
          <w:sz w:val="24"/>
          <w:szCs w:val="24"/>
          <w14:ligatures w14:val="none"/>
        </w:rPr>
      </w:pPr>
      <w:r w:rsidRPr="00645C75">
        <w:rPr>
          <w:rFonts w:ascii="Times New Roman" w:eastAsia="Calibri" w:hAnsi="Times New Roman" w:cs="Times New Roman"/>
          <w:kern w:val="0"/>
          <w:sz w:val="24"/>
          <w:szCs w:val="24"/>
          <w14:ligatures w14:val="none"/>
        </w:rPr>
        <w:t xml:space="preserve">AGROVOC Thesaurus. Roma: FAO, [2020]. Disponível em: </w:t>
      </w:r>
      <w:hyperlink r:id="rId30" w:history="1">
        <w:r w:rsidRPr="00645C75">
          <w:rPr>
            <w:rFonts w:ascii="Times New Roman" w:eastAsia="Calibri" w:hAnsi="Times New Roman" w:cs="Times New Roman"/>
            <w:kern w:val="0"/>
            <w:sz w:val="24"/>
            <w:szCs w:val="24"/>
            <w14:ligatures w14:val="none"/>
          </w:rPr>
          <w:t>http://aims.fao.org/vest-registry/vocabularies/agrovoc</w:t>
        </w:r>
      </w:hyperlink>
      <w:r w:rsidRPr="00645C75">
        <w:rPr>
          <w:rFonts w:ascii="Times New Roman" w:eastAsia="Calibri" w:hAnsi="Times New Roman" w:cs="Times New Roman"/>
          <w:kern w:val="0"/>
          <w:sz w:val="24"/>
          <w:szCs w:val="24"/>
          <w14:ligatures w14:val="none"/>
        </w:rPr>
        <w:t xml:space="preserve">. </w:t>
      </w:r>
      <w:r w:rsidRPr="007A5DCB">
        <w:rPr>
          <w:rFonts w:ascii="Times New Roman" w:eastAsia="Calibri" w:hAnsi="Times New Roman" w:cs="Times New Roman"/>
          <w:kern w:val="0"/>
          <w:sz w:val="24"/>
          <w:szCs w:val="24"/>
          <w14:ligatures w14:val="none"/>
        </w:rPr>
        <w:t>Acesso em: abr. 2020.</w:t>
      </w:r>
    </w:p>
    <w:p w14:paraId="341B40E9" w14:textId="77777777" w:rsidR="00B125DC"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1495F5BA" w14:textId="77777777" w:rsidR="00B125DC" w:rsidRPr="00BF12DD" w:rsidRDefault="00B125DC" w:rsidP="008B2C16">
      <w:pPr>
        <w:spacing w:after="0" w:line="240" w:lineRule="auto"/>
        <w:jc w:val="both"/>
        <w:rPr>
          <w:rFonts w:ascii="Symbol" w:eastAsia="Times New Roman" w:hAnsi="Symbol" w:cs="Times New Roman"/>
          <w:kern w:val="0"/>
          <w:sz w:val="24"/>
          <w:szCs w:val="24"/>
          <w:lang w:val="en-US" w:eastAsia="pt-BR"/>
          <w14:ligatures w14:val="none"/>
        </w:rPr>
      </w:pPr>
      <w:r w:rsidRPr="00645C75">
        <w:rPr>
          <w:rFonts w:ascii="Times New Roman" w:eastAsia="Times New Roman" w:hAnsi="Times New Roman" w:cs="Times New Roman"/>
          <w:kern w:val="0"/>
          <w:sz w:val="24"/>
          <w:szCs w:val="24"/>
          <w:lang w:eastAsia="pt-BR"/>
          <w14:ligatures w14:val="none"/>
        </w:rPr>
        <w:t xml:space="preserve">BARITÉ, M. </w:t>
      </w:r>
      <w:r w:rsidRPr="00645C75">
        <w:rPr>
          <w:rFonts w:ascii="Times New Roman" w:eastAsia="Times New Roman" w:hAnsi="Times New Roman" w:cs="Times New Roman"/>
          <w:i/>
          <w:iCs/>
          <w:kern w:val="0"/>
          <w:sz w:val="24"/>
          <w:szCs w:val="24"/>
          <w:lang w:eastAsia="pt-BR"/>
          <w14:ligatures w14:val="none"/>
        </w:rPr>
        <w:t>et al</w:t>
      </w:r>
      <w:r w:rsidRPr="00645C75">
        <w:rPr>
          <w:rFonts w:ascii="Times New Roman" w:eastAsia="Times New Roman" w:hAnsi="Times New Roman" w:cs="Times New Roman"/>
          <w:kern w:val="0"/>
          <w:sz w:val="24"/>
          <w:szCs w:val="24"/>
          <w:lang w:eastAsia="pt-BR"/>
          <w14:ligatures w14:val="none"/>
        </w:rPr>
        <w:t>. Garantia literária: elementos para uma revisão cr</w:t>
      </w:r>
      <w:r>
        <w:rPr>
          <w:rFonts w:ascii="Times New Roman" w:eastAsia="Times New Roman" w:hAnsi="Times New Roman" w:cs="Times New Roman"/>
          <w:kern w:val="0"/>
          <w:sz w:val="24"/>
          <w:szCs w:val="24"/>
          <w:lang w:eastAsia="pt-BR"/>
          <w14:ligatures w14:val="none"/>
        </w:rPr>
        <w:t>í</w:t>
      </w:r>
      <w:r w:rsidRPr="00645C75">
        <w:rPr>
          <w:rFonts w:ascii="Times New Roman" w:eastAsia="Times New Roman" w:hAnsi="Times New Roman" w:cs="Times New Roman"/>
          <w:kern w:val="0"/>
          <w:sz w:val="24"/>
          <w:szCs w:val="24"/>
          <w:lang w:eastAsia="pt-BR"/>
          <w14:ligatures w14:val="none"/>
        </w:rPr>
        <w:t xml:space="preserve">tica após um século. </w:t>
      </w:r>
      <w:r w:rsidRPr="00BF12DD">
        <w:rPr>
          <w:rFonts w:ascii="Times New Roman" w:eastAsia="Times New Roman" w:hAnsi="Times New Roman" w:cs="Times New Roman"/>
          <w:i/>
          <w:iCs/>
          <w:kern w:val="0"/>
          <w:sz w:val="24"/>
          <w:szCs w:val="24"/>
          <w:lang w:val="en-US" w:eastAsia="pt-BR"/>
          <w14:ligatures w14:val="none"/>
        </w:rPr>
        <w:t>Transinformação</w:t>
      </w:r>
      <w:r w:rsidRPr="00BF12DD">
        <w:rPr>
          <w:rFonts w:ascii="Times New Roman" w:eastAsia="Times New Roman" w:hAnsi="Times New Roman" w:cs="Times New Roman"/>
          <w:kern w:val="0"/>
          <w:sz w:val="24"/>
          <w:szCs w:val="24"/>
          <w:lang w:val="en-US" w:eastAsia="pt-BR"/>
          <w14:ligatures w14:val="none"/>
        </w:rPr>
        <w:t>, Campinas, v. 22, n. 2, p. 123-138, maio/ago. 2010.</w:t>
      </w:r>
    </w:p>
    <w:p w14:paraId="58009432" w14:textId="77777777" w:rsidR="00B125DC" w:rsidRPr="00BF12DD" w:rsidRDefault="00B125DC" w:rsidP="008B2C16">
      <w:pPr>
        <w:spacing w:after="0" w:line="360" w:lineRule="auto"/>
        <w:jc w:val="both"/>
        <w:rPr>
          <w:rFonts w:ascii="Times New Roman" w:eastAsia="Times New Roman" w:hAnsi="Times New Roman" w:cs="Times New Roman"/>
          <w:kern w:val="0"/>
          <w:sz w:val="24"/>
          <w:szCs w:val="24"/>
          <w:lang w:val="en-US" w:eastAsia="pt-BR"/>
          <w14:ligatures w14:val="none"/>
        </w:rPr>
      </w:pPr>
    </w:p>
    <w:p w14:paraId="294221C6" w14:textId="77777777" w:rsidR="00B125DC"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Times New Roman" w:hAnsi="Times New Roman" w:cs="Times New Roman"/>
          <w:kern w:val="0"/>
          <w:sz w:val="24"/>
          <w:szCs w:val="24"/>
          <w:lang w:val="en-US" w:eastAsia="pt-BR"/>
          <w14:ligatures w14:val="none"/>
        </w:rPr>
        <w:t xml:space="preserve">BEGHTOL, C. Semantic validity: concepts of warrant in bibliographic classification systems. </w:t>
      </w:r>
      <w:r w:rsidRPr="00645C75">
        <w:rPr>
          <w:rFonts w:ascii="Times New Roman" w:eastAsia="Times New Roman" w:hAnsi="Times New Roman" w:cs="Times New Roman"/>
          <w:i/>
          <w:iCs/>
          <w:kern w:val="0"/>
          <w:sz w:val="24"/>
          <w:szCs w:val="24"/>
          <w:lang w:eastAsia="pt-BR"/>
          <w14:ligatures w14:val="none"/>
        </w:rPr>
        <w:t>Library Resources &amp; Technical Services</w:t>
      </w:r>
      <w:r w:rsidRPr="00645C75">
        <w:rPr>
          <w:rFonts w:ascii="Times New Roman" w:eastAsia="Times New Roman" w:hAnsi="Times New Roman" w:cs="Times New Roman"/>
          <w:kern w:val="0"/>
          <w:sz w:val="24"/>
          <w:szCs w:val="24"/>
          <w:lang w:eastAsia="pt-BR"/>
          <w14:ligatures w14:val="none"/>
        </w:rPr>
        <w:t xml:space="preserve">, p. 109-125, Apr./Jun. 1986.  </w:t>
      </w:r>
    </w:p>
    <w:p w14:paraId="69167A13" w14:textId="77777777" w:rsidR="00B125DC"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1E56203E" w14:textId="77777777" w:rsidR="00B125DC" w:rsidRPr="007A5DCB"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Times New Roman" w:hAnsi="Times New Roman" w:cs="Times New Roman"/>
          <w:kern w:val="0"/>
          <w:sz w:val="24"/>
          <w:szCs w:val="24"/>
          <w:lang w:eastAsia="pt-BR"/>
          <w14:ligatures w14:val="none"/>
        </w:rPr>
        <w:t xml:space="preserve">BERTRAND, G. Paisagem e geografia física global: esboço metodológico. </w:t>
      </w:r>
      <w:r w:rsidRPr="007A5DCB">
        <w:rPr>
          <w:rFonts w:ascii="Times New Roman" w:eastAsia="Times New Roman" w:hAnsi="Times New Roman" w:cs="Times New Roman"/>
          <w:i/>
          <w:kern w:val="0"/>
          <w:sz w:val="24"/>
          <w:szCs w:val="24"/>
          <w:lang w:eastAsia="pt-BR"/>
          <w14:ligatures w14:val="none"/>
        </w:rPr>
        <w:t>Revista RáeGa</w:t>
      </w:r>
      <w:r w:rsidRPr="007A5DCB">
        <w:rPr>
          <w:rFonts w:ascii="Times New Roman" w:eastAsia="Times New Roman" w:hAnsi="Times New Roman" w:cs="Times New Roman"/>
          <w:kern w:val="0"/>
          <w:sz w:val="24"/>
          <w:szCs w:val="24"/>
          <w:lang w:eastAsia="pt-BR"/>
          <w14:ligatures w14:val="none"/>
        </w:rPr>
        <w:t>, Curitiba, n. 8, p. 141-152, 2004.</w:t>
      </w:r>
    </w:p>
    <w:p w14:paraId="7F9259EC" w14:textId="77777777" w:rsidR="00B125DC" w:rsidRPr="00645C75"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Times New Roman" w:hAnsi="Times New Roman" w:cs="Times New Roman"/>
          <w:kern w:val="0"/>
          <w:sz w:val="24"/>
          <w:szCs w:val="24"/>
          <w:lang w:eastAsia="pt-BR"/>
          <w14:ligatures w14:val="none"/>
        </w:rPr>
        <w:lastRenderedPageBreak/>
        <w:t xml:space="preserve">CAVACO. C. As paisagens rurais: do ‘determinismo natural ao determinismo político’? </w:t>
      </w:r>
      <w:r w:rsidRPr="00645C75">
        <w:rPr>
          <w:rFonts w:ascii="Times New Roman" w:eastAsia="Times New Roman" w:hAnsi="Times New Roman" w:cs="Times New Roman"/>
          <w:i/>
          <w:kern w:val="0"/>
          <w:sz w:val="24"/>
          <w:szCs w:val="24"/>
          <w:lang w:eastAsia="pt-BR"/>
          <w14:ligatures w14:val="none"/>
        </w:rPr>
        <w:t>Finisterra</w:t>
      </w:r>
      <w:r w:rsidRPr="00645C75">
        <w:rPr>
          <w:rFonts w:ascii="Times New Roman" w:eastAsia="Times New Roman" w:hAnsi="Times New Roman" w:cs="Times New Roman"/>
          <w:kern w:val="0"/>
          <w:sz w:val="24"/>
          <w:szCs w:val="24"/>
          <w:lang w:eastAsia="pt-BR"/>
          <w14:ligatures w14:val="none"/>
        </w:rPr>
        <w:t>, Lisboa, v. 40, n. 79, 2005.</w:t>
      </w:r>
    </w:p>
    <w:p w14:paraId="2C90BDBA" w14:textId="77777777" w:rsidR="00B125DC" w:rsidRPr="00645C75"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47CB6050" w14:textId="77777777" w:rsidR="00B125DC" w:rsidRPr="00645C75"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Times New Roman" w:hAnsi="Times New Roman" w:cs="Times New Roman"/>
          <w:kern w:val="0"/>
          <w:sz w:val="24"/>
          <w:szCs w:val="24"/>
          <w:lang w:eastAsia="pt-BR"/>
          <w14:ligatures w14:val="none"/>
        </w:rPr>
        <w:t xml:space="preserve">CENSO agropecuário: 1970. Rio de Janeiro: IBGE, 3 v. Disponível em: </w:t>
      </w:r>
      <w:hyperlink r:id="rId31" w:history="1">
        <w:r w:rsidRPr="00645C75">
          <w:rPr>
            <w:rFonts w:ascii="Times New Roman" w:eastAsia="Times New Roman" w:hAnsi="Times New Roman" w:cs="Times New Roman"/>
            <w:kern w:val="0"/>
            <w:sz w:val="24"/>
            <w:szCs w:val="24"/>
            <w:lang w:eastAsia="pt-BR"/>
            <w14:ligatures w14:val="none"/>
          </w:rPr>
          <w:t>http://biblioteca.ibge.gov.br/index.php/biblioteca-catalogo?acervo=periodico&amp;campo=titulo&amp;opeqry=&amp;texto=censo%20agropecuario&amp;digital=false&amp;fraseexata</w:t>
        </w:r>
      </w:hyperlink>
      <w:r w:rsidRPr="00645C75">
        <w:rPr>
          <w:rFonts w:ascii="Times New Roman" w:eastAsia="Times New Roman" w:hAnsi="Times New Roman" w:cs="Times New Roman"/>
          <w:kern w:val="0"/>
          <w:sz w:val="24"/>
          <w:szCs w:val="24"/>
          <w:lang w:eastAsia="pt-BR"/>
          <w14:ligatures w14:val="none"/>
        </w:rPr>
        <w:t xml:space="preserve">=. Acesso em: jan. 2019. </w:t>
      </w:r>
    </w:p>
    <w:p w14:paraId="603AAB70" w14:textId="77777777" w:rsidR="00B125DC" w:rsidRPr="00645C75"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45CFC160" w14:textId="77777777" w:rsidR="00B125DC" w:rsidRDefault="00B125DC" w:rsidP="008B2C16">
      <w:pPr>
        <w:spacing w:after="0" w:line="240" w:lineRule="auto"/>
        <w:jc w:val="both"/>
        <w:rPr>
          <w:rFonts w:ascii="Times New Roman" w:eastAsia="Calibri" w:hAnsi="Times New Roman" w:cs="Times New Roman"/>
          <w:kern w:val="0"/>
          <w:sz w:val="24"/>
          <w:szCs w:val="24"/>
          <w14:ligatures w14:val="none"/>
        </w:rPr>
      </w:pPr>
      <w:r w:rsidRPr="00645C75">
        <w:rPr>
          <w:rFonts w:ascii="Times New Roman" w:eastAsia="Times New Roman" w:hAnsi="Times New Roman" w:cs="Times New Roman"/>
          <w:kern w:val="0"/>
          <w:sz w:val="24"/>
          <w:szCs w:val="24"/>
          <w:lang w:eastAsia="pt-BR"/>
          <w14:ligatures w14:val="none"/>
        </w:rPr>
        <w:t xml:space="preserve">CENSO agropecuário: 2006: </w:t>
      </w:r>
      <w:r w:rsidRPr="00645C75">
        <w:rPr>
          <w:rFonts w:ascii="Times New Roman" w:eastAsia="Calibri" w:hAnsi="Times New Roman" w:cs="Times New Roman"/>
          <w:kern w:val="0"/>
          <w:sz w:val="24"/>
          <w:szCs w:val="24"/>
          <w14:ligatures w14:val="none"/>
        </w:rPr>
        <w:t xml:space="preserve">Brasil, grandes regiões e unidades da federação: segunda apuração. Rio de Janeiro: IBGE, 2012. Disponível em: </w:t>
      </w:r>
      <w:hyperlink r:id="rId32" w:history="1">
        <w:r w:rsidRPr="00645C75">
          <w:rPr>
            <w:rFonts w:ascii="Times New Roman" w:eastAsia="Calibri" w:hAnsi="Times New Roman" w:cs="Times New Roman"/>
            <w:kern w:val="0"/>
            <w:sz w:val="24"/>
            <w:szCs w:val="24"/>
            <w14:ligatures w14:val="none"/>
          </w:rPr>
          <w:t>http://biblioteca.ibge.gov.br/index.php/biblioteca-catalogo?acervo=periodico&amp;campo=titulo&amp;opeqry=&amp;texto=censo%20agropecuario&amp;digital=false&amp;fraseexata</w:t>
        </w:r>
      </w:hyperlink>
      <w:r w:rsidRPr="00645C75">
        <w:rPr>
          <w:rFonts w:ascii="Times New Roman" w:eastAsia="Calibri" w:hAnsi="Times New Roman" w:cs="Times New Roman"/>
          <w:kern w:val="0"/>
          <w:sz w:val="24"/>
          <w:szCs w:val="24"/>
          <w14:ligatures w14:val="none"/>
        </w:rPr>
        <w:t>=. Acesso em: jan. 2019.</w:t>
      </w:r>
    </w:p>
    <w:p w14:paraId="4E3A69F9" w14:textId="77777777" w:rsidR="00B125DC" w:rsidRDefault="00B125DC" w:rsidP="008B2C16">
      <w:pPr>
        <w:spacing w:after="0" w:line="360" w:lineRule="auto"/>
        <w:jc w:val="both"/>
        <w:rPr>
          <w:rFonts w:ascii="Times New Roman" w:eastAsia="Calibri" w:hAnsi="Times New Roman" w:cs="Times New Roman"/>
          <w:kern w:val="0"/>
          <w:sz w:val="24"/>
          <w:szCs w:val="24"/>
          <w14:ligatures w14:val="none"/>
        </w:rPr>
      </w:pPr>
    </w:p>
    <w:p w14:paraId="32005717" w14:textId="77777777" w:rsidR="00B125DC" w:rsidRPr="00F61062"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7A5DCB">
        <w:rPr>
          <w:rFonts w:ascii="Times New Roman" w:eastAsia="Times New Roman" w:hAnsi="Times New Roman" w:cs="Times New Roman"/>
          <w:kern w:val="0"/>
          <w:sz w:val="24"/>
          <w:szCs w:val="24"/>
          <w:lang w:eastAsia="pt-BR"/>
          <w14:ligatures w14:val="none"/>
        </w:rPr>
        <w:t xml:space="preserve">CORRÊA, Roberto Lobato; ROSENDAHL, Zeny. </w:t>
      </w:r>
      <w:r w:rsidRPr="00F61062">
        <w:rPr>
          <w:rFonts w:ascii="Times New Roman" w:eastAsia="Times New Roman" w:hAnsi="Times New Roman" w:cs="Times New Roman"/>
          <w:i/>
          <w:kern w:val="0"/>
          <w:sz w:val="24"/>
          <w:szCs w:val="24"/>
          <w:lang w:eastAsia="pt-BR"/>
          <w14:ligatures w14:val="none"/>
        </w:rPr>
        <w:t>Paisagem, tempo e cultura</w:t>
      </w:r>
      <w:r w:rsidRPr="00F61062">
        <w:rPr>
          <w:rFonts w:ascii="Times New Roman" w:eastAsia="Times New Roman" w:hAnsi="Times New Roman" w:cs="Times New Roman"/>
          <w:kern w:val="0"/>
          <w:sz w:val="24"/>
          <w:szCs w:val="24"/>
          <w:lang w:eastAsia="pt-BR"/>
          <w14:ligatures w14:val="none"/>
        </w:rPr>
        <w:t xml:space="preserve">. </w:t>
      </w:r>
      <w:r>
        <w:rPr>
          <w:rFonts w:ascii="Times New Roman" w:eastAsia="Times New Roman" w:hAnsi="Times New Roman" w:cs="Times New Roman"/>
          <w:kern w:val="0"/>
          <w:sz w:val="24"/>
          <w:szCs w:val="24"/>
          <w:lang w:eastAsia="pt-BR"/>
          <w14:ligatures w14:val="none"/>
        </w:rPr>
        <w:t xml:space="preserve">Rio de Janeiro: </w:t>
      </w:r>
      <w:r w:rsidRPr="00F61062">
        <w:rPr>
          <w:rFonts w:ascii="Times New Roman" w:eastAsia="Times New Roman" w:hAnsi="Times New Roman" w:cs="Times New Roman"/>
          <w:kern w:val="0"/>
          <w:sz w:val="24"/>
          <w:szCs w:val="24"/>
          <w:lang w:eastAsia="pt-BR"/>
          <w14:ligatures w14:val="none"/>
        </w:rPr>
        <w:t xml:space="preserve">Ed. UERJ, 1998. p. 92-123. </w:t>
      </w:r>
    </w:p>
    <w:p w14:paraId="5219DAD5" w14:textId="77777777" w:rsidR="00B125DC" w:rsidRPr="00645C75" w:rsidRDefault="00B125DC" w:rsidP="008B2C16">
      <w:pPr>
        <w:spacing w:after="0" w:line="360" w:lineRule="auto"/>
        <w:jc w:val="both"/>
        <w:rPr>
          <w:rFonts w:ascii="Times New Roman" w:eastAsia="Calibri" w:hAnsi="Times New Roman" w:cs="Times New Roman"/>
          <w:kern w:val="0"/>
          <w:sz w:val="24"/>
          <w:szCs w:val="24"/>
          <w14:ligatures w14:val="none"/>
        </w:rPr>
      </w:pPr>
    </w:p>
    <w:p w14:paraId="44ECF02D" w14:textId="77777777" w:rsidR="00B125DC" w:rsidRPr="00645C75"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Times New Roman" w:hAnsi="Times New Roman" w:cs="Times New Roman"/>
          <w:kern w:val="0"/>
          <w:sz w:val="24"/>
          <w:szCs w:val="24"/>
          <w:lang w:eastAsia="pt-BR"/>
          <w14:ligatures w14:val="none"/>
        </w:rPr>
        <w:t xml:space="preserve">COSGROVE, D. A geografia está em toda parte: cultura e simbolismo nas paisagens humanas. </w:t>
      </w:r>
      <w:r w:rsidRPr="00645C75">
        <w:rPr>
          <w:rFonts w:ascii="Times New Roman" w:eastAsia="Times New Roman" w:hAnsi="Times New Roman" w:cs="Times New Roman"/>
          <w:i/>
          <w:iCs/>
          <w:kern w:val="0"/>
          <w:sz w:val="24"/>
          <w:szCs w:val="24"/>
          <w:lang w:eastAsia="pt-BR"/>
          <w14:ligatures w14:val="none"/>
        </w:rPr>
        <w:t>In</w:t>
      </w:r>
      <w:r w:rsidRPr="00645C75">
        <w:rPr>
          <w:rFonts w:ascii="Times New Roman" w:eastAsia="Times New Roman" w:hAnsi="Times New Roman" w:cs="Times New Roman"/>
          <w:kern w:val="0"/>
          <w:sz w:val="24"/>
          <w:szCs w:val="24"/>
          <w:lang w:eastAsia="pt-BR"/>
          <w14:ligatures w14:val="none"/>
        </w:rPr>
        <w:t xml:space="preserve">: CORRÊA, R. L.; ROSENDAHL, Z. (Org.). </w:t>
      </w:r>
      <w:r w:rsidRPr="00645C75">
        <w:rPr>
          <w:rFonts w:ascii="Times New Roman" w:eastAsia="Times New Roman" w:hAnsi="Times New Roman" w:cs="Times New Roman"/>
          <w:i/>
          <w:kern w:val="0"/>
          <w:sz w:val="24"/>
          <w:szCs w:val="24"/>
          <w:lang w:eastAsia="pt-BR"/>
          <w14:ligatures w14:val="none"/>
        </w:rPr>
        <w:t>Paisagem, tempo e cultura</w:t>
      </w:r>
      <w:r w:rsidRPr="00645C75">
        <w:rPr>
          <w:rFonts w:ascii="Times New Roman" w:eastAsia="Times New Roman" w:hAnsi="Times New Roman" w:cs="Times New Roman"/>
          <w:kern w:val="0"/>
          <w:sz w:val="24"/>
          <w:szCs w:val="24"/>
          <w:lang w:eastAsia="pt-BR"/>
          <w14:ligatures w14:val="none"/>
        </w:rPr>
        <w:t xml:space="preserve">. Rio de Janeiro: Ed. UERJ, 1998. p. 92-123. </w:t>
      </w:r>
    </w:p>
    <w:p w14:paraId="50C6BD2C" w14:textId="77777777" w:rsidR="00B125DC" w:rsidRPr="00645C75"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73541E1E" w14:textId="77777777" w:rsidR="00B125DC"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Times New Roman" w:hAnsi="Times New Roman" w:cs="Times New Roman"/>
          <w:kern w:val="0"/>
          <w:sz w:val="24"/>
          <w:szCs w:val="24"/>
          <w:lang w:eastAsia="pt-BR"/>
          <w14:ligatures w14:val="none"/>
        </w:rPr>
        <w:t xml:space="preserve">DAHLBERG, I. Teoria do conceito. </w:t>
      </w:r>
      <w:r w:rsidRPr="00645C75">
        <w:rPr>
          <w:rFonts w:ascii="Times New Roman" w:eastAsia="Times New Roman" w:hAnsi="Times New Roman" w:cs="Times New Roman"/>
          <w:i/>
          <w:kern w:val="0"/>
          <w:sz w:val="24"/>
          <w:szCs w:val="24"/>
          <w:lang w:eastAsia="pt-BR"/>
          <w14:ligatures w14:val="none"/>
        </w:rPr>
        <w:t>Ciência da Informação</w:t>
      </w:r>
      <w:r w:rsidRPr="00645C75">
        <w:rPr>
          <w:rFonts w:ascii="Times New Roman" w:eastAsia="Times New Roman" w:hAnsi="Times New Roman" w:cs="Times New Roman"/>
          <w:kern w:val="0"/>
          <w:sz w:val="24"/>
          <w:szCs w:val="24"/>
          <w:lang w:eastAsia="pt-BR"/>
          <w14:ligatures w14:val="none"/>
        </w:rPr>
        <w:t>, Brasília, v. 7, n. 2, p. 101-107, 1978.</w:t>
      </w:r>
    </w:p>
    <w:p w14:paraId="7D145CA1" w14:textId="77777777" w:rsidR="00B125DC"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113296E2" w14:textId="77777777" w:rsidR="00B125DC" w:rsidRPr="00F62154" w:rsidRDefault="00B125DC" w:rsidP="008B2C16">
      <w:pPr>
        <w:spacing w:after="0" w:line="240" w:lineRule="auto"/>
        <w:jc w:val="both"/>
        <w:rPr>
          <w:rFonts w:ascii="Calibri" w:eastAsia="Calibri" w:hAnsi="Calibri" w:cs="Times New Roman"/>
          <w:kern w:val="0"/>
          <w:sz w:val="24"/>
          <w:szCs w:val="24"/>
          <w14:ligatures w14:val="none"/>
        </w:rPr>
      </w:pPr>
      <w:r w:rsidRPr="00F62154">
        <w:rPr>
          <w:rFonts w:ascii="Times New Roman" w:eastAsia="Calibri" w:hAnsi="Times New Roman" w:cs="Times New Roman"/>
          <w:kern w:val="0"/>
          <w:sz w:val="24"/>
          <w:szCs w:val="24"/>
          <w:lang w:val="en-US"/>
          <w14:ligatures w14:val="none"/>
        </w:rPr>
        <w:t xml:space="preserve">EVERGLADE online thesaurus. Miami: Florida International University, 2005. </w:t>
      </w:r>
      <w:r w:rsidRPr="00F62154">
        <w:rPr>
          <w:rFonts w:ascii="Times New Roman" w:eastAsia="Calibri" w:hAnsi="Times New Roman" w:cs="Times New Roman"/>
          <w:kern w:val="0"/>
          <w:sz w:val="24"/>
          <w:szCs w:val="24"/>
          <w14:ligatures w14:val="none"/>
        </w:rPr>
        <w:t xml:space="preserve">Disponível em: </w:t>
      </w:r>
      <w:hyperlink r:id="rId33" w:history="1">
        <w:r w:rsidRPr="00F62154">
          <w:rPr>
            <w:rFonts w:ascii="Times New Roman" w:eastAsia="Calibri" w:hAnsi="Times New Roman" w:cs="Times New Roman"/>
            <w:kern w:val="0"/>
            <w:sz w:val="24"/>
            <w:szCs w:val="24"/>
            <w14:ligatures w14:val="none"/>
          </w:rPr>
          <w:t>https://digitalcommons.fiu.edu/glworks/1/</w:t>
        </w:r>
      </w:hyperlink>
      <w:r w:rsidRPr="00F62154">
        <w:rPr>
          <w:rFonts w:ascii="Times New Roman" w:eastAsia="Calibri" w:hAnsi="Times New Roman" w:cs="Times New Roman"/>
          <w:kern w:val="0"/>
          <w:sz w:val="24"/>
          <w:szCs w:val="24"/>
          <w14:ligatures w14:val="none"/>
        </w:rPr>
        <w:t>. Acesso em: abr. 2020.</w:t>
      </w:r>
    </w:p>
    <w:p w14:paraId="5CD32275" w14:textId="77777777" w:rsidR="00B125DC" w:rsidRPr="00F62154"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2ADDD1D9" w14:textId="77777777" w:rsidR="00B125DC" w:rsidRPr="00645C75"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645C75">
        <w:rPr>
          <w:rFonts w:ascii="Times New Roman" w:eastAsia="Calibri" w:hAnsi="Times New Roman" w:cs="Times New Roman"/>
          <w:kern w:val="0"/>
          <w:sz w:val="24"/>
          <w:szCs w:val="24"/>
          <w14:ligatures w14:val="none"/>
        </w:rPr>
        <w:t xml:space="preserve">GALVÃO, Maria Cristiane Barbosa. Construção de conceitos no campo da ciência da informação. </w:t>
      </w:r>
      <w:r w:rsidRPr="00294B1A">
        <w:rPr>
          <w:rFonts w:ascii="Times New Roman" w:eastAsia="Calibri" w:hAnsi="Times New Roman" w:cs="Times New Roman"/>
          <w:i/>
          <w:iCs/>
          <w:kern w:val="0"/>
          <w:sz w:val="24"/>
          <w:szCs w:val="24"/>
          <w14:ligatures w14:val="none"/>
        </w:rPr>
        <w:t>Ciência da Informação</w:t>
      </w:r>
      <w:r w:rsidRPr="00645C75">
        <w:rPr>
          <w:rFonts w:ascii="Times New Roman" w:eastAsia="Calibri" w:hAnsi="Times New Roman" w:cs="Times New Roman"/>
          <w:kern w:val="0"/>
          <w:sz w:val="24"/>
          <w:szCs w:val="24"/>
          <w14:ligatures w14:val="none"/>
        </w:rPr>
        <w:t xml:space="preserve">, Brasília, v.27, n.1, p.46-52, jan./abr. 1998. Disponível em: </w:t>
      </w:r>
      <w:hyperlink r:id="rId34" w:history="1">
        <w:r w:rsidRPr="00645C75">
          <w:rPr>
            <w:rFonts w:ascii="Times New Roman" w:eastAsia="Calibri" w:hAnsi="Times New Roman" w:cs="Times New Roman"/>
            <w:kern w:val="0"/>
            <w:sz w:val="24"/>
            <w:szCs w:val="24"/>
            <w14:ligatures w14:val="none"/>
          </w:rPr>
          <w:t>http://revista.ibict.br/ciinf/index.php/ciinf/article/view/348/309</w:t>
        </w:r>
      </w:hyperlink>
      <w:r w:rsidRPr="00645C75">
        <w:rPr>
          <w:rFonts w:ascii="Times New Roman" w:eastAsia="Calibri" w:hAnsi="Times New Roman" w:cs="Times New Roman"/>
          <w:kern w:val="0"/>
          <w:sz w:val="24"/>
          <w:szCs w:val="24"/>
          <w14:ligatures w14:val="none"/>
        </w:rPr>
        <w:t>. Acesso em: jul. 2020.</w:t>
      </w:r>
      <w:r w:rsidRPr="00645C75">
        <w:rPr>
          <w:rFonts w:ascii="Times New Roman" w:eastAsia="Times New Roman" w:hAnsi="Times New Roman" w:cs="Times New Roman"/>
          <w:kern w:val="0"/>
          <w:sz w:val="24"/>
          <w:szCs w:val="24"/>
          <w:lang w:eastAsia="pt-BR"/>
          <w14:ligatures w14:val="none"/>
        </w:rPr>
        <w:t xml:space="preserve"> </w:t>
      </w:r>
    </w:p>
    <w:p w14:paraId="1AC84887" w14:textId="77777777" w:rsidR="00B125DC" w:rsidRPr="00645C75"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10931C97" w14:textId="77777777" w:rsidR="00B125DC" w:rsidRPr="007A5DCB" w:rsidRDefault="00B125DC" w:rsidP="008B2C16">
      <w:pPr>
        <w:spacing w:after="0" w:line="240" w:lineRule="auto"/>
        <w:jc w:val="both"/>
        <w:rPr>
          <w:rFonts w:ascii="Times New Roman" w:eastAsia="Times New Roman" w:hAnsi="Times New Roman" w:cs="Times New Roman"/>
          <w:kern w:val="0"/>
          <w:sz w:val="24"/>
          <w:szCs w:val="24"/>
          <w:lang w:val="en-US" w:eastAsia="pt-BR"/>
          <w14:ligatures w14:val="none"/>
        </w:rPr>
      </w:pPr>
      <w:bookmarkStart w:id="92" w:name="_Hlk54090868"/>
      <w:r w:rsidRPr="00645C75">
        <w:rPr>
          <w:rFonts w:ascii="Times New Roman" w:eastAsia="Times New Roman" w:hAnsi="Times New Roman" w:cs="Times New Roman"/>
          <w:kern w:val="0"/>
          <w:sz w:val="24"/>
          <w:szCs w:val="24"/>
          <w:lang w:eastAsia="pt-BR"/>
          <w14:ligatures w14:val="none"/>
        </w:rPr>
        <w:t xml:space="preserve">GAMBI, L. </w:t>
      </w:r>
      <w:r w:rsidRPr="00645C75">
        <w:rPr>
          <w:rFonts w:ascii="Times New Roman" w:eastAsia="Times New Roman" w:hAnsi="Times New Roman" w:cs="Times New Roman"/>
          <w:i/>
          <w:kern w:val="0"/>
          <w:sz w:val="24"/>
          <w:szCs w:val="24"/>
          <w:lang w:eastAsia="pt-BR"/>
          <w14:ligatures w14:val="none"/>
        </w:rPr>
        <w:t>Critica ai concetti geografici di paesaggio umano</w:t>
      </w:r>
      <w:r w:rsidRPr="00645C75">
        <w:rPr>
          <w:rFonts w:ascii="Times New Roman" w:eastAsia="Times New Roman" w:hAnsi="Times New Roman" w:cs="Times New Roman"/>
          <w:kern w:val="0"/>
          <w:sz w:val="24"/>
          <w:szCs w:val="24"/>
          <w:lang w:eastAsia="pt-BR"/>
          <w14:ligatures w14:val="none"/>
        </w:rPr>
        <w:t xml:space="preserve">. </w:t>
      </w:r>
      <w:r w:rsidRPr="007A5DCB">
        <w:rPr>
          <w:rFonts w:ascii="Times New Roman" w:eastAsia="Times New Roman" w:hAnsi="Times New Roman" w:cs="Times New Roman"/>
          <w:kern w:val="0"/>
          <w:sz w:val="24"/>
          <w:szCs w:val="24"/>
          <w:lang w:val="en-US" w:eastAsia="pt-BR"/>
          <w14:ligatures w14:val="none"/>
        </w:rPr>
        <w:t>Faenza: Fratelli Lega, 1961.</w:t>
      </w:r>
    </w:p>
    <w:p w14:paraId="76BC9383" w14:textId="77777777" w:rsidR="00B125DC" w:rsidRPr="007A5DCB" w:rsidRDefault="00B125DC" w:rsidP="008B2C16">
      <w:pPr>
        <w:spacing w:after="0" w:line="360" w:lineRule="auto"/>
        <w:jc w:val="both"/>
        <w:rPr>
          <w:rFonts w:ascii="Times New Roman" w:eastAsia="Calibri" w:hAnsi="Times New Roman" w:cs="Times New Roman"/>
          <w:kern w:val="0"/>
          <w:sz w:val="20"/>
          <w:szCs w:val="20"/>
          <w:lang w:val="en-US"/>
          <w14:ligatures w14:val="none"/>
        </w:rPr>
      </w:pPr>
    </w:p>
    <w:bookmarkEnd w:id="92"/>
    <w:p w14:paraId="3B73ED72" w14:textId="77777777" w:rsidR="00B125DC" w:rsidRDefault="00B125DC" w:rsidP="008B2C16">
      <w:pPr>
        <w:spacing w:after="0" w:line="240" w:lineRule="auto"/>
        <w:jc w:val="both"/>
        <w:rPr>
          <w:rFonts w:ascii="Times New Roman" w:eastAsia="Calibri" w:hAnsi="Times New Roman" w:cs="Times New Roman"/>
          <w:kern w:val="0"/>
          <w:sz w:val="24"/>
          <w:szCs w:val="24"/>
          <w14:ligatures w14:val="none"/>
        </w:rPr>
      </w:pPr>
      <w:r w:rsidRPr="007A5DCB">
        <w:rPr>
          <w:rFonts w:ascii="Times New Roman" w:eastAsia="Calibri" w:hAnsi="Times New Roman" w:cs="Times New Roman"/>
          <w:kern w:val="0"/>
          <w:sz w:val="24"/>
          <w:szCs w:val="24"/>
          <w:lang w:val="en-US"/>
          <w14:ligatures w14:val="none"/>
        </w:rPr>
        <w:t xml:space="preserve">GEOETHNO thesaurus. </w:t>
      </w:r>
      <w:r w:rsidRPr="00645C75">
        <w:rPr>
          <w:rFonts w:ascii="Times New Roman" w:eastAsia="Calibri" w:hAnsi="Times New Roman" w:cs="Times New Roman"/>
          <w:kern w:val="0"/>
          <w:sz w:val="24"/>
          <w:szCs w:val="24"/>
          <w14:ligatures w14:val="none"/>
        </w:rPr>
        <w:t xml:space="preserve">Nanterre: </w:t>
      </w:r>
      <w:r w:rsidRPr="00645C75">
        <w:rPr>
          <w:rFonts w:ascii="Times New Roman" w:eastAsia="Calibri" w:hAnsi="Times New Roman" w:cs="Times New Roman"/>
          <w:kern w:val="0"/>
          <w:sz w:val="24"/>
          <w:szCs w:val="24"/>
          <w:shd w:val="clear" w:color="auto" w:fill="FFFFFF"/>
          <w14:ligatures w14:val="none"/>
        </w:rPr>
        <w:t xml:space="preserve">Laboratoire d’Ethnologie et de Sociologie Comparative, [2020]. Disponível em: </w:t>
      </w:r>
      <w:hyperlink r:id="rId35" w:history="1">
        <w:r w:rsidRPr="00645C75">
          <w:rPr>
            <w:rFonts w:ascii="Times New Roman" w:eastAsia="Calibri" w:hAnsi="Times New Roman" w:cs="Times New Roman"/>
            <w:kern w:val="0"/>
            <w:sz w:val="24"/>
            <w:szCs w:val="24"/>
            <w14:ligatures w14:val="none"/>
          </w:rPr>
          <w:t>http://lesc-cnrs.fr/en/geoethno-thesaurus</w:t>
        </w:r>
      </w:hyperlink>
      <w:r w:rsidRPr="00645C75">
        <w:rPr>
          <w:rFonts w:ascii="Times New Roman" w:eastAsia="Calibri" w:hAnsi="Times New Roman" w:cs="Times New Roman"/>
          <w:kern w:val="0"/>
          <w:sz w:val="24"/>
          <w:szCs w:val="24"/>
          <w14:ligatures w14:val="none"/>
        </w:rPr>
        <w:t>. Acesso em: abr. 2020.</w:t>
      </w:r>
    </w:p>
    <w:p w14:paraId="6968F4C5" w14:textId="77777777" w:rsidR="00B125DC" w:rsidRDefault="00B125DC" w:rsidP="008B2C16">
      <w:pPr>
        <w:spacing w:after="0" w:line="360" w:lineRule="auto"/>
        <w:jc w:val="both"/>
        <w:rPr>
          <w:rFonts w:ascii="Times New Roman" w:eastAsia="Calibri" w:hAnsi="Times New Roman" w:cs="Times New Roman"/>
          <w:kern w:val="0"/>
          <w:sz w:val="24"/>
          <w:szCs w:val="24"/>
          <w14:ligatures w14:val="none"/>
        </w:rPr>
      </w:pPr>
    </w:p>
    <w:p w14:paraId="7A8318E8" w14:textId="77777777" w:rsidR="00B125DC" w:rsidRPr="007A5DCB" w:rsidRDefault="00B125DC" w:rsidP="008B2C16">
      <w:pPr>
        <w:spacing w:after="0" w:line="240" w:lineRule="auto"/>
        <w:jc w:val="both"/>
        <w:rPr>
          <w:rFonts w:ascii="Times New Roman" w:eastAsia="Calibri" w:hAnsi="Times New Roman" w:cs="Times New Roman"/>
          <w:kern w:val="0"/>
          <w:sz w:val="24"/>
          <w:szCs w:val="24"/>
          <w14:ligatures w14:val="none"/>
        </w:rPr>
      </w:pPr>
      <w:r w:rsidRPr="00F61062">
        <w:rPr>
          <w:rFonts w:ascii="Times New Roman" w:eastAsia="Calibri" w:hAnsi="Times New Roman" w:cs="Times New Roman"/>
          <w:kern w:val="0"/>
          <w:sz w:val="24"/>
          <w:szCs w:val="24"/>
          <w14:ligatures w14:val="none"/>
        </w:rPr>
        <w:t xml:space="preserve">GIANELLA, Leticia. A historicidade de um conceito: os diversos usos da paisagem ao longo do tempo na ciência geográfica. </w:t>
      </w:r>
      <w:r w:rsidRPr="007A5DCB">
        <w:rPr>
          <w:rFonts w:ascii="Times New Roman" w:eastAsia="Calibri" w:hAnsi="Times New Roman" w:cs="Times New Roman"/>
          <w:i/>
          <w:iCs/>
          <w:kern w:val="0"/>
          <w:sz w:val="24"/>
          <w:szCs w:val="24"/>
          <w14:ligatures w14:val="none"/>
        </w:rPr>
        <w:t>Geo UERJ</w:t>
      </w:r>
      <w:r w:rsidRPr="007A5DCB">
        <w:rPr>
          <w:rFonts w:ascii="Times New Roman" w:eastAsia="Calibri" w:hAnsi="Times New Roman" w:cs="Times New Roman"/>
          <w:kern w:val="0"/>
          <w:sz w:val="24"/>
          <w:szCs w:val="24"/>
          <w14:ligatures w14:val="none"/>
        </w:rPr>
        <w:t>, Rio de Janeiro, v. 2, n. 18, p. 62-86, 2008.</w:t>
      </w:r>
    </w:p>
    <w:p w14:paraId="125F7957" w14:textId="77777777" w:rsidR="00B125DC" w:rsidRPr="007A5DCB"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73BEB839" w14:textId="77777777" w:rsidR="00B125DC" w:rsidRPr="00F62154" w:rsidRDefault="00B125DC" w:rsidP="008B2C16">
      <w:pPr>
        <w:spacing w:after="0" w:line="240" w:lineRule="auto"/>
        <w:jc w:val="both"/>
        <w:rPr>
          <w:rFonts w:ascii="Times New Roman" w:eastAsia="Times New Roman" w:hAnsi="Times New Roman" w:cs="Times New Roman"/>
          <w:kern w:val="0"/>
          <w:sz w:val="24"/>
          <w:szCs w:val="24"/>
          <w:lang w:val="en-US" w:eastAsia="pt-BR"/>
          <w14:ligatures w14:val="none"/>
        </w:rPr>
      </w:pPr>
      <w:r w:rsidRPr="00F62154">
        <w:rPr>
          <w:rFonts w:ascii="Times New Roman" w:eastAsia="Times New Roman" w:hAnsi="Times New Roman" w:cs="Times New Roman"/>
          <w:kern w:val="0"/>
          <w:sz w:val="24"/>
          <w:szCs w:val="24"/>
          <w:lang w:eastAsia="pt-BR"/>
          <w14:ligatures w14:val="none"/>
        </w:rPr>
        <w:t xml:space="preserve">GOMES, P. C. da C. </w:t>
      </w:r>
      <w:r w:rsidRPr="00F62154">
        <w:rPr>
          <w:rFonts w:ascii="Times New Roman" w:eastAsia="Times New Roman" w:hAnsi="Times New Roman" w:cs="Times New Roman"/>
          <w:i/>
          <w:kern w:val="0"/>
          <w:sz w:val="24"/>
          <w:szCs w:val="24"/>
          <w:lang w:eastAsia="pt-BR"/>
          <w14:ligatures w14:val="none"/>
        </w:rPr>
        <w:t>O lugar do olhar</w:t>
      </w:r>
      <w:r w:rsidRPr="00F62154">
        <w:rPr>
          <w:rFonts w:ascii="Times New Roman" w:eastAsia="Times New Roman" w:hAnsi="Times New Roman" w:cs="Times New Roman"/>
          <w:kern w:val="0"/>
          <w:sz w:val="24"/>
          <w:szCs w:val="24"/>
          <w:lang w:eastAsia="pt-BR"/>
          <w14:ligatures w14:val="none"/>
        </w:rPr>
        <w:t xml:space="preserve">: elementos para uma geografia da visibilidade. </w:t>
      </w:r>
      <w:r w:rsidRPr="00F62154">
        <w:rPr>
          <w:rFonts w:ascii="Times New Roman" w:eastAsia="Times New Roman" w:hAnsi="Times New Roman" w:cs="Times New Roman"/>
          <w:kern w:val="0"/>
          <w:sz w:val="24"/>
          <w:szCs w:val="24"/>
          <w:lang w:val="en-US" w:eastAsia="pt-BR"/>
          <w14:ligatures w14:val="none"/>
        </w:rPr>
        <w:t>Rio de Janeiro: Bertrand Brasil, 2013.</w:t>
      </w:r>
    </w:p>
    <w:p w14:paraId="76AE56B1" w14:textId="77777777" w:rsidR="00B125DC" w:rsidRPr="007A5DCB" w:rsidRDefault="00B125DC" w:rsidP="008B2C16">
      <w:pPr>
        <w:spacing w:after="0" w:line="360" w:lineRule="auto"/>
        <w:jc w:val="both"/>
        <w:rPr>
          <w:rFonts w:ascii="Times New Roman" w:eastAsia="Calibri" w:hAnsi="Times New Roman" w:cs="Times New Roman"/>
          <w:kern w:val="0"/>
          <w:sz w:val="24"/>
          <w:szCs w:val="24"/>
          <w:lang w:val="en-US"/>
          <w14:ligatures w14:val="none"/>
        </w:rPr>
      </w:pPr>
    </w:p>
    <w:p w14:paraId="1940CB66" w14:textId="77777777" w:rsidR="00B125DC" w:rsidRDefault="00B125DC" w:rsidP="008B2C16">
      <w:pPr>
        <w:suppressAutoHyphens/>
        <w:spacing w:after="0" w:line="240" w:lineRule="auto"/>
        <w:jc w:val="both"/>
        <w:rPr>
          <w:rFonts w:ascii="Times New Roman" w:eastAsia="Calibri" w:hAnsi="Times New Roman" w:cs="Times New Roman"/>
          <w:kern w:val="0"/>
          <w:sz w:val="24"/>
          <w:szCs w:val="24"/>
          <w:lang w:eastAsia="ar-SA"/>
          <w14:ligatures w14:val="none"/>
        </w:rPr>
      </w:pPr>
      <w:r w:rsidRPr="00F246B2">
        <w:rPr>
          <w:rFonts w:ascii="Times New Roman" w:eastAsia="Calibri" w:hAnsi="Times New Roman" w:cs="Times New Roman"/>
          <w:kern w:val="0"/>
          <w:sz w:val="24"/>
          <w:szCs w:val="24"/>
          <w:lang w:val="en-US" w:eastAsia="ar-SA"/>
          <w14:ligatures w14:val="none"/>
        </w:rPr>
        <w:lastRenderedPageBreak/>
        <w:t xml:space="preserve">GRENERSEN, G.; KEMI, K.; NILSEN, S. Landscapes as documents: the relationship between traditional Sámi terminology and the concepts of document and documentation. </w:t>
      </w:r>
      <w:r w:rsidRPr="007A5DCB">
        <w:rPr>
          <w:rFonts w:ascii="Times New Roman" w:eastAsia="Calibri" w:hAnsi="Times New Roman" w:cs="Times New Roman"/>
          <w:i/>
          <w:kern w:val="0"/>
          <w:sz w:val="24"/>
          <w:szCs w:val="24"/>
          <w:lang w:eastAsia="ar-SA"/>
          <w14:ligatures w14:val="none"/>
        </w:rPr>
        <w:t>Journal of Documentation</w:t>
      </w:r>
      <w:r w:rsidRPr="007A5DCB">
        <w:rPr>
          <w:rFonts w:ascii="Times New Roman" w:eastAsia="Calibri" w:hAnsi="Times New Roman" w:cs="Times New Roman"/>
          <w:kern w:val="0"/>
          <w:sz w:val="24"/>
          <w:szCs w:val="24"/>
          <w:lang w:eastAsia="ar-SA"/>
          <w14:ligatures w14:val="none"/>
        </w:rPr>
        <w:t>, v. 72, n. 6, p. 1181-1196, 2016.</w:t>
      </w:r>
    </w:p>
    <w:p w14:paraId="7360B087" w14:textId="77777777" w:rsidR="008B2C16" w:rsidRPr="007A5DCB" w:rsidRDefault="008B2C16" w:rsidP="008B2C16">
      <w:pPr>
        <w:suppressAutoHyphens/>
        <w:spacing w:after="0" w:line="360" w:lineRule="auto"/>
        <w:jc w:val="both"/>
        <w:rPr>
          <w:rFonts w:ascii="Times New Roman" w:eastAsia="Calibri" w:hAnsi="Times New Roman" w:cs="Times New Roman"/>
          <w:kern w:val="0"/>
          <w:sz w:val="24"/>
          <w:szCs w:val="24"/>
          <w:lang w:eastAsia="ar-SA"/>
          <w14:ligatures w14:val="none"/>
        </w:rPr>
      </w:pPr>
    </w:p>
    <w:p w14:paraId="65C7CEB6" w14:textId="77777777" w:rsidR="00B125DC" w:rsidRDefault="00B125DC" w:rsidP="008B2C16">
      <w:pPr>
        <w:suppressAutoHyphens/>
        <w:spacing w:after="0" w:line="240" w:lineRule="auto"/>
        <w:jc w:val="both"/>
        <w:rPr>
          <w:rFonts w:ascii="Times New Roman" w:eastAsia="Calibri" w:hAnsi="Times New Roman" w:cs="Times New Roman"/>
          <w:kern w:val="0"/>
          <w:sz w:val="24"/>
          <w:szCs w:val="24"/>
          <w14:ligatures w14:val="none"/>
        </w:rPr>
      </w:pPr>
      <w:r w:rsidRPr="00F246B2">
        <w:rPr>
          <w:rFonts w:ascii="Times New Roman" w:eastAsia="Calibri" w:hAnsi="Times New Roman" w:cs="Times New Roman"/>
          <w:kern w:val="0"/>
          <w:sz w:val="24"/>
          <w:szCs w:val="24"/>
          <w14:ligatures w14:val="none"/>
        </w:rPr>
        <w:t xml:space="preserve">GUEDES, R. de M.; MOURA, M. A. O princípio da garantia semântica e os estudos da linguagem. </w:t>
      </w:r>
      <w:r w:rsidRPr="00294B1A">
        <w:rPr>
          <w:rFonts w:ascii="Times New Roman" w:eastAsia="Calibri" w:hAnsi="Times New Roman" w:cs="Times New Roman"/>
          <w:i/>
          <w:iCs/>
          <w:kern w:val="0"/>
          <w:sz w:val="24"/>
          <w:szCs w:val="24"/>
          <w14:ligatures w14:val="none"/>
        </w:rPr>
        <w:t>In</w:t>
      </w:r>
      <w:r w:rsidRPr="00F246B2">
        <w:rPr>
          <w:rFonts w:ascii="Times New Roman" w:eastAsia="Calibri" w:hAnsi="Times New Roman" w:cs="Times New Roman"/>
          <w:kern w:val="0"/>
          <w:sz w:val="24"/>
          <w:szCs w:val="24"/>
          <w14:ligatures w14:val="none"/>
        </w:rPr>
        <w:t xml:space="preserve">: ENCONTRO NACIONAL DE PESQUISA EM PÓS-GRADUAÇÃO EM CIÊNCIA DA INFORMAÇÃO, 17., 2016, Salvador. </w:t>
      </w:r>
      <w:r w:rsidRPr="00F246B2">
        <w:rPr>
          <w:rFonts w:ascii="Times New Roman" w:eastAsia="Calibri" w:hAnsi="Times New Roman" w:cs="Times New Roman"/>
          <w:b/>
          <w:bCs/>
          <w:kern w:val="0"/>
          <w:sz w:val="24"/>
          <w:szCs w:val="24"/>
          <w14:ligatures w14:val="none"/>
        </w:rPr>
        <w:t xml:space="preserve">Anais </w:t>
      </w:r>
      <w:r w:rsidRPr="00F246B2">
        <w:rPr>
          <w:rFonts w:ascii="Times New Roman" w:eastAsia="Calibri" w:hAnsi="Times New Roman" w:cs="Times New Roman"/>
          <w:kern w:val="0"/>
          <w:sz w:val="24"/>
          <w:szCs w:val="24"/>
          <w14:ligatures w14:val="none"/>
        </w:rPr>
        <w:t>[...], Salvador: PPGCI/UFBA, 2016.</w:t>
      </w:r>
    </w:p>
    <w:p w14:paraId="2D99C380" w14:textId="77777777" w:rsidR="008B2C16" w:rsidRPr="00F246B2" w:rsidRDefault="008B2C16" w:rsidP="008B2C16">
      <w:pPr>
        <w:suppressAutoHyphens/>
        <w:spacing w:after="0" w:line="360" w:lineRule="auto"/>
        <w:jc w:val="both"/>
        <w:rPr>
          <w:rFonts w:ascii="Times New Roman" w:eastAsia="Calibri" w:hAnsi="Times New Roman" w:cs="Times New Roman"/>
          <w:kern w:val="0"/>
          <w:sz w:val="24"/>
          <w:szCs w:val="24"/>
          <w14:ligatures w14:val="none"/>
        </w:rPr>
      </w:pPr>
    </w:p>
    <w:p w14:paraId="3D5200F9" w14:textId="77777777" w:rsidR="00B125DC" w:rsidRDefault="00B125DC" w:rsidP="008B2C16">
      <w:pPr>
        <w:suppressAutoHyphens/>
        <w:spacing w:after="0" w:line="240" w:lineRule="auto"/>
        <w:jc w:val="both"/>
        <w:rPr>
          <w:rFonts w:ascii="Times New Roman" w:eastAsia="Calibri" w:hAnsi="Times New Roman" w:cs="Times New Roman"/>
          <w:kern w:val="0"/>
          <w:sz w:val="24"/>
          <w:szCs w:val="24"/>
          <w:lang w:val="it-IT" w:eastAsia="ar-SA"/>
          <w14:ligatures w14:val="none"/>
        </w:rPr>
      </w:pPr>
      <w:r w:rsidRPr="00F246B2">
        <w:rPr>
          <w:rFonts w:ascii="Times New Roman" w:eastAsia="Calibri" w:hAnsi="Times New Roman" w:cs="Times New Roman"/>
          <w:kern w:val="0"/>
          <w:sz w:val="24"/>
          <w:szCs w:val="24"/>
          <w:lang w:val="it-IT" w:eastAsia="ar-SA"/>
          <w14:ligatures w14:val="none"/>
        </w:rPr>
        <w:t xml:space="preserve">GUIMARÃES, J. A. C. Análise de domínio como perspectiva metodológica em organização da informação. </w:t>
      </w:r>
      <w:r w:rsidRPr="00F246B2">
        <w:rPr>
          <w:rFonts w:ascii="Times New Roman" w:eastAsia="Calibri" w:hAnsi="Times New Roman" w:cs="Times New Roman"/>
          <w:i/>
          <w:kern w:val="0"/>
          <w:sz w:val="24"/>
          <w:szCs w:val="24"/>
          <w:lang w:val="it-IT" w:eastAsia="ar-SA"/>
          <w14:ligatures w14:val="none"/>
        </w:rPr>
        <w:t>Ciência da Informação</w:t>
      </w:r>
      <w:r w:rsidRPr="00F246B2">
        <w:rPr>
          <w:rFonts w:ascii="Times New Roman" w:eastAsia="Calibri" w:hAnsi="Times New Roman" w:cs="Times New Roman"/>
          <w:kern w:val="0"/>
          <w:sz w:val="24"/>
          <w:szCs w:val="24"/>
          <w:lang w:val="it-IT" w:eastAsia="ar-SA"/>
          <w14:ligatures w14:val="none"/>
        </w:rPr>
        <w:t>, Brasília, v. 41, n. 1, p. 13-21, jan./abr. 2014.</w:t>
      </w:r>
    </w:p>
    <w:p w14:paraId="424DF148" w14:textId="77777777" w:rsidR="008B2C16" w:rsidRPr="00F246B2" w:rsidRDefault="008B2C16" w:rsidP="008B2C16">
      <w:pPr>
        <w:suppressAutoHyphens/>
        <w:spacing w:after="0" w:line="360" w:lineRule="auto"/>
        <w:jc w:val="both"/>
        <w:rPr>
          <w:rFonts w:ascii="Times New Roman" w:eastAsia="Calibri" w:hAnsi="Times New Roman" w:cs="Times New Roman"/>
          <w:kern w:val="0"/>
          <w:sz w:val="24"/>
          <w:szCs w:val="24"/>
          <w:lang w:val="it-IT" w:eastAsia="ar-SA"/>
          <w14:ligatures w14:val="none"/>
        </w:rPr>
      </w:pPr>
    </w:p>
    <w:p w14:paraId="0DFC16AB"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val="en-US" w:eastAsia="pt-BR"/>
          <w14:ligatures w14:val="none"/>
        </w:rPr>
      </w:pPr>
      <w:r w:rsidRPr="007A5DCB">
        <w:rPr>
          <w:rFonts w:ascii="Times New Roman" w:eastAsia="Times New Roman" w:hAnsi="Times New Roman" w:cs="Times New Roman"/>
          <w:kern w:val="0"/>
          <w:sz w:val="24"/>
          <w:szCs w:val="24"/>
          <w:lang w:eastAsia="pt-BR"/>
          <w14:ligatures w14:val="none"/>
        </w:rPr>
        <w:t>HJORLAND, B. Domain analysis</w:t>
      </w:r>
      <w:r>
        <w:rPr>
          <w:rFonts w:ascii="Times New Roman" w:eastAsia="Times New Roman" w:hAnsi="Times New Roman" w:cs="Times New Roman"/>
          <w:kern w:val="0"/>
          <w:sz w:val="24"/>
          <w:szCs w:val="24"/>
          <w:lang w:eastAsia="pt-BR"/>
          <w14:ligatures w14:val="none"/>
        </w:rPr>
        <w:t>.</w:t>
      </w:r>
      <w:r w:rsidRPr="007A5DCB">
        <w:rPr>
          <w:rFonts w:ascii="Times New Roman" w:eastAsia="Times New Roman" w:hAnsi="Times New Roman" w:cs="Times New Roman"/>
          <w:kern w:val="0"/>
          <w:sz w:val="24"/>
          <w:szCs w:val="24"/>
          <w:lang w:eastAsia="pt-BR"/>
          <w14:ligatures w14:val="none"/>
        </w:rPr>
        <w:t xml:space="preserve"> </w:t>
      </w:r>
      <w:r w:rsidRPr="00F246B2">
        <w:rPr>
          <w:rFonts w:ascii="Times New Roman" w:eastAsia="Times New Roman" w:hAnsi="Times New Roman" w:cs="Times New Roman"/>
          <w:i/>
          <w:kern w:val="0"/>
          <w:sz w:val="24"/>
          <w:szCs w:val="24"/>
          <w:lang w:val="en-US" w:eastAsia="pt-BR"/>
          <w14:ligatures w14:val="none"/>
        </w:rPr>
        <w:t>Knowledge Organization</w:t>
      </w:r>
      <w:r w:rsidRPr="00F246B2">
        <w:rPr>
          <w:rFonts w:ascii="Times New Roman" w:eastAsia="Times New Roman" w:hAnsi="Times New Roman" w:cs="Times New Roman"/>
          <w:kern w:val="0"/>
          <w:sz w:val="24"/>
          <w:szCs w:val="24"/>
          <w:lang w:val="en-US" w:eastAsia="pt-BR"/>
          <w14:ligatures w14:val="none"/>
        </w:rPr>
        <w:t xml:space="preserve">, v. 44, n. 6, 2017. </w:t>
      </w:r>
      <w:r w:rsidRPr="007A5DCB">
        <w:rPr>
          <w:rFonts w:ascii="Times New Roman" w:eastAsia="Times New Roman" w:hAnsi="Times New Roman" w:cs="Times New Roman"/>
          <w:kern w:val="0"/>
          <w:sz w:val="24"/>
          <w:szCs w:val="24"/>
          <w:lang w:val="en-US" w:eastAsia="pt-BR"/>
          <w14:ligatures w14:val="none"/>
        </w:rPr>
        <w:t xml:space="preserve">Disponível em: </w:t>
      </w:r>
      <w:hyperlink r:id="rId36" w:history="1">
        <w:r w:rsidRPr="007A5DCB">
          <w:rPr>
            <w:rFonts w:ascii="Times New Roman" w:eastAsia="Calibri" w:hAnsi="Times New Roman" w:cs="Times New Roman"/>
            <w:kern w:val="0"/>
            <w:sz w:val="24"/>
            <w:szCs w:val="24"/>
            <w:lang w:val="en-US"/>
            <w14:ligatures w14:val="none"/>
          </w:rPr>
          <w:t>https://www.nomos-elibrary.de/10.5771/0943-7444-2017-6/ko-knowledge-organization-jahrgang-44-2017-heft-6</w:t>
        </w:r>
      </w:hyperlink>
      <w:r w:rsidRPr="007A5DCB">
        <w:rPr>
          <w:rFonts w:ascii="Calibri" w:eastAsia="Calibri" w:hAnsi="Calibri" w:cs="Times New Roman"/>
          <w:kern w:val="0"/>
          <w:lang w:val="en-US"/>
          <w14:ligatures w14:val="none"/>
        </w:rPr>
        <w:t xml:space="preserve">. </w:t>
      </w:r>
      <w:r w:rsidRPr="00F246B2">
        <w:rPr>
          <w:rFonts w:ascii="Times New Roman" w:eastAsia="Calibri" w:hAnsi="Times New Roman" w:cs="Times New Roman"/>
          <w:kern w:val="0"/>
          <w:sz w:val="24"/>
          <w:szCs w:val="24"/>
          <w:lang w:val="en-US"/>
          <w14:ligatures w14:val="none"/>
        </w:rPr>
        <w:t xml:space="preserve">Acesso em: jul. 2019. </w:t>
      </w:r>
    </w:p>
    <w:p w14:paraId="1AFE592B" w14:textId="77777777" w:rsidR="00B125DC" w:rsidRPr="00F246B2" w:rsidRDefault="00B125DC" w:rsidP="008B2C16">
      <w:pPr>
        <w:spacing w:after="0" w:line="360" w:lineRule="auto"/>
        <w:jc w:val="both"/>
        <w:rPr>
          <w:rFonts w:ascii="Times New Roman" w:eastAsia="Times New Roman" w:hAnsi="Times New Roman" w:cs="Times New Roman"/>
          <w:kern w:val="0"/>
          <w:sz w:val="24"/>
          <w:szCs w:val="24"/>
          <w:lang w:val="en-US" w:eastAsia="pt-BR"/>
          <w14:ligatures w14:val="none"/>
        </w:rPr>
      </w:pPr>
    </w:p>
    <w:p w14:paraId="2AAF7F32"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val="en-US" w:eastAsia="pt-BR"/>
          <w14:ligatures w14:val="none"/>
        </w:rPr>
      </w:pPr>
      <w:r w:rsidRPr="00F246B2">
        <w:rPr>
          <w:rFonts w:ascii="Times New Roman" w:eastAsia="Times New Roman" w:hAnsi="Times New Roman" w:cs="Times New Roman"/>
          <w:kern w:val="0"/>
          <w:sz w:val="24"/>
          <w:szCs w:val="24"/>
          <w:lang w:val="en-US" w:eastAsia="pt-BR"/>
          <w14:ligatures w14:val="none"/>
        </w:rPr>
        <w:t xml:space="preserve">HJORLAND, B. Domain analysis in information science. </w:t>
      </w:r>
      <w:r w:rsidRPr="00294B1A">
        <w:rPr>
          <w:rFonts w:ascii="Times New Roman" w:eastAsia="Times New Roman" w:hAnsi="Times New Roman" w:cs="Times New Roman"/>
          <w:i/>
          <w:iCs/>
          <w:kern w:val="0"/>
          <w:sz w:val="24"/>
          <w:szCs w:val="24"/>
          <w:lang w:val="en-US" w:eastAsia="pt-BR"/>
          <w14:ligatures w14:val="none"/>
        </w:rPr>
        <w:t>In</w:t>
      </w:r>
      <w:r w:rsidRPr="00F246B2">
        <w:rPr>
          <w:rFonts w:ascii="Times New Roman" w:eastAsia="Times New Roman" w:hAnsi="Times New Roman" w:cs="Times New Roman"/>
          <w:kern w:val="0"/>
          <w:sz w:val="24"/>
          <w:szCs w:val="24"/>
          <w:lang w:val="en-US" w:eastAsia="pt-BR"/>
          <w14:ligatures w14:val="none"/>
        </w:rPr>
        <w:t xml:space="preserve">: BATES, M. J.; MAACK, M. N. (Ed.). </w:t>
      </w:r>
      <w:r w:rsidRPr="00F246B2">
        <w:rPr>
          <w:rFonts w:ascii="Times New Roman" w:eastAsia="Times New Roman" w:hAnsi="Times New Roman" w:cs="Times New Roman"/>
          <w:i/>
          <w:kern w:val="0"/>
          <w:sz w:val="24"/>
          <w:szCs w:val="24"/>
          <w:lang w:val="en-US" w:eastAsia="pt-BR"/>
          <w14:ligatures w14:val="none"/>
        </w:rPr>
        <w:t>Encyclopedia of library and information sciences</w:t>
      </w:r>
      <w:r w:rsidRPr="00F246B2">
        <w:rPr>
          <w:rFonts w:ascii="Times New Roman" w:eastAsia="Times New Roman" w:hAnsi="Times New Roman" w:cs="Times New Roman"/>
          <w:kern w:val="0"/>
          <w:sz w:val="24"/>
          <w:szCs w:val="24"/>
          <w:lang w:val="en-US" w:eastAsia="pt-BR"/>
          <w14:ligatures w14:val="none"/>
        </w:rPr>
        <w:t>. 3</w:t>
      </w:r>
      <w:r w:rsidRPr="00F246B2">
        <w:rPr>
          <w:rFonts w:ascii="Times New Roman" w:eastAsia="Times New Roman" w:hAnsi="Times New Roman" w:cs="Times New Roman"/>
          <w:kern w:val="0"/>
          <w:sz w:val="24"/>
          <w:szCs w:val="24"/>
          <w:vertAlign w:val="superscript"/>
          <w:lang w:val="en-US" w:eastAsia="pt-BR"/>
          <w14:ligatures w14:val="none"/>
        </w:rPr>
        <w:t>rd</w:t>
      </w:r>
      <w:r w:rsidRPr="00F246B2">
        <w:rPr>
          <w:rFonts w:ascii="Times New Roman" w:eastAsia="Times New Roman" w:hAnsi="Times New Roman" w:cs="Times New Roman"/>
          <w:kern w:val="0"/>
          <w:sz w:val="24"/>
          <w:szCs w:val="24"/>
          <w:lang w:val="en-US" w:eastAsia="pt-BR"/>
          <w14:ligatures w14:val="none"/>
        </w:rPr>
        <w:t xml:space="preserve"> ed. Boca Raton: Taylor &amp; Francis, 2010. </w:t>
      </w:r>
    </w:p>
    <w:p w14:paraId="29AF59F6"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val="en-US" w:eastAsia="pt-BR"/>
          <w14:ligatures w14:val="none"/>
        </w:rPr>
      </w:pPr>
    </w:p>
    <w:p w14:paraId="471B0011" w14:textId="77777777" w:rsidR="00B125DC" w:rsidRPr="00F246B2" w:rsidRDefault="00B125DC" w:rsidP="008B2C16">
      <w:pPr>
        <w:autoSpaceDE w:val="0"/>
        <w:autoSpaceDN w:val="0"/>
        <w:adjustRightInd w:val="0"/>
        <w:spacing w:after="0" w:line="240" w:lineRule="auto"/>
        <w:jc w:val="both"/>
        <w:rPr>
          <w:rFonts w:ascii="Times New Roman" w:eastAsia="Calibri" w:hAnsi="Times New Roman" w:cs="Times New Roman"/>
          <w:kern w:val="0"/>
          <w:sz w:val="24"/>
          <w:szCs w:val="24"/>
          <w:lang w:val="en-US" w:eastAsia="pt-BR"/>
          <w14:ligatures w14:val="none"/>
        </w:rPr>
      </w:pPr>
      <w:r w:rsidRPr="00F246B2">
        <w:rPr>
          <w:rFonts w:ascii="Times New Roman" w:eastAsia="Calibri" w:hAnsi="Times New Roman" w:cs="Times New Roman"/>
          <w:kern w:val="0"/>
          <w:sz w:val="24"/>
          <w:szCs w:val="24"/>
          <w:lang w:val="en-US" w:eastAsia="pt-BR"/>
          <w14:ligatures w14:val="none"/>
        </w:rPr>
        <w:t>HJORLAND, B.; ALBRECHTSEN, H. Toward a new horizon in information science: domain analysis</w:t>
      </w:r>
      <w:r w:rsidRPr="00F246B2">
        <w:rPr>
          <w:rFonts w:ascii="Times New Roman" w:eastAsia="Calibri" w:hAnsi="Times New Roman" w:cs="Times New Roman"/>
          <w:i/>
          <w:iCs/>
          <w:kern w:val="0"/>
          <w:sz w:val="24"/>
          <w:szCs w:val="24"/>
          <w:lang w:val="en-US" w:eastAsia="pt-BR"/>
          <w14:ligatures w14:val="none"/>
        </w:rPr>
        <w:t xml:space="preserve">. Journal of the American Society for Information Science, </w:t>
      </w:r>
      <w:r w:rsidRPr="00F246B2">
        <w:rPr>
          <w:rFonts w:ascii="Times New Roman" w:eastAsia="Calibri" w:hAnsi="Times New Roman" w:cs="Times New Roman"/>
          <w:iCs/>
          <w:kern w:val="0"/>
          <w:sz w:val="24"/>
          <w:szCs w:val="24"/>
          <w:lang w:val="en-US" w:eastAsia="pt-BR"/>
          <w14:ligatures w14:val="none"/>
        </w:rPr>
        <w:t>v.</w:t>
      </w:r>
      <w:r w:rsidRPr="00F246B2">
        <w:rPr>
          <w:rFonts w:ascii="Times New Roman" w:eastAsia="Calibri" w:hAnsi="Times New Roman" w:cs="Times New Roman"/>
          <w:kern w:val="0"/>
          <w:sz w:val="24"/>
          <w:szCs w:val="24"/>
          <w:lang w:val="en-US" w:eastAsia="pt-BR"/>
          <w14:ligatures w14:val="none"/>
        </w:rPr>
        <w:t>46, n. 6, p. 400-425, 1995.</w:t>
      </w:r>
    </w:p>
    <w:p w14:paraId="71DE73E0" w14:textId="77777777" w:rsidR="00B125DC" w:rsidRPr="007A5DCB" w:rsidRDefault="00B125DC" w:rsidP="008B2C16">
      <w:pPr>
        <w:spacing w:after="0" w:line="360" w:lineRule="auto"/>
        <w:jc w:val="both"/>
        <w:rPr>
          <w:rFonts w:ascii="Times New Roman" w:eastAsia="Calibri" w:hAnsi="Times New Roman" w:cs="Times New Roman"/>
          <w:kern w:val="0"/>
          <w:sz w:val="24"/>
          <w:szCs w:val="24"/>
          <w:lang w:val="en-US"/>
          <w14:ligatures w14:val="none"/>
        </w:rPr>
      </w:pPr>
    </w:p>
    <w:p w14:paraId="7E104132" w14:textId="77777777" w:rsidR="00B125DC" w:rsidRDefault="00B125DC" w:rsidP="008B2C16">
      <w:pPr>
        <w:spacing w:after="0"/>
        <w:jc w:val="both"/>
        <w:rPr>
          <w:rFonts w:ascii="Times New Roman" w:eastAsia="Calibri" w:hAnsi="Times New Roman" w:cs="Times New Roman"/>
          <w:kern w:val="0"/>
          <w:sz w:val="24"/>
          <w:szCs w:val="24"/>
          <w:lang w:val="en-US"/>
          <w14:ligatures w14:val="none"/>
        </w:rPr>
      </w:pPr>
      <w:r w:rsidRPr="00F246B2">
        <w:rPr>
          <w:rFonts w:ascii="Times New Roman" w:eastAsia="Calibri" w:hAnsi="Times New Roman" w:cs="Times New Roman"/>
          <w:kern w:val="0"/>
          <w:sz w:val="24"/>
          <w:szCs w:val="24"/>
          <w:lang w:val="en-US"/>
          <w14:ligatures w14:val="none"/>
        </w:rPr>
        <w:t>ISO</w:t>
      </w:r>
      <w:r w:rsidRPr="00F246B2">
        <w:rPr>
          <w:rFonts w:ascii="Times New Roman" w:eastAsia="Calibri" w:hAnsi="Times New Roman" w:cs="Times New Roman"/>
          <w:i/>
          <w:iCs/>
          <w:kern w:val="0"/>
          <w:sz w:val="24"/>
          <w:szCs w:val="24"/>
          <w:lang w:val="en-US"/>
          <w14:ligatures w14:val="none"/>
        </w:rPr>
        <w:t xml:space="preserve"> </w:t>
      </w:r>
      <w:r w:rsidRPr="00F246B2">
        <w:rPr>
          <w:rFonts w:ascii="Times New Roman" w:eastAsia="Calibri" w:hAnsi="Times New Roman" w:cs="Times New Roman"/>
          <w:kern w:val="0"/>
          <w:sz w:val="24"/>
          <w:szCs w:val="24"/>
          <w:lang w:val="en-US"/>
          <w14:ligatures w14:val="none"/>
        </w:rPr>
        <w:t xml:space="preserve">704: terminology work: principles and methods. 2nd. ed. Geneva: International Organization for Standardization, 2000. </w:t>
      </w:r>
    </w:p>
    <w:p w14:paraId="05C4D2D9" w14:textId="77777777" w:rsidR="008B2C16" w:rsidRPr="00F246B2" w:rsidRDefault="008B2C16" w:rsidP="008B2C16">
      <w:pPr>
        <w:spacing w:after="0" w:line="360" w:lineRule="auto"/>
        <w:jc w:val="both"/>
        <w:rPr>
          <w:rFonts w:ascii="Times New Roman" w:eastAsia="Calibri" w:hAnsi="Times New Roman" w:cs="Times New Roman"/>
          <w:kern w:val="0"/>
          <w:sz w:val="24"/>
          <w:szCs w:val="24"/>
          <w:lang w:val="en-US"/>
          <w14:ligatures w14:val="none"/>
        </w:rPr>
      </w:pPr>
    </w:p>
    <w:p w14:paraId="50A21FDD" w14:textId="77777777" w:rsidR="00B125DC" w:rsidRPr="007A5DCB" w:rsidRDefault="00B125DC" w:rsidP="008B2C16">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F246B2">
        <w:rPr>
          <w:rFonts w:ascii="Times New Roman" w:eastAsia="Calibri" w:hAnsi="Times New Roman" w:cs="Times New Roman"/>
          <w:kern w:val="0"/>
          <w:sz w:val="24"/>
          <w:szCs w:val="24"/>
          <w:lang w:val="en-US"/>
          <w14:ligatures w14:val="none"/>
        </w:rPr>
        <w:t xml:space="preserve">KONKOLY-GYURÓ, E. Conceptualisation and perception of the landscape and its changes in a transboundary area: a case study of the southern german-french borderland. </w:t>
      </w:r>
      <w:r w:rsidRPr="00294B1A">
        <w:rPr>
          <w:rFonts w:ascii="Times New Roman" w:eastAsia="Calibri" w:hAnsi="Times New Roman" w:cs="Times New Roman"/>
          <w:i/>
          <w:iCs/>
          <w:kern w:val="0"/>
          <w:sz w:val="24"/>
          <w:szCs w:val="24"/>
          <w14:ligatures w14:val="none"/>
        </w:rPr>
        <w:t>Land Use Policy</w:t>
      </w:r>
      <w:r w:rsidRPr="007A5DCB">
        <w:rPr>
          <w:rFonts w:ascii="Times New Roman" w:eastAsia="Calibri" w:hAnsi="Times New Roman" w:cs="Times New Roman"/>
          <w:kern w:val="0"/>
          <w:sz w:val="24"/>
          <w:szCs w:val="24"/>
          <w14:ligatures w14:val="none"/>
        </w:rPr>
        <w:t>, v. 79, p. 556-574, Dec. 2018.</w:t>
      </w:r>
    </w:p>
    <w:p w14:paraId="76AD2F22" w14:textId="77777777" w:rsidR="00B125DC" w:rsidRDefault="00B125DC" w:rsidP="008B2C16">
      <w:pPr>
        <w:spacing w:after="0" w:line="360" w:lineRule="auto"/>
        <w:jc w:val="both"/>
        <w:rPr>
          <w:rFonts w:ascii="Times New Roman" w:eastAsia="Calibri" w:hAnsi="Times New Roman" w:cs="Times New Roman"/>
          <w:kern w:val="0"/>
          <w:sz w:val="24"/>
          <w:szCs w:val="24"/>
          <w14:ligatures w14:val="none"/>
        </w:rPr>
      </w:pPr>
    </w:p>
    <w:p w14:paraId="6CF620FD" w14:textId="77777777" w:rsidR="00B125DC" w:rsidRPr="00F246B2" w:rsidRDefault="00B125DC" w:rsidP="008B2C16">
      <w:pPr>
        <w:spacing w:after="0" w:line="240" w:lineRule="auto"/>
        <w:jc w:val="both"/>
        <w:rPr>
          <w:rFonts w:ascii="Times New Roman" w:eastAsia="Calibri" w:hAnsi="Times New Roman" w:cs="Times New Roman"/>
          <w:kern w:val="0"/>
          <w:sz w:val="24"/>
          <w:szCs w:val="24"/>
          <w14:ligatures w14:val="none"/>
        </w:rPr>
      </w:pPr>
      <w:r w:rsidRPr="00F246B2">
        <w:rPr>
          <w:rFonts w:ascii="Times New Roman" w:eastAsia="Calibri" w:hAnsi="Times New Roman" w:cs="Times New Roman"/>
          <w:kern w:val="0"/>
          <w:sz w:val="24"/>
          <w:szCs w:val="24"/>
          <w14:ligatures w14:val="none"/>
        </w:rPr>
        <w:t xml:space="preserve">LEMA, P. B. Representações espaciais em geografia: da paisagem como objetivo, às lógicas espaciais e modoficações do território. </w:t>
      </w:r>
      <w:r w:rsidRPr="00F246B2">
        <w:rPr>
          <w:rFonts w:ascii="Times New Roman" w:eastAsia="Calibri" w:hAnsi="Times New Roman" w:cs="Times New Roman"/>
          <w:i/>
          <w:iCs/>
          <w:kern w:val="0"/>
          <w:sz w:val="24"/>
          <w:szCs w:val="24"/>
          <w14:ligatures w14:val="none"/>
        </w:rPr>
        <w:t>Revista da Faculdade de Ciências Sociais e Humanas</w:t>
      </w:r>
      <w:r w:rsidRPr="00F246B2">
        <w:rPr>
          <w:rFonts w:ascii="Times New Roman" w:eastAsia="Calibri" w:hAnsi="Times New Roman" w:cs="Times New Roman"/>
          <w:kern w:val="0"/>
          <w:sz w:val="24"/>
          <w:szCs w:val="24"/>
          <w14:ligatures w14:val="none"/>
        </w:rPr>
        <w:t>, Lisboa, n. 10, p. 97-119, 1997.</w:t>
      </w:r>
    </w:p>
    <w:p w14:paraId="395C6AA5" w14:textId="77777777" w:rsidR="00B125DC" w:rsidRPr="00F246B2" w:rsidRDefault="00B125DC" w:rsidP="008B2C16">
      <w:pPr>
        <w:spacing w:after="0" w:line="360" w:lineRule="auto"/>
        <w:jc w:val="both"/>
        <w:rPr>
          <w:rFonts w:ascii="Times New Roman" w:eastAsia="Calibri" w:hAnsi="Times New Roman" w:cs="Times New Roman"/>
          <w:kern w:val="0"/>
          <w:sz w:val="24"/>
          <w:szCs w:val="24"/>
          <w14:ligatures w14:val="none"/>
        </w:rPr>
      </w:pPr>
    </w:p>
    <w:p w14:paraId="2974029A" w14:textId="77777777" w:rsidR="00B125DC" w:rsidRPr="00F246B2" w:rsidRDefault="00B125DC" w:rsidP="008B2C16">
      <w:pPr>
        <w:spacing w:after="0" w:line="240" w:lineRule="auto"/>
        <w:jc w:val="both"/>
        <w:rPr>
          <w:rFonts w:ascii="Times New Roman" w:eastAsia="Calibri" w:hAnsi="Times New Roman" w:cs="Times New Roman"/>
          <w:kern w:val="0"/>
          <w:sz w:val="24"/>
          <w:szCs w:val="24"/>
          <w14:ligatures w14:val="none"/>
        </w:rPr>
      </w:pPr>
      <w:r w:rsidRPr="00F246B2">
        <w:rPr>
          <w:rFonts w:ascii="Times New Roman" w:eastAsia="Calibri" w:hAnsi="Times New Roman" w:cs="Times New Roman"/>
          <w:kern w:val="0"/>
          <w:sz w:val="24"/>
          <w:szCs w:val="24"/>
          <w:lang w:val="en-US"/>
          <w14:ligatures w14:val="none"/>
        </w:rPr>
        <w:t xml:space="preserve">LEPCZYK, C. A.; LORTIE, C. J.; ANDERSON, L. J. An ontology for landscapes. </w:t>
      </w:r>
      <w:r w:rsidRPr="00294B1A">
        <w:rPr>
          <w:rFonts w:ascii="Times New Roman" w:eastAsia="Calibri" w:hAnsi="Times New Roman" w:cs="Times New Roman"/>
          <w:i/>
          <w:iCs/>
          <w:kern w:val="0"/>
          <w:sz w:val="24"/>
          <w:szCs w:val="24"/>
          <w14:ligatures w14:val="none"/>
        </w:rPr>
        <w:t>Ecological Complexity</w:t>
      </w:r>
      <w:r w:rsidRPr="00F246B2">
        <w:rPr>
          <w:rFonts w:ascii="Times New Roman" w:eastAsia="Calibri" w:hAnsi="Times New Roman" w:cs="Times New Roman"/>
          <w:kern w:val="0"/>
          <w:sz w:val="24"/>
          <w:szCs w:val="24"/>
          <w14:ligatures w14:val="none"/>
        </w:rPr>
        <w:t>, v. 5, p. 272-279, 2008.</w:t>
      </w:r>
    </w:p>
    <w:p w14:paraId="62948C6F" w14:textId="77777777" w:rsidR="00B125DC" w:rsidRPr="00F246B2" w:rsidRDefault="00B125DC" w:rsidP="008B2C16">
      <w:pPr>
        <w:spacing w:after="0" w:line="360" w:lineRule="auto"/>
        <w:jc w:val="both"/>
        <w:rPr>
          <w:rFonts w:ascii="Times New Roman" w:eastAsia="Calibri" w:hAnsi="Times New Roman" w:cs="Times New Roman"/>
          <w:kern w:val="0"/>
          <w:sz w:val="24"/>
          <w:szCs w:val="24"/>
          <w14:ligatures w14:val="none"/>
        </w:rPr>
      </w:pPr>
    </w:p>
    <w:p w14:paraId="77DC6AE4" w14:textId="77777777" w:rsidR="00B125DC" w:rsidRPr="00F246B2" w:rsidRDefault="00B125DC" w:rsidP="008B2C16">
      <w:pPr>
        <w:autoSpaceDE w:val="0"/>
        <w:autoSpaceDN w:val="0"/>
        <w:adjustRightInd w:val="0"/>
        <w:spacing w:after="0" w:line="240" w:lineRule="auto"/>
        <w:jc w:val="both"/>
        <w:rPr>
          <w:rFonts w:ascii="Times New Roman" w:eastAsia="Times New Roman" w:hAnsi="Times New Roman" w:cs="Times New Roman"/>
          <w:kern w:val="0"/>
          <w:sz w:val="24"/>
          <w:szCs w:val="24"/>
          <w:lang w:eastAsia="pt-BR"/>
          <w14:ligatures w14:val="none"/>
        </w:rPr>
      </w:pPr>
      <w:r w:rsidRPr="00F246B2">
        <w:rPr>
          <w:rFonts w:ascii="Times New Roman" w:eastAsia="Times New Roman" w:hAnsi="Times New Roman" w:cs="Times New Roman"/>
          <w:kern w:val="0"/>
          <w:sz w:val="24"/>
          <w:szCs w:val="24"/>
          <w:lang w:eastAsia="pt-BR"/>
          <w14:ligatures w14:val="none"/>
        </w:rPr>
        <w:t xml:space="preserve">LUCHIARI, M. T. D. A (re)significação da paisagem no período contemporâneo. In: CORRÊA, R. L.; ROSENDAHL, Z. (Org.). </w:t>
      </w:r>
      <w:r w:rsidRPr="00F246B2">
        <w:rPr>
          <w:rFonts w:ascii="Times New Roman" w:eastAsia="Times New Roman" w:hAnsi="Times New Roman" w:cs="Times New Roman"/>
          <w:i/>
          <w:kern w:val="0"/>
          <w:sz w:val="24"/>
          <w:szCs w:val="24"/>
          <w:lang w:eastAsia="pt-BR"/>
          <w14:ligatures w14:val="none"/>
        </w:rPr>
        <w:t>Paisagem, imaginário e espaço</w:t>
      </w:r>
      <w:r w:rsidRPr="00F246B2">
        <w:rPr>
          <w:rFonts w:ascii="Times New Roman" w:eastAsia="Times New Roman" w:hAnsi="Times New Roman" w:cs="Times New Roman"/>
          <w:kern w:val="0"/>
          <w:sz w:val="24"/>
          <w:szCs w:val="24"/>
          <w:lang w:eastAsia="pt-BR"/>
          <w14:ligatures w14:val="none"/>
        </w:rPr>
        <w:t>. Rio de Janeiro: Ed. UERJ, 2001.</w:t>
      </w:r>
    </w:p>
    <w:p w14:paraId="69063084" w14:textId="77777777" w:rsidR="00B125DC" w:rsidRDefault="00B125DC" w:rsidP="008B2C16">
      <w:pPr>
        <w:spacing w:after="0" w:line="360" w:lineRule="auto"/>
        <w:jc w:val="both"/>
        <w:rPr>
          <w:rFonts w:ascii="Times New Roman" w:eastAsia="Calibri" w:hAnsi="Times New Roman" w:cs="Times New Roman"/>
          <w:kern w:val="0"/>
          <w:sz w:val="24"/>
          <w:szCs w:val="24"/>
          <w14:ligatures w14:val="none"/>
        </w:rPr>
      </w:pPr>
    </w:p>
    <w:p w14:paraId="2D80171D"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F246B2">
        <w:rPr>
          <w:rFonts w:ascii="Times New Roman" w:eastAsia="Times New Roman" w:hAnsi="Times New Roman" w:cs="Times New Roman"/>
          <w:kern w:val="0"/>
          <w:sz w:val="24"/>
          <w:szCs w:val="24"/>
          <w:lang w:eastAsia="pt-BR"/>
          <w14:ligatures w14:val="none"/>
        </w:rPr>
        <w:t xml:space="preserve">ORGANIZAÇÃO DAS NAÇÕES UNIDAS PARA ALIMENTAÇÃO E AGRICULTURA. </w:t>
      </w:r>
      <w:r w:rsidRPr="00F246B2">
        <w:rPr>
          <w:rFonts w:ascii="Times New Roman" w:eastAsia="Times New Roman" w:hAnsi="Times New Roman" w:cs="Times New Roman"/>
          <w:i/>
          <w:kern w:val="0"/>
          <w:sz w:val="24"/>
          <w:szCs w:val="24"/>
          <w:lang w:eastAsia="pt-BR"/>
          <w14:ligatures w14:val="none"/>
        </w:rPr>
        <w:t>Banco de dados FAOLEX</w:t>
      </w:r>
      <w:r w:rsidRPr="00F246B2">
        <w:rPr>
          <w:rFonts w:ascii="Times New Roman" w:eastAsia="Times New Roman" w:hAnsi="Times New Roman" w:cs="Times New Roman"/>
          <w:kern w:val="0"/>
          <w:sz w:val="24"/>
          <w:szCs w:val="24"/>
          <w:lang w:eastAsia="pt-BR"/>
          <w14:ligatures w14:val="none"/>
        </w:rPr>
        <w:t xml:space="preserve">. Roma: FAO, [2019]. Disponível em: </w:t>
      </w:r>
      <w:hyperlink r:id="rId37" w:history="1">
        <w:r w:rsidRPr="00F246B2">
          <w:rPr>
            <w:rFonts w:ascii="Times New Roman" w:eastAsia="Calibri" w:hAnsi="Times New Roman" w:cs="Times New Roman"/>
            <w:kern w:val="0"/>
            <w:sz w:val="24"/>
            <w:szCs w:val="24"/>
            <w14:ligatures w14:val="none"/>
          </w:rPr>
          <w:t>http://www.fao.org/faolex/background/es/</w:t>
        </w:r>
      </w:hyperlink>
      <w:r w:rsidRPr="00F246B2">
        <w:rPr>
          <w:rFonts w:ascii="Times New Roman" w:eastAsia="Calibri" w:hAnsi="Times New Roman" w:cs="Times New Roman"/>
          <w:kern w:val="0"/>
          <w:sz w:val="24"/>
          <w:szCs w:val="24"/>
          <w14:ligatures w14:val="none"/>
        </w:rPr>
        <w:t>. Acesso em: jun. 2019.</w:t>
      </w:r>
    </w:p>
    <w:p w14:paraId="2603813D" w14:textId="77777777" w:rsidR="00B125DC" w:rsidRDefault="00B125DC" w:rsidP="008B2C16">
      <w:pPr>
        <w:spacing w:after="0" w:line="240" w:lineRule="auto"/>
        <w:jc w:val="both"/>
        <w:rPr>
          <w:rFonts w:ascii="Times New Roman" w:eastAsia="Calibri" w:hAnsi="Times New Roman" w:cs="Times New Roman"/>
          <w:kern w:val="0"/>
          <w:sz w:val="24"/>
          <w:szCs w:val="24"/>
          <w14:ligatures w14:val="none"/>
        </w:rPr>
      </w:pPr>
    </w:p>
    <w:p w14:paraId="6F81C27F"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bookmarkStart w:id="93" w:name="_Hlk57395722"/>
      <w:r w:rsidRPr="00F246B2">
        <w:rPr>
          <w:rFonts w:ascii="Times New Roman" w:eastAsia="Times New Roman" w:hAnsi="Times New Roman" w:cs="Times New Roman"/>
          <w:kern w:val="0"/>
          <w:sz w:val="24"/>
          <w:szCs w:val="24"/>
          <w:lang w:eastAsia="pt-BR"/>
          <w14:ligatures w14:val="none"/>
        </w:rPr>
        <w:lastRenderedPageBreak/>
        <w:t>ORGANIZAÇÃO DAS NAÇÕES UNIDAS PARA ALIMENTAÇÃO E AGRICULTURA</w:t>
      </w:r>
      <w:bookmarkEnd w:id="93"/>
      <w:r w:rsidRPr="00F246B2">
        <w:rPr>
          <w:rFonts w:ascii="Times New Roman" w:eastAsia="Times New Roman" w:hAnsi="Times New Roman" w:cs="Times New Roman"/>
          <w:kern w:val="0"/>
          <w:sz w:val="24"/>
          <w:szCs w:val="24"/>
          <w:lang w:eastAsia="pt-BR"/>
          <w14:ligatures w14:val="none"/>
        </w:rPr>
        <w:t xml:space="preserve">. </w:t>
      </w:r>
      <w:r w:rsidRPr="00F246B2">
        <w:rPr>
          <w:rFonts w:ascii="Times New Roman" w:eastAsia="Times New Roman" w:hAnsi="Times New Roman" w:cs="Times New Roman"/>
          <w:i/>
          <w:kern w:val="0"/>
          <w:sz w:val="24"/>
          <w:szCs w:val="24"/>
          <w:lang w:eastAsia="pt-BR"/>
          <w14:ligatures w14:val="none"/>
        </w:rPr>
        <w:t>Programa del censo agropecuário mundial 2010</w:t>
      </w:r>
      <w:r w:rsidRPr="00F246B2">
        <w:rPr>
          <w:rFonts w:ascii="Times New Roman" w:eastAsia="Times New Roman" w:hAnsi="Times New Roman" w:cs="Times New Roman"/>
          <w:kern w:val="0"/>
          <w:sz w:val="24"/>
          <w:szCs w:val="24"/>
          <w:lang w:eastAsia="pt-BR"/>
          <w14:ligatures w14:val="none"/>
        </w:rPr>
        <w:t>. Roma: FAO, 2007.</w:t>
      </w:r>
    </w:p>
    <w:p w14:paraId="600F6AF6" w14:textId="77777777" w:rsidR="00B125DC" w:rsidRPr="00F246B2"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4A873DB4"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F246B2">
        <w:rPr>
          <w:rFonts w:ascii="Times New Roman" w:eastAsia="Times New Roman" w:hAnsi="Times New Roman" w:cs="Times New Roman"/>
          <w:kern w:val="0"/>
          <w:sz w:val="24"/>
          <w:szCs w:val="24"/>
          <w:lang w:eastAsia="pt-BR"/>
          <w14:ligatures w14:val="none"/>
        </w:rPr>
        <w:t xml:space="preserve">SANTOS, M. </w:t>
      </w:r>
      <w:r w:rsidRPr="00F246B2">
        <w:rPr>
          <w:rFonts w:ascii="Times New Roman" w:eastAsia="Times New Roman" w:hAnsi="Times New Roman" w:cs="Times New Roman"/>
          <w:i/>
          <w:kern w:val="0"/>
          <w:sz w:val="24"/>
          <w:szCs w:val="24"/>
          <w:lang w:eastAsia="pt-BR"/>
          <w14:ligatures w14:val="none"/>
        </w:rPr>
        <w:t>Técnica, espaço, tempo</w:t>
      </w:r>
      <w:r w:rsidRPr="00F246B2">
        <w:rPr>
          <w:rFonts w:ascii="Times New Roman" w:eastAsia="Times New Roman" w:hAnsi="Times New Roman" w:cs="Times New Roman"/>
          <w:kern w:val="0"/>
          <w:sz w:val="24"/>
          <w:szCs w:val="24"/>
          <w:lang w:eastAsia="pt-BR"/>
          <w14:ligatures w14:val="none"/>
        </w:rPr>
        <w:t>: globalização e meio técnico-científico informacional. São Paulo: Hucitec, 1994. (Geografia: teoria e realidade, 25).</w:t>
      </w:r>
    </w:p>
    <w:p w14:paraId="4156F02B" w14:textId="77777777" w:rsidR="00B125DC" w:rsidRPr="00F246B2"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3F4869ED"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bookmarkStart w:id="94" w:name="_Hlk57395867"/>
      <w:r w:rsidRPr="00F246B2">
        <w:rPr>
          <w:rFonts w:ascii="Times New Roman" w:eastAsia="Times New Roman" w:hAnsi="Times New Roman" w:cs="Times New Roman"/>
          <w:kern w:val="0"/>
          <w:sz w:val="24"/>
          <w:szCs w:val="24"/>
          <w:lang w:eastAsia="pt-BR"/>
          <w14:ligatures w14:val="none"/>
        </w:rPr>
        <w:t xml:space="preserve">SAQUET, M. A. </w:t>
      </w:r>
      <w:bookmarkEnd w:id="94"/>
      <w:r w:rsidRPr="00F246B2">
        <w:rPr>
          <w:rFonts w:ascii="Times New Roman" w:eastAsia="Times New Roman" w:hAnsi="Times New Roman" w:cs="Times New Roman"/>
          <w:kern w:val="0"/>
          <w:sz w:val="24"/>
          <w:szCs w:val="24"/>
          <w:lang w:eastAsia="pt-BR"/>
          <w14:ligatures w14:val="none"/>
        </w:rPr>
        <w:t xml:space="preserve">Território e paisagem: da construção material à representação? </w:t>
      </w:r>
      <w:r w:rsidRPr="00F246B2">
        <w:rPr>
          <w:rFonts w:ascii="Times New Roman" w:eastAsia="Times New Roman" w:hAnsi="Times New Roman" w:cs="Times New Roman"/>
          <w:i/>
          <w:iCs/>
          <w:kern w:val="0"/>
          <w:sz w:val="24"/>
          <w:szCs w:val="24"/>
          <w:lang w:eastAsia="pt-BR"/>
          <w14:ligatures w14:val="none"/>
        </w:rPr>
        <w:t>In</w:t>
      </w:r>
      <w:r w:rsidRPr="00F246B2">
        <w:rPr>
          <w:rFonts w:ascii="Times New Roman" w:eastAsia="Times New Roman" w:hAnsi="Times New Roman" w:cs="Times New Roman"/>
          <w:kern w:val="0"/>
          <w:sz w:val="24"/>
          <w:szCs w:val="24"/>
          <w:lang w:eastAsia="pt-BR"/>
          <w14:ligatures w14:val="none"/>
        </w:rPr>
        <w:t xml:space="preserve">: SAQUET, M. A. </w:t>
      </w:r>
      <w:r w:rsidRPr="00F246B2">
        <w:rPr>
          <w:rFonts w:ascii="Times New Roman" w:eastAsia="Times New Roman" w:hAnsi="Times New Roman" w:cs="Times New Roman"/>
          <w:i/>
          <w:kern w:val="0"/>
          <w:sz w:val="24"/>
          <w:szCs w:val="24"/>
          <w:lang w:eastAsia="pt-BR"/>
          <w14:ligatures w14:val="none"/>
        </w:rPr>
        <w:t>Abordagens e concepções de território</w:t>
      </w:r>
      <w:r w:rsidRPr="00F246B2">
        <w:rPr>
          <w:rFonts w:ascii="Times New Roman" w:eastAsia="Times New Roman" w:hAnsi="Times New Roman" w:cs="Times New Roman"/>
          <w:kern w:val="0"/>
          <w:sz w:val="24"/>
          <w:szCs w:val="24"/>
          <w:lang w:eastAsia="pt-BR"/>
          <w14:ligatures w14:val="none"/>
        </w:rPr>
        <w:t>. 4. ed. São Paulo: Outras Expressões, 2015.</w:t>
      </w:r>
    </w:p>
    <w:p w14:paraId="58148DCD" w14:textId="77777777" w:rsidR="00B125DC" w:rsidRPr="00F246B2"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2790D01C" w14:textId="77777777" w:rsidR="00B125DC" w:rsidRPr="00F246B2"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F246B2">
        <w:rPr>
          <w:rFonts w:ascii="Times New Roman" w:eastAsia="Times New Roman" w:hAnsi="Times New Roman" w:cs="Times New Roman"/>
          <w:kern w:val="0"/>
          <w:sz w:val="24"/>
          <w:szCs w:val="24"/>
          <w:lang w:eastAsia="pt-BR"/>
          <w14:ligatures w14:val="none"/>
        </w:rPr>
        <w:t xml:space="preserve">SAUER, C. O. A morfologia da paisagem. </w:t>
      </w:r>
      <w:r w:rsidRPr="00F246B2">
        <w:rPr>
          <w:rFonts w:ascii="Times New Roman" w:eastAsia="Times New Roman" w:hAnsi="Times New Roman" w:cs="Times New Roman"/>
          <w:i/>
          <w:iCs/>
          <w:kern w:val="0"/>
          <w:sz w:val="24"/>
          <w:szCs w:val="24"/>
          <w:lang w:eastAsia="pt-BR"/>
          <w14:ligatures w14:val="none"/>
        </w:rPr>
        <w:t>In</w:t>
      </w:r>
      <w:r w:rsidRPr="00F246B2">
        <w:rPr>
          <w:rFonts w:ascii="Times New Roman" w:eastAsia="Times New Roman" w:hAnsi="Times New Roman" w:cs="Times New Roman"/>
          <w:kern w:val="0"/>
          <w:sz w:val="24"/>
          <w:szCs w:val="24"/>
          <w:lang w:eastAsia="pt-BR"/>
          <w14:ligatures w14:val="none"/>
        </w:rPr>
        <w:t xml:space="preserve">: CORRÊA, R. L.; ROSENDAHL, Z. </w:t>
      </w:r>
      <w:r w:rsidRPr="00F246B2">
        <w:rPr>
          <w:rFonts w:ascii="Times New Roman" w:eastAsia="Times New Roman" w:hAnsi="Times New Roman" w:cs="Times New Roman"/>
          <w:i/>
          <w:iCs/>
          <w:kern w:val="0"/>
          <w:sz w:val="24"/>
          <w:szCs w:val="24"/>
          <w:lang w:eastAsia="pt-BR"/>
          <w14:ligatures w14:val="none"/>
        </w:rPr>
        <w:t>Paisagem, tempo e cultura</w:t>
      </w:r>
      <w:r w:rsidRPr="00F246B2">
        <w:rPr>
          <w:rFonts w:ascii="Times New Roman" w:eastAsia="Times New Roman" w:hAnsi="Times New Roman" w:cs="Times New Roman"/>
          <w:kern w:val="0"/>
          <w:sz w:val="24"/>
          <w:szCs w:val="24"/>
          <w:lang w:eastAsia="pt-BR"/>
          <w14:ligatures w14:val="none"/>
        </w:rPr>
        <w:t>. Rio de Janeiro: EdUERJ, 1998.</w:t>
      </w:r>
    </w:p>
    <w:p w14:paraId="798C8574" w14:textId="77777777" w:rsidR="00B125DC" w:rsidRPr="00F246B2"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1EE8B7B1" w14:textId="77777777" w:rsidR="00B125DC" w:rsidRPr="00501EED" w:rsidRDefault="00B125DC" w:rsidP="008B2C16">
      <w:pPr>
        <w:spacing w:after="0" w:line="240" w:lineRule="auto"/>
        <w:jc w:val="both"/>
        <w:rPr>
          <w:rFonts w:ascii="Times New Roman" w:eastAsia="Times New Roman" w:hAnsi="Times New Roman" w:cs="Times New Roman"/>
          <w:kern w:val="0"/>
          <w:sz w:val="24"/>
          <w:szCs w:val="24"/>
          <w:lang w:eastAsia="pt-BR"/>
          <w14:ligatures w14:val="none"/>
        </w:rPr>
      </w:pPr>
      <w:r w:rsidRPr="00501EED">
        <w:rPr>
          <w:rFonts w:ascii="Times New Roman" w:eastAsia="Times New Roman" w:hAnsi="Times New Roman" w:cs="Times New Roman"/>
          <w:kern w:val="0"/>
          <w:sz w:val="24"/>
          <w:szCs w:val="24"/>
          <w:lang w:val="es-ES" w:eastAsia="pt-BR"/>
          <w14:ligatures w14:val="none"/>
        </w:rPr>
        <w:t>SOLANA, M. (</w:t>
      </w:r>
      <w:r>
        <w:rPr>
          <w:rFonts w:ascii="Times New Roman" w:eastAsia="Times New Roman" w:hAnsi="Times New Roman" w:cs="Times New Roman"/>
          <w:kern w:val="0"/>
          <w:sz w:val="24"/>
          <w:szCs w:val="24"/>
          <w:lang w:val="es-ES" w:eastAsia="pt-BR"/>
          <w14:ligatures w14:val="none"/>
        </w:rPr>
        <w:t>c</w:t>
      </w:r>
      <w:r w:rsidRPr="00501EED">
        <w:rPr>
          <w:rFonts w:ascii="Times New Roman" w:eastAsia="Times New Roman" w:hAnsi="Times New Roman" w:cs="Times New Roman"/>
          <w:kern w:val="0"/>
          <w:sz w:val="24"/>
          <w:szCs w:val="24"/>
          <w:lang w:val="es-ES" w:eastAsia="pt-BR"/>
          <w14:ligatures w14:val="none"/>
        </w:rPr>
        <w:t xml:space="preserve">oord.). </w:t>
      </w:r>
      <w:r w:rsidRPr="00501EED">
        <w:rPr>
          <w:rFonts w:ascii="Times New Roman" w:eastAsia="Times New Roman" w:hAnsi="Times New Roman" w:cs="Times New Roman"/>
          <w:i/>
          <w:kern w:val="0"/>
          <w:sz w:val="24"/>
          <w:szCs w:val="24"/>
          <w:lang w:val="es-ES" w:eastAsia="pt-BR"/>
          <w14:ligatures w14:val="none"/>
        </w:rPr>
        <w:t>Espacios globales y lugares próximos</w:t>
      </w:r>
      <w:r w:rsidRPr="00501EED">
        <w:rPr>
          <w:rFonts w:ascii="Times New Roman" w:eastAsia="Times New Roman" w:hAnsi="Times New Roman" w:cs="Times New Roman"/>
          <w:kern w:val="0"/>
          <w:sz w:val="24"/>
          <w:szCs w:val="24"/>
          <w:lang w:val="es-ES" w:eastAsia="pt-BR"/>
          <w14:ligatures w14:val="none"/>
        </w:rPr>
        <w:t xml:space="preserve">. </w:t>
      </w:r>
      <w:r w:rsidRPr="00501EED">
        <w:rPr>
          <w:rFonts w:ascii="Times New Roman" w:eastAsia="Times New Roman" w:hAnsi="Times New Roman" w:cs="Times New Roman"/>
          <w:kern w:val="0"/>
          <w:sz w:val="24"/>
          <w:szCs w:val="24"/>
          <w:lang w:eastAsia="pt-BR"/>
          <w14:ligatures w14:val="none"/>
        </w:rPr>
        <w:t>Barcelona: Icaria, 2016. p. 39.</w:t>
      </w:r>
    </w:p>
    <w:p w14:paraId="60DBC137" w14:textId="77777777" w:rsidR="00B125DC" w:rsidRPr="00501EED"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6990327F" w14:textId="77777777" w:rsidR="00B125DC" w:rsidRPr="00501EED" w:rsidRDefault="00B125DC" w:rsidP="008B2C16">
      <w:pPr>
        <w:widowControl w:val="0"/>
        <w:suppressAutoHyphens/>
        <w:spacing w:after="0" w:line="240" w:lineRule="auto"/>
        <w:jc w:val="both"/>
        <w:rPr>
          <w:rFonts w:ascii="Times New Roman" w:eastAsia="SimSun" w:hAnsi="Times New Roman" w:cs="Times New Roman"/>
          <w:kern w:val="1"/>
          <w:sz w:val="24"/>
          <w:szCs w:val="24"/>
          <w:lang w:val="es-ES" w:eastAsia="zh-CN" w:bidi="hi-IN"/>
          <w14:ligatures w14:val="none"/>
        </w:rPr>
      </w:pPr>
      <w:r w:rsidRPr="00501EED">
        <w:rPr>
          <w:rFonts w:ascii="Times New Roman" w:eastAsia="SimSun" w:hAnsi="Times New Roman" w:cs="Times New Roman"/>
          <w:kern w:val="1"/>
          <w:sz w:val="24"/>
          <w:szCs w:val="24"/>
          <w:lang w:val="es-ES" w:eastAsia="zh-CN" w:bidi="hi-IN"/>
          <w14:ligatures w14:val="none"/>
        </w:rPr>
        <w:t xml:space="preserve">TESSER OBREGON, C. E. E. Algunas reflexiones sobre los significados del </w:t>
      </w:r>
      <w:r w:rsidRPr="00501EED">
        <w:rPr>
          <w:rFonts w:ascii="Times New Roman" w:eastAsia="SimSun" w:hAnsi="Times New Roman" w:cs="Times New Roman"/>
          <w:i/>
          <w:kern w:val="1"/>
          <w:sz w:val="24"/>
          <w:szCs w:val="24"/>
          <w:lang w:val="es-ES" w:eastAsia="zh-CN" w:bidi="hi-IN"/>
          <w14:ligatures w14:val="none"/>
        </w:rPr>
        <w:t>paisaje</w:t>
      </w:r>
      <w:r w:rsidRPr="00501EED">
        <w:rPr>
          <w:rFonts w:ascii="Times New Roman" w:eastAsia="SimSun" w:hAnsi="Times New Roman" w:cs="Times New Roman"/>
          <w:kern w:val="1"/>
          <w:sz w:val="24"/>
          <w:szCs w:val="24"/>
          <w:lang w:val="es-ES" w:eastAsia="zh-CN" w:bidi="hi-IN"/>
          <w14:ligatures w14:val="none"/>
        </w:rPr>
        <w:t xml:space="preserve"> para la Geografía. </w:t>
      </w:r>
      <w:r w:rsidRPr="00501EED">
        <w:rPr>
          <w:rFonts w:ascii="Times New Roman" w:eastAsia="SimSun" w:hAnsi="Times New Roman" w:cs="Times New Roman"/>
          <w:i/>
          <w:kern w:val="1"/>
          <w:sz w:val="24"/>
          <w:szCs w:val="24"/>
          <w:lang w:val="es-ES" w:eastAsia="zh-CN" w:bidi="hi-IN"/>
          <w14:ligatures w14:val="none"/>
        </w:rPr>
        <w:t>Revista de Geografía Norte Grande</w:t>
      </w:r>
      <w:r w:rsidRPr="00501EED">
        <w:rPr>
          <w:rFonts w:ascii="Times New Roman" w:eastAsia="SimSun" w:hAnsi="Times New Roman" w:cs="Times New Roman"/>
          <w:kern w:val="1"/>
          <w:sz w:val="24"/>
          <w:szCs w:val="24"/>
          <w:lang w:val="es-ES" w:eastAsia="zh-CN" w:bidi="hi-IN"/>
          <w14:ligatures w14:val="none"/>
        </w:rPr>
        <w:t xml:space="preserve">, Santiago, v. 27, p. 19-26, 2000. </w:t>
      </w:r>
    </w:p>
    <w:p w14:paraId="5BEE11F8" w14:textId="77777777" w:rsidR="00B125DC" w:rsidRDefault="00B125DC" w:rsidP="008B2C16">
      <w:pPr>
        <w:spacing w:after="0" w:line="360" w:lineRule="auto"/>
        <w:jc w:val="both"/>
        <w:rPr>
          <w:rFonts w:ascii="Times New Roman" w:eastAsia="Calibri" w:hAnsi="Times New Roman" w:cs="Times New Roman"/>
          <w:kern w:val="0"/>
          <w:sz w:val="24"/>
          <w:szCs w:val="24"/>
          <w14:ligatures w14:val="none"/>
        </w:rPr>
      </w:pPr>
    </w:p>
    <w:p w14:paraId="57343D25" w14:textId="77777777" w:rsidR="00B125DC" w:rsidRPr="00501EED" w:rsidRDefault="00B125DC" w:rsidP="008B2C16">
      <w:pPr>
        <w:widowControl w:val="0"/>
        <w:suppressAutoHyphens/>
        <w:spacing w:after="0" w:line="240" w:lineRule="auto"/>
        <w:jc w:val="both"/>
        <w:rPr>
          <w:rFonts w:ascii="Times New Roman" w:eastAsia="SimSun" w:hAnsi="Times New Roman" w:cs="Times New Roman"/>
          <w:kern w:val="1"/>
          <w:sz w:val="24"/>
          <w:szCs w:val="24"/>
          <w:lang w:val="es-ES" w:eastAsia="zh-CN" w:bidi="hi-IN"/>
          <w14:ligatures w14:val="none"/>
        </w:rPr>
      </w:pPr>
      <w:r w:rsidRPr="00501EED">
        <w:rPr>
          <w:rFonts w:ascii="Times New Roman" w:eastAsia="SimSun" w:hAnsi="Times New Roman" w:cs="Times New Roman"/>
          <w:kern w:val="1"/>
          <w:sz w:val="24"/>
          <w:szCs w:val="24"/>
          <w:lang w:val="es-ES" w:eastAsia="zh-CN" w:bidi="hi-IN"/>
          <w14:ligatures w14:val="none"/>
        </w:rPr>
        <w:t xml:space="preserve">TURRI, E. </w:t>
      </w:r>
      <w:r w:rsidRPr="00501EED">
        <w:rPr>
          <w:rFonts w:ascii="Times New Roman" w:eastAsia="SimSun" w:hAnsi="Times New Roman" w:cs="Times New Roman"/>
          <w:i/>
          <w:kern w:val="1"/>
          <w:sz w:val="24"/>
          <w:szCs w:val="24"/>
          <w:lang w:val="es-ES" w:eastAsia="zh-CN" w:bidi="hi-IN"/>
          <w14:ligatures w14:val="none"/>
        </w:rPr>
        <w:t>Antroplogia del paesaggio</w:t>
      </w:r>
      <w:r w:rsidRPr="00501EED">
        <w:rPr>
          <w:rFonts w:ascii="Times New Roman" w:eastAsia="SimSun" w:hAnsi="Times New Roman" w:cs="Times New Roman"/>
          <w:kern w:val="1"/>
          <w:sz w:val="24"/>
          <w:szCs w:val="24"/>
          <w:lang w:val="es-ES" w:eastAsia="zh-CN" w:bidi="hi-IN"/>
          <w14:ligatures w14:val="none"/>
        </w:rPr>
        <w:t xml:space="preserve">. Milano: Comunità, 1974. </w:t>
      </w:r>
    </w:p>
    <w:p w14:paraId="0A1A9D6B" w14:textId="77777777" w:rsidR="00B125DC" w:rsidRPr="00501EED" w:rsidRDefault="00B125DC" w:rsidP="008B2C16">
      <w:pPr>
        <w:widowControl w:val="0"/>
        <w:suppressAutoHyphens/>
        <w:spacing w:after="0" w:line="360" w:lineRule="auto"/>
        <w:jc w:val="both"/>
        <w:rPr>
          <w:rFonts w:ascii="Times New Roman" w:eastAsia="SimSun" w:hAnsi="Times New Roman" w:cs="Times New Roman"/>
          <w:kern w:val="1"/>
          <w:sz w:val="24"/>
          <w:szCs w:val="24"/>
          <w:lang w:val="es-ES" w:eastAsia="zh-CN" w:bidi="hi-IN"/>
          <w14:ligatures w14:val="none"/>
        </w:rPr>
      </w:pPr>
    </w:p>
    <w:p w14:paraId="3A15D7B4" w14:textId="77777777" w:rsidR="00B125DC" w:rsidRPr="00501EED" w:rsidRDefault="00B125DC" w:rsidP="008B2C16">
      <w:pPr>
        <w:widowControl w:val="0"/>
        <w:suppressAutoHyphens/>
        <w:spacing w:after="0" w:line="240" w:lineRule="auto"/>
        <w:jc w:val="both"/>
        <w:rPr>
          <w:rFonts w:ascii="Times New Roman" w:eastAsia="SimSun" w:hAnsi="Times New Roman" w:cs="Times New Roman"/>
          <w:kern w:val="1"/>
          <w:sz w:val="24"/>
          <w:szCs w:val="24"/>
          <w:lang w:eastAsia="zh-CN" w:bidi="hi-IN"/>
          <w14:ligatures w14:val="none"/>
        </w:rPr>
      </w:pPr>
      <w:r w:rsidRPr="00501EED">
        <w:rPr>
          <w:rFonts w:ascii="Times New Roman" w:eastAsia="SimSun" w:hAnsi="Times New Roman" w:cs="Times New Roman"/>
          <w:kern w:val="1"/>
          <w:sz w:val="24"/>
          <w:szCs w:val="24"/>
          <w:lang w:val="es-ES" w:eastAsia="zh-CN" w:bidi="hi-IN"/>
          <w14:ligatures w14:val="none"/>
        </w:rPr>
        <w:t xml:space="preserve">TURRI, E. </w:t>
      </w:r>
      <w:r w:rsidRPr="00501EED">
        <w:rPr>
          <w:rFonts w:ascii="Times New Roman" w:eastAsia="SimSun" w:hAnsi="Times New Roman" w:cs="Times New Roman"/>
          <w:i/>
          <w:kern w:val="1"/>
          <w:sz w:val="24"/>
          <w:szCs w:val="24"/>
          <w:lang w:val="es-ES" w:eastAsia="zh-CN" w:bidi="hi-IN"/>
          <w14:ligatures w14:val="none"/>
        </w:rPr>
        <w:t>La conoscenza del territorio</w:t>
      </w:r>
      <w:r w:rsidRPr="00501EED">
        <w:rPr>
          <w:rFonts w:ascii="Times New Roman" w:eastAsia="SimSun" w:hAnsi="Times New Roman" w:cs="Times New Roman"/>
          <w:kern w:val="1"/>
          <w:sz w:val="24"/>
          <w:szCs w:val="24"/>
          <w:lang w:val="es-ES" w:eastAsia="zh-CN" w:bidi="hi-IN"/>
          <w14:ligatures w14:val="none"/>
        </w:rPr>
        <w:t xml:space="preserve">: metodologia per un’analise storico-geografica. </w:t>
      </w:r>
      <w:r w:rsidRPr="00501EED">
        <w:rPr>
          <w:rFonts w:ascii="Times New Roman" w:eastAsia="SimSun" w:hAnsi="Times New Roman" w:cs="Times New Roman"/>
          <w:kern w:val="1"/>
          <w:sz w:val="24"/>
          <w:szCs w:val="24"/>
          <w:lang w:eastAsia="zh-CN" w:bidi="hi-IN"/>
          <w14:ligatures w14:val="none"/>
        </w:rPr>
        <w:t>Venezia: Marsilio, 2002.</w:t>
      </w:r>
    </w:p>
    <w:p w14:paraId="7300F951" w14:textId="77777777" w:rsidR="00B125DC" w:rsidRPr="00501EED" w:rsidRDefault="00B125DC" w:rsidP="008B2C16">
      <w:pPr>
        <w:widowControl w:val="0"/>
        <w:suppressAutoHyphens/>
        <w:spacing w:after="0" w:line="360" w:lineRule="auto"/>
        <w:jc w:val="both"/>
        <w:rPr>
          <w:rFonts w:ascii="Times New Roman" w:eastAsia="SimSun" w:hAnsi="Times New Roman" w:cs="Times New Roman"/>
          <w:kern w:val="1"/>
          <w:sz w:val="24"/>
          <w:szCs w:val="24"/>
          <w:lang w:eastAsia="zh-CN" w:bidi="hi-IN"/>
          <w14:ligatures w14:val="none"/>
        </w:rPr>
      </w:pPr>
    </w:p>
    <w:p w14:paraId="07698BF8" w14:textId="77777777" w:rsidR="00B125DC" w:rsidRPr="007A5DCB" w:rsidRDefault="00B125DC" w:rsidP="008B2C16">
      <w:pPr>
        <w:spacing w:after="0" w:line="240" w:lineRule="auto"/>
        <w:jc w:val="both"/>
        <w:rPr>
          <w:rFonts w:ascii="Times New Roman" w:eastAsia="Calibri" w:hAnsi="Times New Roman" w:cs="Times New Roman"/>
          <w:kern w:val="0"/>
          <w:sz w:val="24"/>
          <w:szCs w:val="24"/>
          <w14:ligatures w14:val="none"/>
        </w:rPr>
      </w:pPr>
      <w:r w:rsidRPr="00501EED">
        <w:rPr>
          <w:rFonts w:ascii="Times New Roman" w:eastAsia="Calibri" w:hAnsi="Times New Roman" w:cs="Times New Roman"/>
          <w:kern w:val="0"/>
          <w:sz w:val="24"/>
          <w:szCs w:val="24"/>
          <w14:ligatures w14:val="none"/>
        </w:rPr>
        <w:t xml:space="preserve">UNESCO thesaurus. Paris, [2020]. Disponível em: </w:t>
      </w:r>
      <w:hyperlink r:id="rId38" w:history="1">
        <w:r w:rsidRPr="00501EED">
          <w:rPr>
            <w:rFonts w:ascii="Times New Roman" w:eastAsia="Calibri" w:hAnsi="Times New Roman" w:cs="Times New Roman"/>
            <w:kern w:val="0"/>
            <w:sz w:val="24"/>
            <w:szCs w:val="24"/>
            <w14:ligatures w14:val="none"/>
          </w:rPr>
          <w:t>http://vocabularies.unesco.org/browser/en/about</w:t>
        </w:r>
      </w:hyperlink>
      <w:r w:rsidRPr="00501EED">
        <w:rPr>
          <w:rFonts w:ascii="Times New Roman" w:eastAsia="Calibri" w:hAnsi="Times New Roman" w:cs="Times New Roman"/>
          <w:kern w:val="0"/>
          <w:sz w:val="24"/>
          <w:szCs w:val="24"/>
          <w14:ligatures w14:val="none"/>
        </w:rPr>
        <w:t xml:space="preserve">. </w:t>
      </w:r>
      <w:r w:rsidRPr="007A5DCB">
        <w:rPr>
          <w:rFonts w:ascii="Times New Roman" w:eastAsia="Calibri" w:hAnsi="Times New Roman" w:cs="Times New Roman"/>
          <w:kern w:val="0"/>
          <w:sz w:val="24"/>
          <w:szCs w:val="24"/>
          <w14:ligatures w14:val="none"/>
        </w:rPr>
        <w:t>Acesso em: abr. 2020.</w:t>
      </w:r>
    </w:p>
    <w:p w14:paraId="772B602A" w14:textId="77777777" w:rsidR="00B125DC" w:rsidRDefault="00B125DC" w:rsidP="008B2C16">
      <w:pPr>
        <w:spacing w:after="0" w:line="360" w:lineRule="auto"/>
        <w:jc w:val="both"/>
        <w:rPr>
          <w:rFonts w:ascii="Times New Roman" w:eastAsia="Calibri" w:hAnsi="Times New Roman" w:cs="Times New Roman"/>
          <w:kern w:val="0"/>
          <w:sz w:val="24"/>
          <w:szCs w:val="24"/>
          <w14:ligatures w14:val="none"/>
        </w:rPr>
      </w:pPr>
    </w:p>
    <w:p w14:paraId="56151881" w14:textId="77777777" w:rsidR="00B125DC" w:rsidRPr="00863B19" w:rsidRDefault="00B125DC" w:rsidP="008B2C16">
      <w:pPr>
        <w:widowControl w:val="0"/>
        <w:suppressAutoHyphens/>
        <w:spacing w:after="0" w:line="240" w:lineRule="auto"/>
        <w:jc w:val="both"/>
        <w:rPr>
          <w:rFonts w:ascii="Times New Roman" w:eastAsia="SimSun" w:hAnsi="Times New Roman" w:cs="Times New Roman"/>
          <w:kern w:val="1"/>
          <w:sz w:val="24"/>
          <w:szCs w:val="24"/>
          <w:lang w:eastAsia="zh-CN" w:bidi="hi-IN"/>
          <w14:ligatures w14:val="none"/>
        </w:rPr>
      </w:pPr>
      <w:bookmarkStart w:id="95" w:name="_Hlk108608684"/>
      <w:r w:rsidRPr="00501EED">
        <w:rPr>
          <w:rFonts w:ascii="Times New Roman" w:eastAsia="SimSun" w:hAnsi="Times New Roman" w:cs="Times New Roman"/>
          <w:kern w:val="1"/>
          <w:sz w:val="24"/>
          <w:szCs w:val="24"/>
          <w:lang w:eastAsia="zh-CN" w:bidi="hi-IN"/>
          <w14:ligatures w14:val="none"/>
        </w:rPr>
        <w:t xml:space="preserve">VERONEZZI, F.; FAJARDO, S. A paisagem na análise geográfica: considerações sobre uma paisagem rural em Guarapuava - PR. </w:t>
      </w:r>
      <w:r w:rsidRPr="00863B19">
        <w:rPr>
          <w:rFonts w:ascii="Times New Roman" w:eastAsia="SimSun" w:hAnsi="Times New Roman" w:cs="Times New Roman"/>
          <w:i/>
          <w:kern w:val="1"/>
          <w:sz w:val="24"/>
          <w:szCs w:val="24"/>
          <w:lang w:eastAsia="zh-CN" w:bidi="hi-IN"/>
          <w14:ligatures w14:val="none"/>
        </w:rPr>
        <w:t>GEOgraphia</w:t>
      </w:r>
      <w:r w:rsidRPr="00863B19">
        <w:rPr>
          <w:rFonts w:ascii="Times New Roman" w:eastAsia="SimSun" w:hAnsi="Times New Roman" w:cs="Times New Roman"/>
          <w:kern w:val="1"/>
          <w:sz w:val="24"/>
          <w:szCs w:val="24"/>
          <w:lang w:eastAsia="zh-CN" w:bidi="hi-IN"/>
          <w14:ligatures w14:val="none"/>
        </w:rPr>
        <w:t>, Niterói, v. 17, n. 34, 2015.</w:t>
      </w:r>
    </w:p>
    <w:bookmarkEnd w:id="95"/>
    <w:p w14:paraId="0259E06A" w14:textId="77777777" w:rsidR="00B125DC" w:rsidRPr="00645C75" w:rsidRDefault="00B125DC" w:rsidP="00B125DC">
      <w:pPr>
        <w:spacing w:after="0" w:line="240" w:lineRule="auto"/>
        <w:rPr>
          <w:rFonts w:ascii="Times New Roman" w:eastAsia="Calibri" w:hAnsi="Times New Roman" w:cs="Times New Roman"/>
          <w:kern w:val="0"/>
          <w:sz w:val="24"/>
          <w:szCs w:val="24"/>
          <w14:ligatures w14:val="none"/>
        </w:rPr>
      </w:pPr>
    </w:p>
    <w:p w14:paraId="4D02E3ED" w14:textId="77777777" w:rsidR="00B125DC" w:rsidRPr="00645C75" w:rsidRDefault="00B125DC" w:rsidP="00B125DC">
      <w:pPr>
        <w:spacing w:after="0" w:line="240" w:lineRule="auto"/>
        <w:rPr>
          <w:rFonts w:ascii="Times New Roman" w:eastAsia="Calibri" w:hAnsi="Times New Roman" w:cs="Times New Roman"/>
          <w:kern w:val="0"/>
          <w:sz w:val="24"/>
          <w:szCs w:val="24"/>
          <w14:ligatures w14:val="none"/>
        </w:rPr>
      </w:pPr>
    </w:p>
    <w:p w14:paraId="02EED565" w14:textId="77777777" w:rsidR="00B125DC" w:rsidRPr="00374494" w:rsidRDefault="00B125DC" w:rsidP="00B125DC">
      <w:pPr>
        <w:spacing w:after="0" w:line="360" w:lineRule="auto"/>
        <w:jc w:val="both"/>
        <w:rPr>
          <w:rFonts w:ascii="Times New Roman" w:eastAsia="Times New Roman" w:hAnsi="Times New Roman" w:cs="Times New Roman"/>
          <w:kern w:val="0"/>
          <w:sz w:val="24"/>
          <w:szCs w:val="24"/>
          <w:lang w:eastAsia="pt-BR"/>
          <w14:ligatures w14:val="none"/>
        </w:rPr>
      </w:pPr>
    </w:p>
    <w:p w14:paraId="7A9F2DF1" w14:textId="527DD95F" w:rsidR="00B125DC" w:rsidRDefault="00B125DC">
      <w:pPr>
        <w:rPr>
          <w:rFonts w:ascii="Times New Roman" w:hAnsi="Times New Roman" w:cs="Times New Roman"/>
          <w:sz w:val="24"/>
          <w:szCs w:val="24"/>
        </w:rPr>
      </w:pPr>
      <w:r>
        <w:rPr>
          <w:rFonts w:ascii="Times New Roman" w:hAnsi="Times New Roman" w:cs="Times New Roman"/>
          <w:sz w:val="24"/>
          <w:szCs w:val="24"/>
        </w:rPr>
        <w:br w:type="page"/>
      </w:r>
    </w:p>
    <w:p w14:paraId="04598944" w14:textId="10AC6392" w:rsidR="00B125DC" w:rsidRPr="00B125DC" w:rsidRDefault="00B125DC" w:rsidP="00863B19">
      <w:pPr>
        <w:pStyle w:val="Ttulo1"/>
        <w:spacing w:before="0" w:line="360" w:lineRule="auto"/>
        <w:rPr>
          <w:rFonts w:ascii="Times New Roman" w:eastAsia="Times New Roman" w:hAnsi="Times New Roman" w:cs="Times New Roman"/>
          <w:b/>
          <w:bCs/>
          <w:color w:val="auto"/>
          <w:kern w:val="0"/>
          <w:sz w:val="24"/>
          <w:szCs w:val="24"/>
          <w:lang w:eastAsia="pt-BR"/>
          <w14:ligatures w14:val="none"/>
        </w:rPr>
      </w:pPr>
      <w:bookmarkStart w:id="96" w:name="_Toc121150327"/>
      <w:bookmarkStart w:id="97" w:name="_Toc146826505"/>
      <w:bookmarkStart w:id="98" w:name="_Hlk146787286"/>
      <w:r w:rsidRPr="00B125DC">
        <w:rPr>
          <w:rFonts w:ascii="Times New Roman" w:eastAsia="Times New Roman" w:hAnsi="Times New Roman" w:cs="Times New Roman"/>
          <w:b/>
          <w:bCs/>
          <w:color w:val="auto"/>
          <w:kern w:val="0"/>
          <w:sz w:val="24"/>
          <w:szCs w:val="24"/>
          <w:lang w:eastAsia="pt-BR"/>
          <w14:ligatures w14:val="none"/>
        </w:rPr>
        <w:lastRenderedPageBreak/>
        <w:t xml:space="preserve">PRINCÍPIOS PARA MODELAGEM DE DOMÍNIO NO ÂMBITO DA CULTURA IMATERIAL BRASILEIRA: </w:t>
      </w:r>
      <w:bookmarkEnd w:id="96"/>
      <w:r w:rsidR="00863B19" w:rsidRPr="00863B19">
        <w:rPr>
          <w:rFonts w:ascii="Times New Roman" w:eastAsia="Times New Roman" w:hAnsi="Times New Roman" w:cs="Times New Roman"/>
          <w:color w:val="auto"/>
          <w:kern w:val="0"/>
          <w:sz w:val="24"/>
          <w:szCs w:val="24"/>
          <w:lang w:eastAsia="pt-BR"/>
          <w14:ligatures w14:val="none"/>
        </w:rPr>
        <w:t>u</w:t>
      </w:r>
      <w:r w:rsidRPr="00B125DC">
        <w:rPr>
          <w:rFonts w:ascii="Times New Roman" w:eastAsia="Times New Roman" w:hAnsi="Times New Roman" w:cs="Times New Roman"/>
          <w:color w:val="auto"/>
          <w:kern w:val="0"/>
          <w:sz w:val="24"/>
          <w:szCs w:val="24"/>
          <w:lang w:eastAsia="pt-BR"/>
          <w14:ligatures w14:val="none"/>
        </w:rPr>
        <w:t>m caminho para a aquisição de conhecimento sobre as oficinas de percussão popular brasileira</w:t>
      </w:r>
      <w:bookmarkEnd w:id="97"/>
    </w:p>
    <w:p w14:paraId="471B192B" w14:textId="77777777" w:rsidR="008B2C16" w:rsidRDefault="008B2C16" w:rsidP="00863B19">
      <w:pPr>
        <w:spacing w:after="0" w:line="360" w:lineRule="auto"/>
        <w:contextualSpacing/>
        <w:rPr>
          <w:rFonts w:ascii="Times New Roman" w:eastAsia="Times New Roman" w:hAnsi="Times New Roman" w:cs="Times New Roman"/>
          <w:b/>
          <w:bCs/>
          <w:kern w:val="0"/>
          <w:sz w:val="24"/>
          <w:szCs w:val="24"/>
          <w:lang w:eastAsia="pt-BR"/>
          <w14:ligatures w14:val="none"/>
        </w:rPr>
      </w:pPr>
    </w:p>
    <w:p w14:paraId="230B46D9"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b/>
          <w:bCs/>
          <w:color w:val="000000"/>
          <w:kern w:val="0"/>
          <w:sz w:val="24"/>
          <w:szCs w:val="24"/>
          <w:lang w:eastAsia="pt-BR"/>
          <w14:ligatures w14:val="none"/>
        </w:rPr>
        <w:t>Fabrícia Carla Ferreira Sobral</w:t>
      </w:r>
    </w:p>
    <w:p w14:paraId="02A9B4D9"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color w:val="000000"/>
          <w:kern w:val="0"/>
          <w:sz w:val="24"/>
          <w:szCs w:val="24"/>
          <w:lang w:eastAsia="pt-BR"/>
          <w14:ligatures w14:val="none"/>
        </w:rPr>
        <w:t>Universidade Federal do Rio de Janeiro</w:t>
      </w:r>
    </w:p>
    <w:p w14:paraId="438B9D48" w14:textId="77777777" w:rsidR="00BB6DB1" w:rsidRPr="00BB6DB1" w:rsidRDefault="00BB6DB1" w:rsidP="00BB6DB1">
      <w:pPr>
        <w:spacing w:after="0" w:line="360" w:lineRule="auto"/>
        <w:rPr>
          <w:rFonts w:ascii="Times New Roman" w:eastAsia="Times New Roman" w:hAnsi="Times New Roman" w:cs="Times New Roman"/>
          <w:kern w:val="0"/>
          <w:sz w:val="24"/>
          <w:szCs w:val="24"/>
          <w:lang w:eastAsia="pt-BR"/>
          <w14:ligatures w14:val="none"/>
        </w:rPr>
      </w:pPr>
    </w:p>
    <w:p w14:paraId="5E1DB2B1"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b/>
          <w:bCs/>
          <w:color w:val="000000"/>
          <w:kern w:val="0"/>
          <w:sz w:val="24"/>
          <w:szCs w:val="24"/>
          <w:lang w:eastAsia="pt-BR"/>
          <w14:ligatures w14:val="none"/>
        </w:rPr>
        <w:t>Maria Luiza de Almeida Campos</w:t>
      </w:r>
    </w:p>
    <w:p w14:paraId="345D117C"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color w:val="000000"/>
          <w:kern w:val="0"/>
          <w:sz w:val="24"/>
          <w:szCs w:val="24"/>
          <w:lang w:eastAsia="pt-BR"/>
          <w14:ligatures w14:val="none"/>
        </w:rPr>
        <w:t>Universidade Federal da Bahia</w:t>
      </w:r>
    </w:p>
    <w:p w14:paraId="71748C13" w14:textId="77777777" w:rsidR="00BB6DB1" w:rsidRPr="00BB6DB1" w:rsidRDefault="00BB6DB1" w:rsidP="00BB6DB1">
      <w:pPr>
        <w:spacing w:after="0" w:line="360" w:lineRule="auto"/>
        <w:rPr>
          <w:rFonts w:ascii="Times New Roman" w:eastAsia="Times New Roman" w:hAnsi="Times New Roman" w:cs="Times New Roman"/>
          <w:kern w:val="0"/>
          <w:sz w:val="24"/>
          <w:szCs w:val="24"/>
          <w:lang w:eastAsia="pt-BR"/>
          <w14:ligatures w14:val="none"/>
        </w:rPr>
      </w:pPr>
    </w:p>
    <w:p w14:paraId="1F2EA06D"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b/>
          <w:bCs/>
          <w:color w:val="000000"/>
          <w:kern w:val="0"/>
          <w:sz w:val="24"/>
          <w:szCs w:val="24"/>
          <w:lang w:eastAsia="pt-BR"/>
          <w14:ligatures w14:val="none"/>
        </w:rPr>
        <w:t>Linair Maria Campos</w:t>
      </w:r>
    </w:p>
    <w:p w14:paraId="5ACD423F" w14:textId="77777777" w:rsidR="00BB6DB1" w:rsidRPr="00BB6DB1" w:rsidRDefault="00BB6DB1" w:rsidP="00BB6DB1">
      <w:pPr>
        <w:spacing w:after="0" w:line="360" w:lineRule="auto"/>
        <w:jc w:val="both"/>
        <w:rPr>
          <w:rFonts w:ascii="Times New Roman" w:eastAsia="Times New Roman" w:hAnsi="Times New Roman" w:cs="Times New Roman"/>
          <w:kern w:val="0"/>
          <w:sz w:val="24"/>
          <w:szCs w:val="24"/>
          <w:lang w:eastAsia="pt-BR"/>
          <w14:ligatures w14:val="none"/>
        </w:rPr>
      </w:pPr>
      <w:r w:rsidRPr="00BB6DB1">
        <w:rPr>
          <w:rFonts w:ascii="Times New Roman" w:eastAsia="Times New Roman" w:hAnsi="Times New Roman" w:cs="Times New Roman"/>
          <w:color w:val="000000"/>
          <w:kern w:val="0"/>
          <w:sz w:val="24"/>
          <w:szCs w:val="24"/>
          <w:lang w:eastAsia="pt-BR"/>
          <w14:ligatures w14:val="none"/>
        </w:rPr>
        <w:t>Universidade Federal Fluminense</w:t>
      </w:r>
    </w:p>
    <w:p w14:paraId="1018B43A" w14:textId="77777777" w:rsidR="00BB6DB1" w:rsidRPr="00863B19" w:rsidRDefault="00BB6DB1" w:rsidP="00863B19">
      <w:pPr>
        <w:spacing w:after="0" w:line="360" w:lineRule="auto"/>
        <w:contextualSpacing/>
        <w:rPr>
          <w:rFonts w:ascii="Times New Roman" w:eastAsia="Times New Roman" w:hAnsi="Times New Roman" w:cs="Times New Roman"/>
          <w:b/>
          <w:bCs/>
          <w:kern w:val="0"/>
          <w:sz w:val="24"/>
          <w:szCs w:val="24"/>
          <w:lang w:eastAsia="pt-BR"/>
          <w14:ligatures w14:val="none"/>
        </w:rPr>
      </w:pPr>
    </w:p>
    <w:p w14:paraId="00669B6E" w14:textId="4888DCDC" w:rsidR="00B125DC" w:rsidRPr="00B125DC" w:rsidRDefault="008B2C16" w:rsidP="008B2C16">
      <w:pPr>
        <w:spacing w:after="0" w:line="360" w:lineRule="auto"/>
        <w:contextualSpacing/>
        <w:rPr>
          <w:rFonts w:ascii="Times New Roman" w:eastAsia="Times New Roman" w:hAnsi="Times New Roman" w:cs="Times New Roman"/>
          <w:b/>
          <w:bCs/>
          <w:kern w:val="0"/>
          <w:sz w:val="24"/>
          <w:szCs w:val="24"/>
          <w:lang w:eastAsia="pt-BR"/>
          <w14:ligatures w14:val="none"/>
        </w:rPr>
      </w:pPr>
      <w:r w:rsidRPr="008B2C16">
        <w:rPr>
          <w:rFonts w:ascii="Times New Roman" w:eastAsia="Times New Roman" w:hAnsi="Times New Roman" w:cs="Times New Roman"/>
          <w:kern w:val="0"/>
          <w:sz w:val="24"/>
          <w:szCs w:val="24"/>
          <w:lang w:eastAsia="pt-BR"/>
          <w14:ligatures w14:val="none"/>
        </w:rPr>
        <w:t>1</w:t>
      </w:r>
      <w:r>
        <w:rPr>
          <w:rFonts w:ascii="Times New Roman" w:eastAsia="Times New Roman" w:hAnsi="Times New Roman" w:cs="Times New Roman"/>
          <w:b/>
          <w:bCs/>
          <w:kern w:val="0"/>
          <w:sz w:val="24"/>
          <w:szCs w:val="24"/>
          <w:lang w:eastAsia="pt-BR"/>
          <w14:ligatures w14:val="none"/>
        </w:rPr>
        <w:t xml:space="preserve"> </w:t>
      </w:r>
      <w:r w:rsidR="00B125DC" w:rsidRPr="00B125DC">
        <w:rPr>
          <w:rFonts w:ascii="Times New Roman" w:eastAsia="Times New Roman" w:hAnsi="Times New Roman" w:cs="Times New Roman"/>
          <w:b/>
          <w:bCs/>
          <w:kern w:val="0"/>
          <w:sz w:val="24"/>
          <w:szCs w:val="24"/>
          <w:lang w:eastAsia="pt-BR"/>
          <w14:ligatures w14:val="none"/>
        </w:rPr>
        <w:t xml:space="preserve">INTRODUÇÃO </w:t>
      </w:r>
    </w:p>
    <w:p w14:paraId="7B657FC8" w14:textId="77777777" w:rsidR="00B125DC" w:rsidRPr="00B125DC" w:rsidRDefault="00B125DC" w:rsidP="00B125DC">
      <w:pPr>
        <w:spacing w:after="0" w:line="360" w:lineRule="auto"/>
        <w:ind w:firstLine="357"/>
        <w:jc w:val="both"/>
        <w:rPr>
          <w:rFonts w:ascii="Times New Roman" w:eastAsia="Times New Roman" w:hAnsi="Times New Roman" w:cs="Times New Roman"/>
          <w:kern w:val="0"/>
          <w:sz w:val="24"/>
          <w:szCs w:val="24"/>
          <w:lang w:eastAsia="pt-BR"/>
          <w14:ligatures w14:val="none"/>
        </w:rPr>
      </w:pPr>
    </w:p>
    <w:p w14:paraId="7FE41E08" w14:textId="541724FE" w:rsidR="00B125DC" w:rsidRPr="00B125DC" w:rsidRDefault="00B125DC" w:rsidP="00B125DC">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bCs/>
          <w:kern w:val="0"/>
          <w:sz w:val="24"/>
          <w:szCs w:val="24"/>
          <w:lang w:eastAsia="pt-BR"/>
          <w14:ligatures w14:val="none"/>
        </w:rPr>
        <w:t>Este artigo é fruto das pesquisas que vem sendo desenvolvidas no âmbito do grupo de pesquisa Estudos Ônticos e Ontológicos em Contextos Informacionais (EOOCI), filiado à Universidade Federal Fluminense (UFF), inserindo-se como uma das pautas de estudos sobre representação do conhecimento e modelagem de domínio (CAMPOS, 2004) e alinhando-se à linha de pesquisa Fluxos e Mediações Sócio Técnica da Informação. Especificamente, nosso estudo se dedica a examinar o processo de elaboração de modelos de representação de domínio sociocultural com ênfase na cultura imaterial brasileira – culturas populares (</w:t>
      </w:r>
      <w:r w:rsidR="008B2C16" w:rsidRPr="00B125DC">
        <w:rPr>
          <w:rFonts w:ascii="Times New Roman" w:eastAsia="Times New Roman" w:hAnsi="Times New Roman" w:cs="Times New Roman"/>
          <w:bCs/>
          <w:kern w:val="0"/>
          <w:sz w:val="24"/>
          <w:szCs w:val="24"/>
          <w:lang w:eastAsia="pt-BR"/>
          <w14:ligatures w14:val="none"/>
        </w:rPr>
        <w:t>Sobral</w:t>
      </w:r>
      <w:r w:rsidRPr="00B125DC">
        <w:rPr>
          <w:rFonts w:ascii="Times New Roman" w:eastAsia="Times New Roman" w:hAnsi="Times New Roman" w:cs="Times New Roman"/>
          <w:bCs/>
          <w:kern w:val="0"/>
          <w:sz w:val="24"/>
          <w:szCs w:val="24"/>
          <w:lang w:eastAsia="pt-BR"/>
          <w14:ligatures w14:val="none"/>
        </w:rPr>
        <w:t>, 2022). Argumentamos que domínios desta natureza apresentam peculiaridades (I</w:t>
      </w:r>
      <w:r w:rsidR="008B2C16" w:rsidRPr="00B125DC">
        <w:rPr>
          <w:rFonts w:ascii="Times New Roman" w:eastAsia="Times New Roman" w:hAnsi="Times New Roman" w:cs="Times New Roman"/>
          <w:bCs/>
          <w:kern w:val="0"/>
          <w:sz w:val="24"/>
          <w:szCs w:val="24"/>
          <w:lang w:eastAsia="pt-BR"/>
          <w14:ligatures w14:val="none"/>
        </w:rPr>
        <w:t>nstituto</w:t>
      </w:r>
      <w:r w:rsidRPr="00B125DC">
        <w:rPr>
          <w:rFonts w:ascii="Times New Roman" w:eastAsia="Times New Roman" w:hAnsi="Times New Roman" w:cs="Times New Roman"/>
          <w:bCs/>
          <w:kern w:val="0"/>
          <w:sz w:val="24"/>
          <w:szCs w:val="24"/>
          <w:lang w:eastAsia="pt-BR"/>
          <w14:ligatures w14:val="none"/>
        </w:rPr>
        <w:t>, 2006) que os diferenciam de domínios científicos, pois, são construídos com base em uma realidade social (S</w:t>
      </w:r>
      <w:r w:rsidR="008B2C16" w:rsidRPr="00B125DC">
        <w:rPr>
          <w:rFonts w:ascii="Times New Roman" w:eastAsia="Times New Roman" w:hAnsi="Times New Roman" w:cs="Times New Roman"/>
          <w:bCs/>
          <w:kern w:val="0"/>
          <w:sz w:val="24"/>
          <w:szCs w:val="24"/>
          <w:lang w:eastAsia="pt-BR"/>
          <w14:ligatures w14:val="none"/>
        </w:rPr>
        <w:t>earle</w:t>
      </w:r>
      <w:r w:rsidRPr="00B125DC">
        <w:rPr>
          <w:rFonts w:ascii="Times New Roman" w:eastAsia="Times New Roman" w:hAnsi="Times New Roman" w:cs="Times New Roman"/>
          <w:bCs/>
          <w:kern w:val="0"/>
          <w:sz w:val="24"/>
          <w:szCs w:val="24"/>
          <w:lang w:eastAsia="pt-BR"/>
          <w14:ligatures w14:val="none"/>
        </w:rPr>
        <w:t xml:space="preserve">, 2006), e esta se molda a partir da percepção e da interpretação que os sujeitos inseridos em um dado contexto têm dos fatos e objetos sociais aos quais convivem, alimentando, assim, um processo de construção e compartilhamento de conhecimento por meio das relações e interações sociais </w:t>
      </w:r>
      <w:r w:rsidRPr="00B125DC">
        <w:rPr>
          <w:rFonts w:ascii="Times New Roman" w:eastAsia="Times New Roman" w:hAnsi="Times New Roman" w:cs="Times New Roman"/>
          <w:kern w:val="0"/>
          <w:sz w:val="24"/>
          <w:szCs w:val="24"/>
          <w:lang w:eastAsia="pt-BR"/>
          <w14:ligatures w14:val="none"/>
        </w:rPr>
        <w:t>(</w:t>
      </w:r>
      <w:bookmarkStart w:id="99" w:name="_Hlk120202432"/>
      <w:r w:rsidR="008B2C16" w:rsidRPr="00B125DC">
        <w:rPr>
          <w:rFonts w:ascii="Times New Roman" w:eastAsia="Times New Roman" w:hAnsi="Times New Roman" w:cs="Times New Roman"/>
          <w:kern w:val="0"/>
          <w:sz w:val="24"/>
          <w:szCs w:val="24"/>
          <w:lang w:eastAsia="pt-BR"/>
          <w14:ligatures w14:val="none"/>
        </w:rPr>
        <w:t>Jodelet, 1989; Moscovici</w:t>
      </w:r>
      <w:r w:rsidRPr="00B125DC">
        <w:rPr>
          <w:rFonts w:ascii="Times New Roman" w:eastAsia="Times New Roman" w:hAnsi="Times New Roman" w:cs="Times New Roman"/>
          <w:kern w:val="0"/>
          <w:sz w:val="24"/>
          <w:szCs w:val="24"/>
          <w:lang w:eastAsia="pt-BR"/>
          <w14:ligatures w14:val="none"/>
        </w:rPr>
        <w:t>, 2015</w:t>
      </w:r>
      <w:bookmarkEnd w:id="99"/>
      <w:r w:rsidRPr="00B125DC">
        <w:rPr>
          <w:rFonts w:ascii="Times New Roman" w:eastAsia="Times New Roman" w:hAnsi="Times New Roman" w:cs="Times New Roman"/>
          <w:kern w:val="0"/>
          <w:sz w:val="24"/>
          <w:szCs w:val="24"/>
          <w:lang w:eastAsia="pt-BR"/>
          <w14:ligatures w14:val="none"/>
        </w:rPr>
        <w:t>). Esse conhecimento construído e partilhado se traduz em uma representação da realidade em que vivem, fruto de uma interpretação com base em suas relações e sistemas simbólicos, bem como em suas condições e contexto social (</w:t>
      </w:r>
      <w:r w:rsidR="008B2C16" w:rsidRPr="00B125DC">
        <w:rPr>
          <w:rFonts w:ascii="Times New Roman" w:eastAsia="Times New Roman" w:hAnsi="Times New Roman" w:cs="Times New Roman"/>
          <w:kern w:val="0"/>
          <w:sz w:val="24"/>
          <w:szCs w:val="24"/>
          <w:lang w:eastAsia="pt-BR"/>
          <w14:ligatures w14:val="none"/>
        </w:rPr>
        <w:t>Abric</w:t>
      </w:r>
      <w:r w:rsidRPr="00B125DC">
        <w:rPr>
          <w:rFonts w:ascii="Times New Roman" w:eastAsia="Times New Roman" w:hAnsi="Times New Roman" w:cs="Times New Roman"/>
          <w:kern w:val="0"/>
          <w:sz w:val="24"/>
          <w:szCs w:val="24"/>
          <w:lang w:eastAsia="pt-BR"/>
          <w14:ligatures w14:val="none"/>
        </w:rPr>
        <w:t xml:space="preserve">, 1994). </w:t>
      </w:r>
    </w:p>
    <w:p w14:paraId="6D61033A" w14:textId="6CC6A758" w:rsidR="00B125DC" w:rsidRPr="00B125DC" w:rsidRDefault="00B125DC" w:rsidP="00B125DC">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Pela lente da Ciência da Informação (CI), invocamos Dahlberg (1978), que nos diz que através da constante interação com o seu meio ambiente, o homem cria estruturas estáveis em sua mente, aos quais os psicólogos chamaram de estrutura de conceitos, referindo-se a uma </w:t>
      </w:r>
      <w:r w:rsidRPr="00B125DC">
        <w:rPr>
          <w:rFonts w:ascii="Times New Roman" w:eastAsia="Times New Roman" w:hAnsi="Times New Roman" w:cs="Times New Roman"/>
          <w:kern w:val="0"/>
          <w:sz w:val="24"/>
          <w:szCs w:val="24"/>
          <w:lang w:eastAsia="pt-BR"/>
          <w14:ligatures w14:val="none"/>
        </w:rPr>
        <w:lastRenderedPageBreak/>
        <w:t>organização estável na experiência da realidade a qual é adquirida através da utilização de regras de relação e para as quais pode ser dado um nome. É nesse movimento de interação, relação com o meio ambiente e nomeação do objeto que as representações, tanto mentais – que ocorrem na mente de um indivíduo (S</w:t>
      </w:r>
      <w:r w:rsidR="008B2C16" w:rsidRPr="00B125DC">
        <w:rPr>
          <w:rFonts w:ascii="Times New Roman" w:eastAsia="Times New Roman" w:hAnsi="Times New Roman" w:cs="Times New Roman"/>
          <w:kern w:val="0"/>
          <w:sz w:val="24"/>
          <w:szCs w:val="24"/>
          <w:lang w:eastAsia="pt-BR"/>
          <w14:ligatures w14:val="none"/>
        </w:rPr>
        <w:t>perber</w:t>
      </w:r>
      <w:r w:rsidRPr="00B125DC">
        <w:rPr>
          <w:rFonts w:ascii="Times New Roman" w:eastAsia="Times New Roman" w:hAnsi="Times New Roman" w:cs="Times New Roman"/>
          <w:kern w:val="0"/>
          <w:sz w:val="24"/>
          <w:szCs w:val="24"/>
          <w:lang w:eastAsia="pt-BR"/>
          <w14:ligatures w14:val="none"/>
        </w:rPr>
        <w:t>, 1985) – quanto sociais, são construídas e externadas como um conhecimento adquirido, no sentido de ser este conhecimento um produto da apreensão da realidade. Porém, há realidades que podem ser ditas como conhecidas para um  indivíduo, um grupo social, ou para uma sociedade, e para outros não. O fator relatividade social (</w:t>
      </w:r>
      <w:r w:rsidR="008B2C16" w:rsidRPr="00B125DC">
        <w:rPr>
          <w:rFonts w:ascii="Times New Roman" w:eastAsia="Times New Roman" w:hAnsi="Times New Roman" w:cs="Times New Roman"/>
          <w:kern w:val="0"/>
          <w:sz w:val="24"/>
          <w:szCs w:val="24"/>
          <w:lang w:eastAsia="pt-BR"/>
          <w14:ligatures w14:val="none"/>
        </w:rPr>
        <w:t>Berger; Luckmann</w:t>
      </w:r>
      <w:r w:rsidRPr="00B125DC">
        <w:rPr>
          <w:rFonts w:ascii="Times New Roman" w:eastAsia="Times New Roman" w:hAnsi="Times New Roman" w:cs="Times New Roman"/>
          <w:kern w:val="0"/>
          <w:sz w:val="24"/>
          <w:szCs w:val="24"/>
          <w:lang w:eastAsia="pt-BR"/>
          <w14:ligatures w14:val="none"/>
        </w:rPr>
        <w:t xml:space="preserve">, 1985) aponta que existem diferenças observáveis entre as sociedades em termos daquilo que é admitido como conhecimento nelas e nos modos gerais pelos quais as realidades são admitidas como conhecidas nas sociedades humanas. </w:t>
      </w:r>
    </w:p>
    <w:p w14:paraId="3DC5BEAF" w14:textId="3C029DFF" w:rsidR="00B125DC" w:rsidRPr="00B125DC" w:rsidRDefault="00B125DC" w:rsidP="00B125DC">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No universo da cultura imaterial brasileira é possível perceber que os diferentes conhecimentos oriundos dos diversos grupos sociais formadores da sociedade brasileira e difundido por seus detentores através de práticas culturais é um fator essencial para a preservação de uma cultura e a identidade de um povo, bem como a transmissão da memória cultural (A</w:t>
      </w:r>
      <w:r w:rsidR="008B2C16" w:rsidRPr="00B125DC">
        <w:rPr>
          <w:rFonts w:ascii="Times New Roman" w:eastAsia="Times New Roman" w:hAnsi="Times New Roman" w:cs="Times New Roman"/>
          <w:kern w:val="0"/>
          <w:sz w:val="24"/>
          <w:szCs w:val="24"/>
          <w:lang w:eastAsia="pt-BR"/>
          <w14:ligatures w14:val="none"/>
        </w:rPr>
        <w:t>ssmann</w:t>
      </w:r>
      <w:r w:rsidRPr="00B125DC">
        <w:rPr>
          <w:rFonts w:ascii="Times New Roman" w:eastAsia="Times New Roman" w:hAnsi="Times New Roman" w:cs="Times New Roman"/>
          <w:kern w:val="0"/>
          <w:sz w:val="24"/>
          <w:szCs w:val="24"/>
          <w:lang w:eastAsia="pt-BR"/>
          <w14:ligatures w14:val="none"/>
        </w:rPr>
        <w:t>, 2008). Podemos citar o samba como exemplo. Samba é gênero musical, é ritmo, é dança, e é também patrimônio cultural imaterial registrado no Livro das Formas de Expressão do Instituto de Patrimônio Histórico e Artístico Nacional (IPHAN), pelo estado do Rio de Janeiro como Matrizes do Samba do Rio de Janeiro: Partido Alto, Samba de Terreiro e Samba-Enredo (B</w:t>
      </w:r>
      <w:r w:rsidR="008B2C16" w:rsidRPr="00B125DC">
        <w:rPr>
          <w:rFonts w:ascii="Times New Roman" w:eastAsia="Times New Roman" w:hAnsi="Times New Roman" w:cs="Times New Roman"/>
          <w:kern w:val="0"/>
          <w:sz w:val="24"/>
          <w:szCs w:val="24"/>
          <w:lang w:eastAsia="pt-BR"/>
          <w14:ligatures w14:val="none"/>
        </w:rPr>
        <w:t>rasil</w:t>
      </w:r>
      <w:r w:rsidRPr="00B125DC">
        <w:rPr>
          <w:rFonts w:ascii="Times New Roman" w:eastAsia="Times New Roman" w:hAnsi="Times New Roman" w:cs="Times New Roman"/>
          <w:kern w:val="0"/>
          <w:sz w:val="24"/>
          <w:szCs w:val="24"/>
          <w:lang w:eastAsia="pt-BR"/>
          <w14:ligatures w14:val="none"/>
        </w:rPr>
        <w:t>, 2004). Dentre as alegações para o tombamento do samba como patrimônio cultural imaterial consta o seguinte argumento: “O significado e a representação que o samba carioca tem, junto ao nosso povo, se confundem com sua própria história, sobretudo com a influência que a África ofereceu a essa terra, possibilitando a inclusão e participação de grande parte dos elementos das classes menos favorecidas” (B</w:t>
      </w:r>
      <w:r w:rsidR="008B2C16" w:rsidRPr="00B125DC">
        <w:rPr>
          <w:rFonts w:ascii="Times New Roman" w:eastAsia="Times New Roman" w:hAnsi="Times New Roman" w:cs="Times New Roman"/>
          <w:kern w:val="0"/>
          <w:sz w:val="24"/>
          <w:szCs w:val="24"/>
          <w:lang w:eastAsia="pt-BR"/>
          <w14:ligatures w14:val="none"/>
        </w:rPr>
        <w:t>rasil</w:t>
      </w:r>
      <w:r w:rsidRPr="00B125DC">
        <w:rPr>
          <w:rFonts w:ascii="Times New Roman" w:eastAsia="Times New Roman" w:hAnsi="Times New Roman" w:cs="Times New Roman"/>
          <w:kern w:val="0"/>
          <w:sz w:val="24"/>
          <w:szCs w:val="24"/>
          <w:lang w:eastAsia="pt-BR"/>
          <w14:ligatures w14:val="none"/>
        </w:rPr>
        <w:t xml:space="preserve">, 2004). </w:t>
      </w:r>
    </w:p>
    <w:p w14:paraId="663107BA" w14:textId="513DDB0C" w:rsidR="00B125DC" w:rsidRPr="00B125DC" w:rsidRDefault="00B125DC" w:rsidP="00B125DC">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No escopo de nosso estudo, as oficinas de percussão popular brasileira da Bateria Feminina Fina Batucada e Bambas de Saia, ambas localizadas na cidade do Rio de Janeiro, constituem nosso cenário empírico. Essas oficinas promovem o ensino da música percussiva em vários ritmos e um deles é o samba. Elas participam de vários eventos culturais significativos, a exemplo do carnaval, e colaboram com a capacitação e inclusão das mulheres em ambientes que ainda são predominantemente masculinos. Em nossa visão, as oficinas de percussão popular brasileira se configuram como dispositivos de manutenção do samba, e de outros ritmos como o maracatu, que também foi reconhecido como patrimônio cultural imaterial. Entendemos que elas também funcionam como um elemento ativo na disseminação dos saberes ligados ao batuque, aos tambores trazidos da África pelos negros escravizados. Dessa forma, notamos que no universo das oficinas de percussão popular brasileira circula um </w:t>
      </w:r>
      <w:r w:rsidRPr="00B125DC">
        <w:rPr>
          <w:rFonts w:ascii="Times New Roman" w:eastAsia="Times New Roman" w:hAnsi="Times New Roman" w:cs="Times New Roman"/>
          <w:kern w:val="0"/>
          <w:sz w:val="24"/>
          <w:szCs w:val="24"/>
          <w:lang w:eastAsia="pt-BR"/>
          <w14:ligatures w14:val="none"/>
        </w:rPr>
        <w:lastRenderedPageBreak/>
        <w:t>tipo de conhecimento que transcende os limites da técnica de ensinar e o ato de tocar, e alcança esferas que se ligam à ancestralidade e à transmissão de uma memória cultural (A</w:t>
      </w:r>
      <w:r w:rsidR="008B2C16" w:rsidRPr="00B125DC">
        <w:rPr>
          <w:rFonts w:ascii="Times New Roman" w:eastAsia="Times New Roman" w:hAnsi="Times New Roman" w:cs="Times New Roman"/>
          <w:kern w:val="0"/>
          <w:sz w:val="24"/>
          <w:szCs w:val="24"/>
          <w:lang w:eastAsia="pt-BR"/>
          <w14:ligatures w14:val="none"/>
        </w:rPr>
        <w:t>ssmann</w:t>
      </w:r>
      <w:r w:rsidRPr="00B125DC">
        <w:rPr>
          <w:rFonts w:ascii="Times New Roman" w:eastAsia="Times New Roman" w:hAnsi="Times New Roman" w:cs="Times New Roman"/>
          <w:kern w:val="0"/>
          <w:sz w:val="24"/>
          <w:szCs w:val="24"/>
          <w:lang w:eastAsia="pt-BR"/>
          <w14:ligatures w14:val="none"/>
        </w:rPr>
        <w:t xml:space="preserve">, 2008). No entanto, capturar esse conhecimento não é tarefa fácil, pois este se encontra no nível da oralidade, circunscrito ao ambiente de aula, ensaio e apresentação do grupo percussivo, o que inclui a participação do indivíduo em eventos de naturezas diferentes. É a experiência como membro do grupo e a imersão no ambiente que guiam o olhar do pesquisador sobre o que tem relevância para aquela comunidade. À luz da CI, nossa contribuição para esse cenário se concentrou na etapa de aquisição de conhecimento sobre o </w:t>
      </w:r>
      <w:r w:rsidR="008B2C16" w:rsidRPr="00B125DC">
        <w:rPr>
          <w:rFonts w:ascii="Times New Roman" w:eastAsia="Times New Roman" w:hAnsi="Times New Roman" w:cs="Times New Roman"/>
          <w:kern w:val="0"/>
          <w:sz w:val="24"/>
          <w:szCs w:val="24"/>
          <w:lang w:eastAsia="pt-BR"/>
          <w14:ligatures w14:val="none"/>
        </w:rPr>
        <w:t>domínio</w:t>
      </w:r>
      <w:r w:rsidRPr="00B125DC">
        <w:rPr>
          <w:rFonts w:ascii="Times New Roman" w:eastAsia="Times New Roman" w:hAnsi="Times New Roman" w:cs="Times New Roman"/>
          <w:kern w:val="0"/>
          <w:sz w:val="24"/>
          <w:szCs w:val="24"/>
          <w:lang w:eastAsia="pt-BR"/>
          <w14:ligatures w14:val="none"/>
        </w:rPr>
        <w:t>, que dentro do processo de modelagem conceitual constitui a primeira etapa do processo, consubstanciando o processo de representação propriamente dito (F</w:t>
      </w:r>
      <w:r w:rsidR="008B2C16" w:rsidRPr="00B125DC">
        <w:rPr>
          <w:rFonts w:ascii="Times New Roman" w:eastAsia="Times New Roman" w:hAnsi="Times New Roman" w:cs="Times New Roman"/>
          <w:kern w:val="0"/>
          <w:sz w:val="24"/>
          <w:szCs w:val="24"/>
          <w:lang w:eastAsia="pt-BR"/>
          <w14:ligatures w14:val="none"/>
        </w:rPr>
        <w:t>albo</w:t>
      </w:r>
      <w:r w:rsidRPr="00B125DC">
        <w:rPr>
          <w:rFonts w:ascii="Times New Roman" w:eastAsia="Times New Roman" w:hAnsi="Times New Roman" w:cs="Times New Roman"/>
          <w:kern w:val="0"/>
          <w:sz w:val="24"/>
          <w:szCs w:val="24"/>
          <w:lang w:eastAsia="pt-BR"/>
          <w14:ligatures w14:val="none"/>
        </w:rPr>
        <w:t xml:space="preserve">, 2014). </w:t>
      </w:r>
    </w:p>
    <w:p w14:paraId="020267B4" w14:textId="77777777" w:rsidR="00B125DC" w:rsidRPr="00B125DC" w:rsidRDefault="00B125DC" w:rsidP="00B125DC">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Assim, a questão que colocamos é de que forma olhar para um domínio que apresenta tantas peculiaridades fortemente pautadas em caracteres humanos e, ainda, demanda a obtenção de informações que, comumente, não são passíveis de serem capturadas por meio de dados registrados e, sim, por meio da visão e narrativas dos atores sociais envolvidos no contexto. Nesse ponto, vale trazer ao jogo a fala do sociólogo Becker (2009), onde ele diz que representações da realidade são relatos sobre a sociedade e podem ser feitas em vários meios – os meios de representação. Assumindo o modelo conceitual ontológico como um meio de representação de uma dada realidade social, elaboramos um conjunto de princípios apropriados à modelagem de domínio no âmbito da cultura popular, no que tange ao contexto de oficinas de percussão popular brasileira, para guiar o olhar do modelador para domínios desta natureza. </w:t>
      </w:r>
    </w:p>
    <w:p w14:paraId="315124E8" w14:textId="77777777" w:rsidR="00B125DC" w:rsidRPr="00B125DC" w:rsidRDefault="00B125DC" w:rsidP="00863B19">
      <w:pPr>
        <w:spacing w:after="0"/>
        <w:rPr>
          <w:rFonts w:ascii="Times New Roman" w:eastAsia="Times New Roman" w:hAnsi="Times New Roman" w:cs="Times New Roman"/>
          <w:kern w:val="0"/>
          <w:sz w:val="24"/>
          <w:szCs w:val="24"/>
          <w:lang w:eastAsia="pt-BR"/>
          <w14:ligatures w14:val="none"/>
        </w:rPr>
      </w:pPr>
    </w:p>
    <w:p w14:paraId="11019AD3" w14:textId="7547D753" w:rsidR="00B125DC" w:rsidRPr="00B125DC" w:rsidRDefault="008B2C16" w:rsidP="00863B19">
      <w:pPr>
        <w:spacing w:after="0" w:line="360" w:lineRule="auto"/>
        <w:contextualSpacing/>
        <w:rPr>
          <w:rFonts w:ascii="Times New Roman" w:eastAsia="Times New Roman" w:hAnsi="Times New Roman" w:cs="Times New Roman"/>
          <w:b/>
          <w:bCs/>
          <w:kern w:val="0"/>
          <w:sz w:val="24"/>
          <w:szCs w:val="24"/>
          <w:lang w:eastAsia="pt-BR"/>
          <w14:ligatures w14:val="none"/>
        </w:rPr>
      </w:pPr>
      <w:r w:rsidRPr="008B2C16">
        <w:rPr>
          <w:rFonts w:ascii="Times New Roman" w:eastAsia="Times New Roman" w:hAnsi="Times New Roman" w:cs="Times New Roman"/>
          <w:kern w:val="0"/>
          <w:sz w:val="24"/>
          <w:szCs w:val="24"/>
          <w:lang w:eastAsia="pt-BR"/>
          <w14:ligatures w14:val="none"/>
        </w:rPr>
        <w:t xml:space="preserve">2 </w:t>
      </w:r>
      <w:r w:rsidR="00B125DC" w:rsidRPr="00B125DC">
        <w:rPr>
          <w:rFonts w:ascii="Times New Roman" w:eastAsia="Times New Roman" w:hAnsi="Times New Roman" w:cs="Times New Roman"/>
          <w:b/>
          <w:bCs/>
          <w:kern w:val="0"/>
          <w:sz w:val="24"/>
          <w:szCs w:val="24"/>
          <w:lang w:eastAsia="pt-BR"/>
          <w14:ligatures w14:val="none"/>
        </w:rPr>
        <w:t>PERCURSO METODOLÓGICO</w:t>
      </w:r>
    </w:p>
    <w:p w14:paraId="059D4029" w14:textId="77777777" w:rsidR="00B125DC" w:rsidRPr="00B125DC" w:rsidRDefault="00B125DC" w:rsidP="00863B19">
      <w:pPr>
        <w:spacing w:after="0" w:line="360" w:lineRule="auto"/>
        <w:ind w:left="360"/>
        <w:contextualSpacing/>
        <w:rPr>
          <w:rFonts w:ascii="Times New Roman" w:eastAsia="Times New Roman" w:hAnsi="Times New Roman" w:cs="Times New Roman"/>
          <w:b/>
          <w:bCs/>
          <w:kern w:val="0"/>
          <w:sz w:val="24"/>
          <w:szCs w:val="24"/>
          <w:lang w:eastAsia="pt-BR"/>
          <w14:ligatures w14:val="none"/>
        </w:rPr>
      </w:pPr>
    </w:p>
    <w:p w14:paraId="7CB31E83" w14:textId="77777777" w:rsidR="00B125DC" w:rsidRPr="00B125DC" w:rsidRDefault="00B125DC" w:rsidP="008B2C16">
      <w:pPr>
        <w:widowControl w:val="0"/>
        <w:adjustRightInd w:val="0"/>
        <w:snapToGrid w:val="0"/>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Batang" w:hAnsi="Times New Roman" w:cs="Times New Roman"/>
          <w:kern w:val="0"/>
          <w:sz w:val="24"/>
          <w:szCs w:val="24"/>
          <w14:ligatures w14:val="none"/>
        </w:rPr>
        <w:t xml:space="preserve">Como tratamos da representação de um domínio cuja realidade é socialmente construída, pensamos em dois movimentos de pesquisa, a saber: (i) Entendimento do domínio e (ii) Representação do domínio. O primeiro movimento foi orientado para a compreensão do domínio, ao entendimento de sua estrutura e funcionamento, e foi motivado pelo uso da informação e do conhecimento para fins social e cultural, inspirado na epistemologia social de Shera (1973), tomando como base a representação de um conhecimento produzido e comunicado por meio de relações e interações sociais, bem como por práticas culturais no âmbito de oficinas de percussão popular brasileira. O segundo movimento foi atrelado à representação do domínio e foi motivado pela análise de aportes teóricos, no âmbito da Ciência da Informação e Ciência da Computação, que forneceram uma visão teórica e metodológica sobre a elaboração de modelos ontológicos. </w:t>
      </w:r>
      <w:r w:rsidRPr="00B125DC">
        <w:rPr>
          <w:rFonts w:ascii="Times New Roman" w:eastAsia="Times New Roman" w:hAnsi="Times New Roman" w:cs="Times New Roman"/>
          <w:kern w:val="0"/>
          <w:sz w:val="24"/>
          <w:szCs w:val="24"/>
          <w:lang w:eastAsia="pt-BR"/>
          <w14:ligatures w14:val="none"/>
        </w:rPr>
        <w:t xml:space="preserve">Os procedimentos metodológicos adotados na </w:t>
      </w:r>
      <w:r w:rsidRPr="00B125DC">
        <w:rPr>
          <w:rFonts w:ascii="Times New Roman" w:eastAsia="Times New Roman" w:hAnsi="Times New Roman" w:cs="Times New Roman"/>
          <w:kern w:val="0"/>
          <w:sz w:val="24"/>
          <w:szCs w:val="24"/>
          <w:lang w:eastAsia="pt-BR"/>
          <w14:ligatures w14:val="none"/>
        </w:rPr>
        <w:lastRenderedPageBreak/>
        <w:t>pesquisa e suas finalidades são descritos a seguir.</w:t>
      </w:r>
    </w:p>
    <w:p w14:paraId="7EA67B93" w14:textId="77777777" w:rsidR="00B125DC" w:rsidRPr="00B125DC" w:rsidRDefault="00B125DC" w:rsidP="008B2C16">
      <w:pPr>
        <w:widowControl w:val="0"/>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pesquisa documental e bibliográfica, que abrangeu o período de maio de 2020 a outubro de 2021 e se debruçou nas bases de dados do Portal CAPES, BRAPCI, BDTD, KO Journal, IEEE Xplore, NOMOS eLibrary, Google Academy, foi orientada pela análise de conteúdo de Bardin (1977) e serviu aos seguintes propósitos:  representação da realidade à luz de pressupostos ontológicos, epistemológicos e de perspectivas [de estudos] sociais; identificação de trabalhos que expressaram ou abordaram as peculiaridades do universo da cultura imaterial, bem como aqueles cuja abordagem denotou relevância para a discussão acerca da representação de domínio socialmente construído; </w:t>
      </w:r>
      <w:bookmarkStart w:id="100" w:name="_Hlk146010769"/>
      <w:r w:rsidRPr="00B125DC">
        <w:rPr>
          <w:rFonts w:ascii="Times New Roman" w:eastAsia="Times New Roman" w:hAnsi="Times New Roman" w:cs="Times New Roman"/>
          <w:kern w:val="0"/>
          <w:sz w:val="24"/>
          <w:szCs w:val="24"/>
          <w:lang w:eastAsia="pt-BR"/>
          <w14:ligatures w14:val="none"/>
        </w:rPr>
        <w:t>identificação de aspectos socioculturais no âmbito da cultura imaterial brasileira relevantes para a modelagem de domínios culturais</w:t>
      </w:r>
      <w:bookmarkEnd w:id="100"/>
      <w:r w:rsidRPr="00B125DC">
        <w:rPr>
          <w:rFonts w:ascii="Times New Roman" w:eastAsia="Times New Roman" w:hAnsi="Times New Roman" w:cs="Times New Roman"/>
          <w:kern w:val="0"/>
          <w:sz w:val="24"/>
          <w:szCs w:val="24"/>
          <w:lang w:eastAsia="pt-BR"/>
          <w14:ligatures w14:val="none"/>
        </w:rPr>
        <w:t xml:space="preserve">; </w:t>
      </w:r>
      <w:bookmarkStart w:id="101" w:name="_Hlk146010566"/>
      <w:r w:rsidRPr="00B125DC">
        <w:rPr>
          <w:rFonts w:ascii="Times New Roman" w:eastAsia="Times New Roman" w:hAnsi="Times New Roman" w:cs="Times New Roman"/>
          <w:kern w:val="0"/>
          <w:sz w:val="24"/>
          <w:szCs w:val="24"/>
          <w:lang w:eastAsia="pt-BR"/>
          <w14:ligatures w14:val="none"/>
        </w:rPr>
        <w:t xml:space="preserve">identificação </w:t>
      </w:r>
      <w:bookmarkEnd w:id="101"/>
      <w:r w:rsidRPr="00B125DC">
        <w:rPr>
          <w:rFonts w:ascii="Times New Roman" w:eastAsia="Times New Roman" w:hAnsi="Times New Roman" w:cs="Times New Roman"/>
          <w:kern w:val="0"/>
          <w:sz w:val="24"/>
          <w:szCs w:val="24"/>
          <w:lang w:eastAsia="pt-BR"/>
          <w14:ligatures w14:val="none"/>
        </w:rPr>
        <w:t>de princípios teóricos e metodológicos de modelagem conceitual de domínios.</w:t>
      </w:r>
    </w:p>
    <w:p w14:paraId="53DFBD7F" w14:textId="77777777" w:rsidR="00B125DC" w:rsidRPr="00B125DC" w:rsidRDefault="00B125DC" w:rsidP="008B2C16">
      <w:pPr>
        <w:widowControl w:val="0"/>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método etnográfico, outro procedimento metodológico adotado, teve como propósito coletar dados empíricos por meio da observação participante (convívio com os membros da Bateria Feminina Fina Batucada na qualidade de aluna da oficina) e não participante (contato com os membros do Projeto Bambas de Saia na qualidade de espectadora dos ensaios) através da permanência do pesquisador no campo de pesquisa.</w:t>
      </w:r>
    </w:p>
    <w:p w14:paraId="49759E28" w14:textId="38BD2BE1" w:rsidR="00B125DC" w:rsidRPr="00B125DC" w:rsidRDefault="00B125DC" w:rsidP="008B2C16">
      <w:pPr>
        <w:widowControl w:val="0"/>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Na interpretação dos dados, nos apoiamos na análise de conteúdo, assim como no método comparativo de Ragin (1994), a partir de sua Tabela Verdade. Através deste procedimento foi possível determinar um conjunto de treze categorias temáticas referendadas pela análise da literatura (S</w:t>
      </w:r>
      <w:r w:rsidR="008B2C16" w:rsidRPr="00B125DC">
        <w:rPr>
          <w:rFonts w:ascii="Times New Roman" w:eastAsia="Times New Roman" w:hAnsi="Times New Roman" w:cs="Times New Roman"/>
          <w:kern w:val="0"/>
          <w:sz w:val="24"/>
          <w:szCs w:val="24"/>
          <w:lang w:eastAsia="pt-BR"/>
          <w14:ligatures w14:val="none"/>
        </w:rPr>
        <w:t>obral</w:t>
      </w:r>
      <w:r w:rsidRPr="00B125DC">
        <w:rPr>
          <w:rFonts w:ascii="Times New Roman" w:eastAsia="Times New Roman" w:hAnsi="Times New Roman" w:cs="Times New Roman"/>
          <w:kern w:val="0"/>
          <w:sz w:val="24"/>
          <w:szCs w:val="24"/>
          <w:lang w:eastAsia="pt-BR"/>
          <w14:ligatures w14:val="none"/>
        </w:rPr>
        <w:t>, 2022), cuja origem se deu pela combinação de temas associados identificados no teor das categorias de análise; identificar as correspondências teóricas que se configuraram como ponto de interseção entre distintos eixos temáticos</w:t>
      </w:r>
      <w:r w:rsidRPr="00B125DC">
        <w:rPr>
          <w:rFonts w:ascii="Times New Roman" w:eastAsia="Times New Roman" w:hAnsi="Times New Roman" w:cs="Times New Roman"/>
          <w:kern w:val="0"/>
          <w:sz w:val="24"/>
          <w:szCs w:val="24"/>
          <w:vertAlign w:val="superscript"/>
          <w:lang w:eastAsia="pt-BR"/>
          <w14:ligatures w14:val="none"/>
        </w:rPr>
        <w:footnoteReference w:id="55"/>
      </w:r>
      <w:r w:rsidRPr="00B125DC">
        <w:rPr>
          <w:rFonts w:ascii="Times New Roman" w:eastAsia="Times New Roman" w:hAnsi="Times New Roman" w:cs="Times New Roman"/>
          <w:kern w:val="0"/>
          <w:sz w:val="24"/>
          <w:szCs w:val="24"/>
          <w:lang w:eastAsia="pt-BR"/>
          <w14:ligatures w14:val="none"/>
        </w:rPr>
        <w:t xml:space="preserve"> analisados na pesquisa, além das categorias temáticas referendadas pela análise do campo empírico, a partir das características específicas do domínio das oficinas de percussão analisadas na pesquisa e os aspectos de caráter geral, ou seja, sem especificidades para determinada oficina de percussão. </w:t>
      </w:r>
    </w:p>
    <w:p w14:paraId="40414963" w14:textId="3EE8E31F" w:rsidR="00B125DC" w:rsidRPr="00B125DC" w:rsidRDefault="00B125DC" w:rsidP="00863B19">
      <w:pPr>
        <w:widowControl w:val="0"/>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E, por fim, com o respaldo da literatura, cuja análise temática (B</w:t>
      </w:r>
      <w:r w:rsidR="008B2C16" w:rsidRPr="00B125DC">
        <w:rPr>
          <w:rFonts w:ascii="Times New Roman" w:eastAsia="Times New Roman" w:hAnsi="Times New Roman" w:cs="Times New Roman"/>
          <w:kern w:val="0"/>
          <w:sz w:val="24"/>
          <w:szCs w:val="24"/>
          <w:lang w:eastAsia="pt-BR"/>
          <w14:ligatures w14:val="none"/>
        </w:rPr>
        <w:t>ardin</w:t>
      </w:r>
      <w:r w:rsidRPr="00B125DC">
        <w:rPr>
          <w:rFonts w:ascii="Times New Roman" w:eastAsia="Times New Roman" w:hAnsi="Times New Roman" w:cs="Times New Roman"/>
          <w:kern w:val="0"/>
          <w:sz w:val="24"/>
          <w:szCs w:val="24"/>
          <w:lang w:eastAsia="pt-BR"/>
          <w14:ligatures w14:val="none"/>
        </w:rPr>
        <w:t>, 1977) forneceu uma cobertura teórica sobre os assuntos correlatos acerca da representação da realidade social para fins de representação de domínio por meio da modelagem ontológica, obtivemos um conjunto de princípios (S</w:t>
      </w:r>
      <w:r w:rsidR="008B2C16" w:rsidRPr="00B125DC">
        <w:rPr>
          <w:rFonts w:ascii="Times New Roman" w:eastAsia="Times New Roman" w:hAnsi="Times New Roman" w:cs="Times New Roman"/>
          <w:kern w:val="0"/>
          <w:sz w:val="24"/>
          <w:szCs w:val="24"/>
          <w:lang w:eastAsia="pt-BR"/>
          <w14:ligatures w14:val="none"/>
        </w:rPr>
        <w:t>obral</w:t>
      </w:r>
      <w:r w:rsidRPr="00B125DC">
        <w:rPr>
          <w:rFonts w:ascii="Times New Roman" w:eastAsia="Times New Roman" w:hAnsi="Times New Roman" w:cs="Times New Roman"/>
          <w:kern w:val="0"/>
          <w:sz w:val="24"/>
          <w:szCs w:val="24"/>
          <w:lang w:eastAsia="pt-BR"/>
          <w14:ligatures w14:val="none"/>
        </w:rPr>
        <w:t>, 2022) apropriados para a modelagem de domínios cuja natureza é interligada a cultura imaterial.</w:t>
      </w:r>
    </w:p>
    <w:p w14:paraId="23A9212D" w14:textId="77777777" w:rsidR="00B125DC" w:rsidRPr="00B125DC" w:rsidRDefault="00B125DC" w:rsidP="00863B19">
      <w:pPr>
        <w:widowControl w:val="0"/>
        <w:spacing w:after="0" w:line="360" w:lineRule="auto"/>
        <w:ind w:firstLine="709"/>
        <w:jc w:val="both"/>
        <w:rPr>
          <w:rFonts w:ascii="Times New Roman" w:eastAsia="Times New Roman" w:hAnsi="Times New Roman" w:cs="Times New Roman"/>
          <w:b/>
          <w:bCs/>
          <w:kern w:val="0"/>
          <w:sz w:val="24"/>
          <w:szCs w:val="24"/>
          <w:lang w:eastAsia="pt-BR"/>
          <w14:ligatures w14:val="none"/>
        </w:rPr>
      </w:pPr>
    </w:p>
    <w:p w14:paraId="2A6A7665" w14:textId="2E3E366C" w:rsidR="00B125DC" w:rsidRPr="00B125DC" w:rsidRDefault="008B2C16" w:rsidP="00863B19">
      <w:pPr>
        <w:spacing w:after="0" w:line="360" w:lineRule="auto"/>
        <w:contextualSpacing/>
        <w:rPr>
          <w:rFonts w:ascii="Times New Roman" w:eastAsia="Times New Roman" w:hAnsi="Times New Roman" w:cs="Times New Roman"/>
          <w:b/>
          <w:bCs/>
          <w:kern w:val="0"/>
          <w:sz w:val="24"/>
          <w:szCs w:val="24"/>
          <w:lang w:eastAsia="pt-BR"/>
          <w14:ligatures w14:val="none"/>
        </w:rPr>
      </w:pPr>
      <w:r w:rsidRPr="008B2C16">
        <w:rPr>
          <w:rFonts w:ascii="Times New Roman" w:eastAsia="Times New Roman" w:hAnsi="Times New Roman" w:cs="Times New Roman"/>
          <w:kern w:val="0"/>
          <w:sz w:val="24"/>
          <w:szCs w:val="24"/>
          <w:lang w:eastAsia="pt-BR"/>
          <w14:ligatures w14:val="none"/>
        </w:rPr>
        <w:lastRenderedPageBreak/>
        <w:t>3</w:t>
      </w:r>
      <w:r>
        <w:rPr>
          <w:rFonts w:ascii="Times New Roman" w:eastAsia="Times New Roman" w:hAnsi="Times New Roman" w:cs="Times New Roman"/>
          <w:b/>
          <w:bCs/>
          <w:kern w:val="0"/>
          <w:sz w:val="24"/>
          <w:szCs w:val="24"/>
          <w:lang w:eastAsia="pt-BR"/>
          <w14:ligatures w14:val="none"/>
        </w:rPr>
        <w:t xml:space="preserve"> </w:t>
      </w:r>
      <w:r w:rsidR="00B125DC" w:rsidRPr="00B125DC">
        <w:rPr>
          <w:rFonts w:ascii="Times New Roman" w:eastAsia="Times New Roman" w:hAnsi="Times New Roman" w:cs="Times New Roman"/>
          <w:b/>
          <w:bCs/>
          <w:kern w:val="0"/>
          <w:sz w:val="24"/>
          <w:szCs w:val="24"/>
          <w:lang w:eastAsia="pt-BR"/>
          <w14:ligatures w14:val="none"/>
        </w:rPr>
        <w:t>O UNIVERSO DA CULTURA IMATERIAL BRASILEIRA</w:t>
      </w:r>
    </w:p>
    <w:p w14:paraId="514CB943" w14:textId="77777777" w:rsidR="00B125DC" w:rsidRPr="00B125DC" w:rsidRDefault="00B125DC" w:rsidP="00863B19">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p>
    <w:p w14:paraId="076C1E81" w14:textId="77777777" w:rsidR="00B125DC" w:rsidRPr="00B125DC" w:rsidRDefault="00B125DC" w:rsidP="00863B19">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Esta seção tem por finalidade apresentar características e elementos que constituem o universo da cultura imaterial brasileira. Dessa forma, por meio da pesquisa bibliográfica, identificamos aspectos socioculturais da cultura imaterial brasileira que apresentaram relevância para a modelagem de domínios culturais. A expressão ‘relevantes para a modelagem de domínios culturais’ se referiu à identificação e ao mapeamento de objetos (em sentido amplo, concretos e abstratos) cujas conexões permitam, de alguma forma, corroborar com a dimensão de identidade e valores culturais de um povo.</w:t>
      </w:r>
    </w:p>
    <w:p w14:paraId="59DAE233" w14:textId="77777777" w:rsidR="00B125DC" w:rsidRPr="00B125DC" w:rsidRDefault="00B125DC" w:rsidP="008B2C16">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Lançamos um olhar para o campo cultural de forma a se valer dos estudos informacionais e computacionais para colaborar com o registro dos saberes produzidos, compartilhados e transmitidos em ambientes culturais. Considerando a natureza da Ciência da Informação do modo como expressou Borko (1968), o uso, a transmissão e a recuperação da informação e do conhecimento se fazem presentes nesse olhar para o campo da cultura imaterial com vistas à captura e registro do conhecimento sobre oficinas de percussão popular para fins de recuperação da informação.</w:t>
      </w:r>
    </w:p>
    <w:p w14:paraId="3D24A63B" w14:textId="77777777" w:rsidR="00B125DC" w:rsidRPr="00B125DC" w:rsidRDefault="00B125DC" w:rsidP="008B2C16">
      <w:pPr>
        <w:spacing w:after="0" w:line="360" w:lineRule="auto"/>
        <w:ind w:firstLine="708"/>
        <w:contextualSpacing/>
        <w:jc w:val="both"/>
        <w:rPr>
          <w:rFonts w:ascii="Times New Roman" w:eastAsia="Times New Roman" w:hAnsi="Times New Roman" w:cs="Times New Roman"/>
          <w:b/>
          <w:bCs/>
          <w:kern w:val="0"/>
          <w:sz w:val="24"/>
          <w:szCs w:val="24"/>
          <w:lang w:eastAsia="pt-BR"/>
          <w14:ligatures w14:val="none"/>
        </w:rPr>
      </w:pPr>
    </w:p>
    <w:p w14:paraId="4209E7E5" w14:textId="563790A0" w:rsidR="00B125DC" w:rsidRDefault="008B2C16" w:rsidP="008B2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8B2C16">
        <w:rPr>
          <w:rFonts w:ascii="Times New Roman" w:hAnsi="Times New Roman" w:cs="Times New Roman"/>
          <w:sz w:val="24"/>
          <w:szCs w:val="24"/>
        </w:rPr>
        <w:t>MANIFESTAÇÕES CULTURAIS DE NATUREZA IMATERIAL</w:t>
      </w:r>
    </w:p>
    <w:p w14:paraId="4C46BFD1" w14:textId="77777777" w:rsidR="008B2C16" w:rsidRPr="008B2C16" w:rsidRDefault="008B2C16" w:rsidP="008B2C16">
      <w:pPr>
        <w:spacing w:after="0" w:line="360" w:lineRule="auto"/>
        <w:jc w:val="both"/>
        <w:rPr>
          <w:rFonts w:ascii="Times New Roman" w:eastAsia="Times New Roman" w:hAnsi="Times New Roman" w:cs="Times New Roman"/>
          <w:kern w:val="0"/>
          <w:sz w:val="24"/>
          <w:szCs w:val="24"/>
          <w:lang w:eastAsia="pt-BR"/>
          <w14:ligatures w14:val="none"/>
        </w:rPr>
      </w:pPr>
    </w:p>
    <w:p w14:paraId="7E8D9AF2" w14:textId="2CDF231B" w:rsidR="00B125DC" w:rsidRPr="00B125DC" w:rsidRDefault="00B125DC" w:rsidP="008B2C16">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universo da cultura imaterial envolve basicamente questões humanas, de preservação de um povo através de sua cultura – seus modos de viver e fazer. Trata-se de ações de comunicação para assegurar a continuidade. Nesse sentido compreendemos que o trabalho de representação de um domínio cultural contribui também para as ações de preservação de uma cultura por meio do registro da informação sobre ela.</w:t>
      </w:r>
    </w:p>
    <w:p w14:paraId="197E28B5" w14:textId="494E8B5B" w:rsidR="00B125DC" w:rsidRPr="00B125DC" w:rsidRDefault="00B125DC" w:rsidP="00B125DC">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De acordo com os documentos do IPHAN (I</w:t>
      </w:r>
      <w:r w:rsidR="008B2C16" w:rsidRPr="00B125DC">
        <w:rPr>
          <w:rFonts w:ascii="Times New Roman" w:eastAsia="Times New Roman" w:hAnsi="Times New Roman" w:cs="Times New Roman"/>
          <w:kern w:val="0"/>
          <w:sz w:val="24"/>
          <w:szCs w:val="24"/>
          <w:lang w:eastAsia="pt-BR"/>
          <w14:ligatures w14:val="none"/>
        </w:rPr>
        <w:t>nstituto</w:t>
      </w:r>
      <w:r w:rsidRPr="00B125DC">
        <w:rPr>
          <w:rFonts w:ascii="Times New Roman" w:eastAsia="Times New Roman" w:hAnsi="Times New Roman" w:cs="Times New Roman"/>
          <w:kern w:val="0"/>
          <w:sz w:val="24"/>
          <w:szCs w:val="24"/>
          <w:lang w:eastAsia="pt-BR"/>
          <w14:ligatures w14:val="none"/>
        </w:rPr>
        <w:t>, [20--]a) e da Organização das Nações Unidas para a Educação, a Ciência e a Cultura - UNESCO (O</w:t>
      </w:r>
      <w:r w:rsidR="008B2C16" w:rsidRPr="00B125DC">
        <w:rPr>
          <w:rFonts w:ascii="Times New Roman" w:eastAsia="Times New Roman" w:hAnsi="Times New Roman" w:cs="Times New Roman"/>
          <w:kern w:val="0"/>
          <w:sz w:val="24"/>
          <w:szCs w:val="24"/>
          <w:lang w:eastAsia="pt-BR"/>
          <w14:ligatures w14:val="none"/>
        </w:rPr>
        <w:t>rganização</w:t>
      </w:r>
      <w:r w:rsidRPr="00B125DC">
        <w:rPr>
          <w:rFonts w:ascii="Times New Roman" w:eastAsia="Times New Roman" w:hAnsi="Times New Roman" w:cs="Times New Roman"/>
          <w:kern w:val="0"/>
          <w:sz w:val="24"/>
          <w:szCs w:val="24"/>
          <w:lang w:eastAsia="pt-BR"/>
          <w14:ligatures w14:val="none"/>
        </w:rPr>
        <w:t xml:space="preserve">, 2002; 2003), a cultura imaterial é composta por bens culturais de natureza imaterial, compreendendo por esse termo um patrimônio cultural intangível produzido e difundido por meio das culturas populares. Em outras palavras, esse tipo de cultura diz respeito aos processos, ou bens ‘vivos’, cujo principal repositório é a mente, e cujo principal veículo é o corpo humano. Processos cuja existência depende diretamente dos indivíduos, grupos ou comunidades que são seus detentores ou portadores – e, com isso, qualquer possibilidade de fruição, acesso ou uso. “A salvaguarda nesse campo deve, portanto, estar mais orientada para a valorização do ser humano e para o </w:t>
      </w:r>
      <w:r w:rsidRPr="00B125DC">
        <w:rPr>
          <w:rFonts w:ascii="Times New Roman" w:eastAsia="Times New Roman" w:hAnsi="Times New Roman" w:cs="Times New Roman"/>
          <w:kern w:val="0"/>
          <w:sz w:val="24"/>
          <w:szCs w:val="24"/>
          <w:lang w:eastAsia="pt-BR"/>
          <w14:ligatures w14:val="none"/>
        </w:rPr>
        <w:lastRenderedPageBreak/>
        <w:t>registro do seu saber do que para a preservação ou valorização de objetos e produtos” (F</w:t>
      </w:r>
      <w:r w:rsidR="008B2C16" w:rsidRPr="00B125DC">
        <w:rPr>
          <w:rFonts w:ascii="Times New Roman" w:eastAsia="Times New Roman" w:hAnsi="Times New Roman" w:cs="Times New Roman"/>
          <w:kern w:val="0"/>
          <w:sz w:val="24"/>
          <w:szCs w:val="24"/>
          <w:lang w:eastAsia="pt-BR"/>
          <w14:ligatures w14:val="none"/>
        </w:rPr>
        <w:t>alcão</w:t>
      </w:r>
      <w:r w:rsidRPr="00B125DC">
        <w:rPr>
          <w:rFonts w:ascii="Times New Roman" w:eastAsia="Times New Roman" w:hAnsi="Times New Roman" w:cs="Times New Roman"/>
          <w:kern w:val="0"/>
          <w:sz w:val="24"/>
          <w:szCs w:val="24"/>
          <w:lang w:eastAsia="pt-BR"/>
          <w14:ligatures w14:val="none"/>
        </w:rPr>
        <w:t>, 2005, p. 7).</w:t>
      </w:r>
    </w:p>
    <w:p w14:paraId="17EC65B9" w14:textId="200254F0" w:rsidR="00B125DC" w:rsidRPr="00B125DC" w:rsidRDefault="00B125DC" w:rsidP="00B125DC">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Conforme descrito no Inventário Nacional de Referências Culturais - INRC (C</w:t>
      </w:r>
      <w:r w:rsidR="008B2C16" w:rsidRPr="00B125DC">
        <w:rPr>
          <w:rFonts w:ascii="Times New Roman" w:eastAsia="Times New Roman" w:hAnsi="Times New Roman" w:cs="Times New Roman"/>
          <w:kern w:val="0"/>
          <w:sz w:val="24"/>
          <w:szCs w:val="24"/>
          <w:lang w:eastAsia="pt-BR"/>
          <w14:ligatures w14:val="none"/>
        </w:rPr>
        <w:t>orsino</w:t>
      </w:r>
      <w:r w:rsidRPr="00B125DC">
        <w:rPr>
          <w:rFonts w:ascii="Times New Roman" w:eastAsia="Times New Roman" w:hAnsi="Times New Roman" w:cs="Times New Roman"/>
          <w:kern w:val="0"/>
          <w:sz w:val="24"/>
          <w:szCs w:val="24"/>
          <w:lang w:eastAsia="pt-BR"/>
          <w14:ligatures w14:val="none"/>
        </w:rPr>
        <w:t>, 2000), as categorias que organizam os bens culturais de natureza imaterial são: Celebrações, Formas de Expressão, Ofícios e Modos de Fazer, Edificações e Lugares. Como exemplo de forma de expressão, temos as Matrizes do Samba no Rio de Janeiro</w:t>
      </w:r>
      <w:r w:rsidRPr="00B125DC">
        <w:rPr>
          <w:rFonts w:ascii="Times New Roman" w:eastAsia="Times New Roman" w:hAnsi="Times New Roman" w:cs="Times New Roman"/>
          <w:kern w:val="0"/>
          <w:sz w:val="24"/>
          <w:szCs w:val="24"/>
          <w:vertAlign w:val="superscript"/>
          <w:lang w:eastAsia="pt-BR"/>
          <w14:ligatures w14:val="none"/>
        </w:rPr>
        <w:footnoteReference w:id="56"/>
      </w:r>
      <w:r w:rsidRPr="00B125DC">
        <w:rPr>
          <w:rFonts w:ascii="Times New Roman" w:eastAsia="Times New Roman" w:hAnsi="Times New Roman" w:cs="Times New Roman"/>
          <w:kern w:val="0"/>
          <w:sz w:val="24"/>
          <w:szCs w:val="24"/>
          <w:lang w:eastAsia="pt-BR"/>
          <w14:ligatures w14:val="none"/>
        </w:rPr>
        <w:t>: Partido Alto, Samba de Terreiro e Samba-Enredo, ambos intitulados Patrimônio Cultural Imaterial do Brasil, inscritos no Livro das Formas de Expressão, onde são registradas manifestações literárias, musicais, plásticas, cênicas e lúdicas, associadas às múltiplas formas de comunicação não linguísticas reconhecidas e associadas a determinado grupo social ou região, desenvolvidas por atores sociais reconhecidos pela comunidade e em relação às quais o costume define normas, expectativas e padrões de qualidade (C</w:t>
      </w:r>
      <w:r w:rsidR="008B2C16" w:rsidRPr="00B125DC">
        <w:rPr>
          <w:rFonts w:ascii="Times New Roman" w:eastAsia="Times New Roman" w:hAnsi="Times New Roman" w:cs="Times New Roman"/>
          <w:kern w:val="0"/>
          <w:sz w:val="24"/>
          <w:szCs w:val="24"/>
          <w:lang w:eastAsia="pt-BR"/>
          <w14:ligatures w14:val="none"/>
        </w:rPr>
        <w:t>orsino</w:t>
      </w:r>
      <w:r w:rsidRPr="00B125DC">
        <w:rPr>
          <w:rFonts w:ascii="Times New Roman" w:eastAsia="Times New Roman" w:hAnsi="Times New Roman" w:cs="Times New Roman"/>
          <w:kern w:val="0"/>
          <w:sz w:val="24"/>
          <w:szCs w:val="24"/>
          <w:lang w:eastAsia="pt-BR"/>
          <w14:ligatures w14:val="none"/>
        </w:rPr>
        <w:t>, 2000).</w:t>
      </w:r>
    </w:p>
    <w:p w14:paraId="630725FF" w14:textId="6423BDFC" w:rsidR="00B125DC" w:rsidRPr="00B125DC" w:rsidRDefault="00B125DC" w:rsidP="00B125DC">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No escopo dos estudos desenvolvidos, destacamos como pontos de fundamentação para o seu desenvolvimento a diretriz para o registro de patrimônio imaterial</w:t>
      </w:r>
      <w:r w:rsidRPr="00B125DC">
        <w:rPr>
          <w:rFonts w:ascii="Times New Roman" w:eastAsia="Times New Roman" w:hAnsi="Times New Roman" w:cs="Times New Roman"/>
          <w:kern w:val="0"/>
          <w:sz w:val="24"/>
          <w:szCs w:val="24"/>
          <w:vertAlign w:val="superscript"/>
          <w:lang w:eastAsia="pt-BR"/>
          <w14:ligatures w14:val="none"/>
        </w:rPr>
        <w:footnoteReference w:id="57"/>
      </w:r>
      <w:r w:rsidRPr="00B125DC">
        <w:rPr>
          <w:rFonts w:ascii="Times New Roman" w:eastAsia="Times New Roman" w:hAnsi="Times New Roman" w:cs="Times New Roman"/>
          <w:kern w:val="0"/>
          <w:sz w:val="24"/>
          <w:szCs w:val="24"/>
          <w:lang w:eastAsia="pt-BR"/>
          <w14:ligatures w14:val="none"/>
        </w:rPr>
        <w:t xml:space="preserve"> intitulada  referenciamento cultural de populações afro-brasileiras (I</w:t>
      </w:r>
      <w:r w:rsidR="008B2C16" w:rsidRPr="00B125DC">
        <w:rPr>
          <w:rFonts w:ascii="Times New Roman" w:eastAsia="Times New Roman" w:hAnsi="Times New Roman" w:cs="Times New Roman"/>
          <w:kern w:val="0"/>
          <w:sz w:val="24"/>
          <w:szCs w:val="24"/>
          <w:lang w:eastAsia="pt-BR"/>
          <w14:ligatures w14:val="none"/>
        </w:rPr>
        <w:t>nstituto</w:t>
      </w:r>
      <w:r w:rsidRPr="00B125DC">
        <w:rPr>
          <w:rFonts w:ascii="Times New Roman" w:eastAsia="Times New Roman" w:hAnsi="Times New Roman" w:cs="Times New Roman"/>
          <w:kern w:val="0"/>
          <w:sz w:val="24"/>
          <w:szCs w:val="24"/>
          <w:lang w:eastAsia="pt-BR"/>
          <w14:ligatures w14:val="none"/>
        </w:rPr>
        <w:t>, [20</w:t>
      </w:r>
      <w:r w:rsidRPr="00B125DC">
        <w:rPr>
          <w:rFonts w:ascii="Times New Roman" w:eastAsia="Times New Roman" w:hAnsi="Times New Roman" w:cs="Times New Roman"/>
          <w:kern w:val="0"/>
          <w:sz w:val="24"/>
          <w:szCs w:val="24"/>
          <w:lang w:eastAsia="pt-BR"/>
          <w14:ligatures w14:val="none"/>
        </w:rPr>
        <w:noBreakHyphen/>
      </w:r>
      <w:r w:rsidRPr="00B125DC">
        <w:rPr>
          <w:rFonts w:ascii="Times New Roman" w:eastAsia="Times New Roman" w:hAnsi="Times New Roman" w:cs="Times New Roman"/>
          <w:kern w:val="0"/>
          <w:sz w:val="24"/>
          <w:szCs w:val="24"/>
          <w:lang w:eastAsia="pt-BR"/>
          <w14:ligatures w14:val="none"/>
        </w:rPr>
        <w:noBreakHyphen/>
        <w:t>]b) e a categoria formas de expressão, por se tratar da (i) historicidade de um povo que remonta a época de sua chegada ao Brasil na condição de escravo até o estabelecimento de uma população negra no Brasil, enfatizando a herança cultural negra no campo da música – o samba (I</w:t>
      </w:r>
      <w:r w:rsidR="008B2C16" w:rsidRPr="00B125DC">
        <w:rPr>
          <w:rFonts w:ascii="Times New Roman" w:eastAsia="Times New Roman" w:hAnsi="Times New Roman" w:cs="Times New Roman"/>
          <w:kern w:val="0"/>
          <w:sz w:val="24"/>
          <w:szCs w:val="24"/>
          <w:lang w:eastAsia="pt-BR"/>
          <w14:ligatures w14:val="none"/>
        </w:rPr>
        <w:t>nstituto</w:t>
      </w:r>
      <w:r w:rsidRPr="00B125DC">
        <w:rPr>
          <w:rFonts w:ascii="Times New Roman" w:eastAsia="Times New Roman" w:hAnsi="Times New Roman" w:cs="Times New Roman"/>
          <w:kern w:val="0"/>
          <w:sz w:val="24"/>
          <w:szCs w:val="24"/>
          <w:lang w:eastAsia="pt-BR"/>
          <w14:ligatures w14:val="none"/>
        </w:rPr>
        <w:t>, 2023); e (ii) apreensão das performances culturais de grupos sociais que são por eles consideradas importantes para a sua cultura, memória e identidade (I</w:t>
      </w:r>
      <w:r w:rsidR="008B2C16" w:rsidRPr="00B125DC">
        <w:rPr>
          <w:rFonts w:ascii="Times New Roman" w:eastAsia="Times New Roman" w:hAnsi="Times New Roman" w:cs="Times New Roman"/>
          <w:kern w:val="0"/>
          <w:sz w:val="24"/>
          <w:szCs w:val="24"/>
          <w:lang w:eastAsia="pt-BR"/>
          <w14:ligatures w14:val="none"/>
        </w:rPr>
        <w:t>nstituto</w:t>
      </w:r>
      <w:r w:rsidRPr="00B125DC">
        <w:rPr>
          <w:rFonts w:ascii="Times New Roman" w:eastAsia="Times New Roman" w:hAnsi="Times New Roman" w:cs="Times New Roman"/>
          <w:kern w:val="0"/>
          <w:sz w:val="24"/>
          <w:szCs w:val="24"/>
          <w:lang w:eastAsia="pt-BR"/>
          <w14:ligatures w14:val="none"/>
        </w:rPr>
        <w:t>, [20--]c).</w:t>
      </w:r>
    </w:p>
    <w:p w14:paraId="2449A5E5" w14:textId="03F44D78" w:rsidR="00B125DC" w:rsidRPr="00B125DC" w:rsidRDefault="00B125DC" w:rsidP="00B125DC">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Nesse sentido, através dos aspectos levantados na literatura correspondente ao universo da cultura imaterial brasileira, consideramos como principais caracteres desse universo a valorização do ser humano e o registro do saber humano (F</w:t>
      </w:r>
      <w:r w:rsidR="008B2C16" w:rsidRPr="00B125DC">
        <w:rPr>
          <w:rFonts w:ascii="Times New Roman" w:eastAsia="Times New Roman" w:hAnsi="Times New Roman" w:cs="Times New Roman"/>
          <w:kern w:val="0"/>
          <w:sz w:val="24"/>
          <w:szCs w:val="24"/>
          <w:lang w:eastAsia="pt-BR"/>
          <w14:ligatures w14:val="none"/>
        </w:rPr>
        <w:t>alcão</w:t>
      </w:r>
      <w:r w:rsidRPr="00B125DC">
        <w:rPr>
          <w:rFonts w:ascii="Times New Roman" w:eastAsia="Times New Roman" w:hAnsi="Times New Roman" w:cs="Times New Roman"/>
          <w:kern w:val="0"/>
          <w:sz w:val="24"/>
          <w:szCs w:val="24"/>
          <w:lang w:eastAsia="pt-BR"/>
          <w14:ligatures w14:val="none"/>
        </w:rPr>
        <w:t>, 2005); as práticas e referências culturais (</w:t>
      </w:r>
      <w:r w:rsidR="008B2C16" w:rsidRPr="00B125DC">
        <w:rPr>
          <w:rFonts w:ascii="Times New Roman" w:eastAsia="Times New Roman" w:hAnsi="Times New Roman" w:cs="Times New Roman"/>
          <w:kern w:val="0"/>
          <w:sz w:val="24"/>
          <w:szCs w:val="24"/>
          <w:lang w:eastAsia="pt-BR"/>
          <w14:ligatures w14:val="none"/>
        </w:rPr>
        <w:t>Corsino</w:t>
      </w:r>
      <w:r w:rsidRPr="00B125DC">
        <w:rPr>
          <w:rFonts w:ascii="Times New Roman" w:eastAsia="Times New Roman" w:hAnsi="Times New Roman" w:cs="Times New Roman"/>
          <w:kern w:val="0"/>
          <w:sz w:val="24"/>
          <w:szCs w:val="24"/>
          <w:lang w:eastAsia="pt-BR"/>
          <w14:ligatures w14:val="none"/>
        </w:rPr>
        <w:t>, 2000); e identidade e valor cultural (</w:t>
      </w:r>
      <w:r w:rsidR="008B2C16" w:rsidRPr="00B125DC">
        <w:rPr>
          <w:rFonts w:ascii="Times New Roman" w:eastAsia="Times New Roman" w:hAnsi="Times New Roman" w:cs="Times New Roman"/>
          <w:kern w:val="0"/>
          <w:sz w:val="24"/>
          <w:szCs w:val="24"/>
          <w:lang w:eastAsia="pt-BR"/>
          <w14:ligatures w14:val="none"/>
        </w:rPr>
        <w:t>Roque; Cunha</w:t>
      </w:r>
      <w:r w:rsidRPr="00B125DC">
        <w:rPr>
          <w:rFonts w:ascii="Times New Roman" w:eastAsia="Times New Roman" w:hAnsi="Times New Roman" w:cs="Times New Roman"/>
          <w:kern w:val="0"/>
          <w:sz w:val="24"/>
          <w:szCs w:val="24"/>
          <w:lang w:eastAsia="pt-BR"/>
          <w14:ligatures w14:val="none"/>
        </w:rPr>
        <w:t>, 2014).</w:t>
      </w:r>
    </w:p>
    <w:p w14:paraId="386DF824" w14:textId="77777777" w:rsidR="00B125DC" w:rsidRPr="00B125DC" w:rsidRDefault="00B125DC" w:rsidP="00B125DC">
      <w:pPr>
        <w:spacing w:after="0" w:line="360" w:lineRule="auto"/>
        <w:ind w:firstLine="708"/>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Tendo em vista que o objeto central de nossa pesquisa foram às oficinas de percussão popular brasileira da Bateria Feminina Fina Batucada e do Projeto Bambas de Saia, cujo samba é um dos ritmos ensinados em ambas as oficinas, consideramos pertinente o estudo sobre representação de domínio em contexto cultural, a fim de contribuir com o mapeamento dos objetos do contexto de ensino e aprendizagem da música percussiva que corroboram com a manutenção do social e da herança cultural.</w:t>
      </w:r>
    </w:p>
    <w:p w14:paraId="6DD54E86" w14:textId="77777777" w:rsidR="00B125DC" w:rsidRPr="00B125DC" w:rsidRDefault="00B125DC" w:rsidP="00863B19">
      <w:pPr>
        <w:spacing w:after="0" w:line="360" w:lineRule="auto"/>
        <w:ind w:left="432"/>
        <w:contextualSpacing/>
        <w:rPr>
          <w:rFonts w:ascii="Times New Roman" w:eastAsia="Times New Roman" w:hAnsi="Times New Roman" w:cs="Times New Roman"/>
          <w:b/>
          <w:bCs/>
          <w:kern w:val="0"/>
          <w:sz w:val="24"/>
          <w:szCs w:val="24"/>
          <w:lang w:eastAsia="pt-BR"/>
          <w14:ligatures w14:val="none"/>
        </w:rPr>
      </w:pPr>
    </w:p>
    <w:p w14:paraId="2B325587" w14:textId="17D22E2F" w:rsidR="00B125DC" w:rsidRPr="00B125DC" w:rsidRDefault="008B2C16" w:rsidP="00863B19">
      <w:pPr>
        <w:spacing w:after="0" w:line="360" w:lineRule="auto"/>
        <w:contextualSpacing/>
        <w:jc w:val="both"/>
        <w:rPr>
          <w:rFonts w:ascii="Times New Roman" w:eastAsia="Times New Roman" w:hAnsi="Times New Roman" w:cs="Times New Roman"/>
          <w:b/>
          <w:bCs/>
          <w:kern w:val="0"/>
          <w:sz w:val="24"/>
          <w:szCs w:val="24"/>
          <w:lang w:eastAsia="pt-BR"/>
          <w14:ligatures w14:val="none"/>
        </w:rPr>
      </w:pPr>
      <w:r w:rsidRPr="008B2C16">
        <w:rPr>
          <w:rFonts w:ascii="Times New Roman" w:eastAsia="Times New Roman" w:hAnsi="Times New Roman" w:cs="Times New Roman"/>
          <w:kern w:val="0"/>
          <w:sz w:val="24"/>
          <w:szCs w:val="24"/>
          <w:lang w:eastAsia="pt-BR"/>
          <w14:ligatures w14:val="none"/>
        </w:rPr>
        <w:t>3.2</w:t>
      </w:r>
      <w:r>
        <w:rPr>
          <w:rFonts w:ascii="Times New Roman" w:eastAsia="Times New Roman" w:hAnsi="Times New Roman" w:cs="Times New Roman"/>
          <w:b/>
          <w:bCs/>
          <w:kern w:val="0"/>
          <w:sz w:val="24"/>
          <w:szCs w:val="24"/>
          <w:lang w:eastAsia="pt-BR"/>
          <w14:ligatures w14:val="none"/>
        </w:rPr>
        <w:t xml:space="preserve"> </w:t>
      </w:r>
      <w:r w:rsidRPr="00B125DC">
        <w:rPr>
          <w:rFonts w:ascii="Times New Roman" w:eastAsia="Times New Roman" w:hAnsi="Times New Roman" w:cs="Times New Roman"/>
          <w:kern w:val="0"/>
          <w:sz w:val="24"/>
          <w:szCs w:val="24"/>
          <w:lang w:eastAsia="pt-BR"/>
          <w14:ligatures w14:val="none"/>
        </w:rPr>
        <w:t>AS OFICINAS DE PERCUSSÃO POPULAR E O LEGADO DO POVO AFRO-BRASILEIRO</w:t>
      </w:r>
    </w:p>
    <w:p w14:paraId="4507F6C8" w14:textId="77777777" w:rsidR="00B125DC" w:rsidRPr="00B125DC" w:rsidRDefault="00B125DC" w:rsidP="00863B19">
      <w:pPr>
        <w:spacing w:after="0" w:line="360" w:lineRule="auto"/>
        <w:ind w:firstLine="709"/>
        <w:jc w:val="both"/>
        <w:rPr>
          <w:rFonts w:ascii="Times New Roman" w:eastAsia="Times New Roman" w:hAnsi="Times New Roman" w:cs="Times New Roman"/>
          <w:kern w:val="0"/>
          <w:sz w:val="24"/>
          <w:szCs w:val="24"/>
          <w:lang w:eastAsia="pt-BR"/>
          <w14:ligatures w14:val="none"/>
        </w:rPr>
      </w:pPr>
    </w:p>
    <w:p w14:paraId="5D932F38" w14:textId="77777777" w:rsidR="00B125DC" w:rsidRPr="00B125DC" w:rsidRDefault="00B125DC" w:rsidP="00863B19">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As oficinas de percussão popular brasileira</w:t>
      </w:r>
      <w:r w:rsidRPr="00B125DC">
        <w:rPr>
          <w:rFonts w:ascii="Times New Roman" w:eastAsia="Times New Roman" w:hAnsi="Times New Roman" w:cs="Times New Roman"/>
          <w:kern w:val="0"/>
          <w:sz w:val="24"/>
          <w:szCs w:val="24"/>
          <w:vertAlign w:val="superscript"/>
          <w:lang w:eastAsia="pt-BR"/>
          <w14:ligatures w14:val="none"/>
        </w:rPr>
        <w:footnoteReference w:id="58"/>
      </w:r>
      <w:r w:rsidRPr="00B125DC">
        <w:rPr>
          <w:rFonts w:ascii="Times New Roman" w:eastAsia="Times New Roman" w:hAnsi="Times New Roman" w:cs="Times New Roman"/>
          <w:kern w:val="0"/>
          <w:sz w:val="24"/>
          <w:szCs w:val="24"/>
          <w:lang w:eastAsia="pt-BR"/>
          <w14:ligatures w14:val="none"/>
        </w:rPr>
        <w:t xml:space="preserve"> da Bateria Feminina Fina Batucada e do Projeto Bambas de Saia se configuraram como campo empírico da pesquisa. Ambas estão localizadas na cidade do Rio de Janeiro e oferecem aulas de percussão tendo o samba como ritmo predominante. Resumidamente, descrevemos a seguir o delineamento do contexto das oficinas de percussão analisadas, com base nos dados coletados pela pesquisadora inserida no campo de pesquisa e pela busca por documentos disponibilizados em websites sociais, midiáticos e especializados em cultura.</w:t>
      </w:r>
    </w:p>
    <w:p w14:paraId="72876C01" w14:textId="7643DBAC" w:rsidR="00B125DC" w:rsidRPr="00B125DC" w:rsidRDefault="00B125DC" w:rsidP="00B125DC">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 Bateria Feminina Fina Batucada (F</w:t>
      </w:r>
      <w:r w:rsidR="008B2C16" w:rsidRPr="00B125DC">
        <w:rPr>
          <w:rFonts w:ascii="Times New Roman" w:eastAsia="Times New Roman" w:hAnsi="Times New Roman" w:cs="Times New Roman"/>
          <w:kern w:val="0"/>
          <w:sz w:val="24"/>
          <w:szCs w:val="24"/>
          <w:lang w:eastAsia="pt-BR"/>
          <w14:ligatures w14:val="none"/>
        </w:rPr>
        <w:t>ina</w:t>
      </w:r>
      <w:r w:rsidRPr="00B125DC">
        <w:rPr>
          <w:rFonts w:ascii="Times New Roman" w:eastAsia="Times New Roman" w:hAnsi="Times New Roman" w:cs="Times New Roman"/>
          <w:kern w:val="0"/>
          <w:sz w:val="24"/>
          <w:szCs w:val="24"/>
          <w:lang w:eastAsia="pt-BR"/>
          <w14:ligatures w14:val="none"/>
        </w:rPr>
        <w:t>, 2023) foi fundada em 1998 pelo Mestre Riko, professor e criador do Curso de Percussão Popular da Escola de Música Villa-Lobos, com o objetivo de formar um grupo percussivo exclusivo para mulheres, onde elas pudessem tocar todo e qualquer instrumento utilizado em baterias de escola de samba. A fundação da bateria foi motivada pelo olhar de Mestre Riko durante os ensaios das escolas de samba, onde percebeu que eram poucas as mulheres ritmistas e, ainda assim, elas não podiam tocar qualquer instrumento. Por essa razão, a bateria do Mestre Riko é conhecida por sua contribuição ao mundo do samba, e ao carnaval da cidade do Rio de Janeiro, pela promoção da capacitação de mulheres percussionistas, tendo como espaço de atuação as baterias de escola de samba e dos blocos carnavalescos, e também os grupos musicais de samba formado por mulheres, a exemplo do grupo de samba Moça Prosa (M</w:t>
      </w:r>
      <w:r w:rsidR="008B2C16" w:rsidRPr="00B125DC">
        <w:rPr>
          <w:rFonts w:ascii="Times New Roman" w:eastAsia="Times New Roman" w:hAnsi="Times New Roman" w:cs="Times New Roman"/>
          <w:kern w:val="0"/>
          <w:sz w:val="24"/>
          <w:szCs w:val="24"/>
          <w:lang w:eastAsia="pt-BR"/>
          <w14:ligatures w14:val="none"/>
        </w:rPr>
        <w:t>oça</w:t>
      </w:r>
      <w:r w:rsidRPr="00B125DC">
        <w:rPr>
          <w:rFonts w:ascii="Times New Roman" w:eastAsia="Times New Roman" w:hAnsi="Times New Roman" w:cs="Times New Roman"/>
          <w:kern w:val="0"/>
          <w:sz w:val="24"/>
          <w:szCs w:val="24"/>
          <w:lang w:eastAsia="pt-BR"/>
          <w14:ligatures w14:val="none"/>
        </w:rPr>
        <w:t xml:space="preserve">, 2022). </w:t>
      </w:r>
    </w:p>
    <w:p w14:paraId="50475B72" w14:textId="126634F6" w:rsidR="00B125DC" w:rsidRPr="00B125DC" w:rsidRDefault="00B125DC" w:rsidP="00B125DC">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Projeto Bambas de Saia (B</w:t>
      </w:r>
      <w:r w:rsidR="008B2C16" w:rsidRPr="00B125DC">
        <w:rPr>
          <w:rFonts w:ascii="Times New Roman" w:eastAsia="Times New Roman" w:hAnsi="Times New Roman" w:cs="Times New Roman"/>
          <w:kern w:val="0"/>
          <w:sz w:val="24"/>
          <w:szCs w:val="24"/>
          <w:lang w:eastAsia="pt-BR"/>
          <w14:ligatures w14:val="none"/>
        </w:rPr>
        <w:t>ambas</w:t>
      </w:r>
      <w:r w:rsidRPr="00B125DC">
        <w:rPr>
          <w:rFonts w:ascii="Times New Roman" w:eastAsia="Times New Roman" w:hAnsi="Times New Roman" w:cs="Times New Roman"/>
          <w:kern w:val="0"/>
          <w:sz w:val="24"/>
          <w:szCs w:val="24"/>
          <w:lang w:eastAsia="pt-BR"/>
          <w14:ligatures w14:val="none"/>
        </w:rPr>
        <w:t xml:space="preserve">, 2022) foi criado em 2011, pelo professor Wagner Silveira, na Pedra do Sal (RJ), com o objetivo de ensinar mulheres a tocar instrumentos de percussão utilizados em rodas de samba voltadas para o samba de raiz. A criação do projeto foi motivada pela percepção do professor Wagner Silveira de que o ensino de instrumento para mulheres produzia efeitos terapêuticos e, também, o desejo de capacitar mulheres para tocar em rodas de samba. A oficina de percussão do prof. Wagner Silveira reúne mulheres de diferentes </w:t>
      </w:r>
      <w:r w:rsidRPr="00B125DC">
        <w:rPr>
          <w:rFonts w:ascii="Times New Roman" w:eastAsia="Times New Roman" w:hAnsi="Times New Roman" w:cs="Times New Roman"/>
          <w:kern w:val="0"/>
          <w:sz w:val="24"/>
          <w:szCs w:val="24"/>
          <w:lang w:eastAsia="pt-BR"/>
          <w14:ligatures w14:val="none"/>
        </w:rPr>
        <w:lastRenderedPageBreak/>
        <w:t>idades, em locais como bares e Pedra do Sal</w:t>
      </w:r>
      <w:r w:rsidRPr="00B125DC">
        <w:rPr>
          <w:rFonts w:ascii="Times New Roman" w:eastAsia="Times New Roman" w:hAnsi="Times New Roman" w:cs="Times New Roman"/>
          <w:kern w:val="0"/>
          <w:sz w:val="24"/>
          <w:szCs w:val="24"/>
          <w:vertAlign w:val="superscript"/>
          <w:lang w:eastAsia="pt-BR"/>
          <w14:ligatures w14:val="none"/>
        </w:rPr>
        <w:footnoteReference w:id="59"/>
      </w:r>
      <w:r w:rsidRPr="00B125DC">
        <w:rPr>
          <w:rFonts w:ascii="Times New Roman" w:eastAsia="Times New Roman" w:hAnsi="Times New Roman" w:cs="Times New Roman"/>
          <w:kern w:val="0"/>
          <w:sz w:val="24"/>
          <w:szCs w:val="24"/>
          <w:lang w:eastAsia="pt-BR"/>
          <w14:ligatures w14:val="none"/>
        </w:rPr>
        <w:t xml:space="preserve">, para promover aulas de instrumentos utilizados tipicamente em rodas de samba, a exemplo do tantã e do repique de mão. </w:t>
      </w:r>
    </w:p>
    <w:p w14:paraId="5C8C12A2" w14:textId="77777777" w:rsidR="00B125DC" w:rsidRPr="00B125DC" w:rsidRDefault="00B125DC" w:rsidP="008B2C16">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As rodas de samba fazem alusão aos encontros de sambistas promovidos pelas tias baianas que residiam na Pedra do Sal e Praça Onze, assim como Tia Ciata fazia em seu quintal ou terreiro – designando em sentido amplo um espaço de agregação de pessoas, de troca de ideias, de histórias e de afetos através da música – perpassando a esfera da religiosidade africana com os cantos e danças do culto aos orixás. “Seja por identidade seja por conveniência ou estratégia de sobrevivência, a esfera do samba e a da religião se misturavam desde antes de o samba carioca ser chamado por tal nome e antes de existirem as escolas de samba” (CENTRO, 2006, p. 66).</w:t>
      </w:r>
    </w:p>
    <w:p w14:paraId="04B3B21D" w14:textId="77777777" w:rsidR="00B125DC" w:rsidRPr="00B125DC" w:rsidRDefault="00B125DC" w:rsidP="008B2C16">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Com base nos dados empíricos coletados, foi possível delinear o contexto das oficinas de percussão popular analisadas na pesquisa, onde apontamos as características relevantes do contexto, são elas: </w:t>
      </w:r>
      <w:r w:rsidRPr="00B125DC">
        <w:rPr>
          <w:rFonts w:ascii="Times New Roman" w:eastAsia="Times New Roman" w:hAnsi="Times New Roman" w:cs="Times New Roman"/>
          <w:kern w:val="0"/>
          <w:sz w:val="24"/>
          <w:szCs w:val="24"/>
          <w:u w:val="single"/>
          <w:lang w:eastAsia="pt-BR"/>
          <w14:ligatures w14:val="none"/>
        </w:rPr>
        <w:t>Propósito</w:t>
      </w:r>
      <w:r w:rsidRPr="00B125DC">
        <w:rPr>
          <w:rFonts w:ascii="Times New Roman" w:eastAsia="Times New Roman" w:hAnsi="Times New Roman" w:cs="Times New Roman"/>
          <w:kern w:val="0"/>
          <w:sz w:val="24"/>
          <w:szCs w:val="24"/>
          <w:lang w:eastAsia="pt-BR"/>
          <w14:ligatures w14:val="none"/>
        </w:rPr>
        <w:t xml:space="preserve"> – motivo pelo qual foi criada; </w:t>
      </w:r>
      <w:r w:rsidRPr="00B125DC">
        <w:rPr>
          <w:rFonts w:ascii="Times New Roman" w:eastAsia="Times New Roman" w:hAnsi="Times New Roman" w:cs="Times New Roman"/>
          <w:kern w:val="0"/>
          <w:sz w:val="24"/>
          <w:szCs w:val="24"/>
          <w:u w:val="single"/>
          <w:lang w:eastAsia="pt-BR"/>
          <w14:ligatures w14:val="none"/>
        </w:rPr>
        <w:t>Engajamento</w:t>
      </w:r>
      <w:r w:rsidRPr="00B125DC">
        <w:rPr>
          <w:rFonts w:ascii="Times New Roman" w:eastAsia="Times New Roman" w:hAnsi="Times New Roman" w:cs="Times New Roman"/>
          <w:kern w:val="0"/>
          <w:sz w:val="24"/>
          <w:szCs w:val="24"/>
          <w:lang w:eastAsia="pt-BR"/>
          <w14:ligatures w14:val="none"/>
        </w:rPr>
        <w:t xml:space="preserve"> – adesão a alguma causa social e/ou cultural; </w:t>
      </w:r>
      <w:r w:rsidRPr="00B125DC">
        <w:rPr>
          <w:rFonts w:ascii="Times New Roman" w:eastAsia="Times New Roman" w:hAnsi="Times New Roman" w:cs="Times New Roman"/>
          <w:kern w:val="0"/>
          <w:sz w:val="24"/>
          <w:szCs w:val="24"/>
          <w:u w:val="single"/>
          <w:lang w:eastAsia="pt-BR"/>
          <w14:ligatures w14:val="none"/>
        </w:rPr>
        <w:t>Composição</w:t>
      </w:r>
      <w:r w:rsidRPr="00B125DC">
        <w:rPr>
          <w:rFonts w:ascii="Times New Roman" w:eastAsia="Times New Roman" w:hAnsi="Times New Roman" w:cs="Times New Roman"/>
          <w:kern w:val="0"/>
          <w:sz w:val="24"/>
          <w:szCs w:val="24"/>
          <w:lang w:eastAsia="pt-BR"/>
          <w14:ligatures w14:val="none"/>
        </w:rPr>
        <w:t xml:space="preserve"> – diz respeito aos componentes do grupo; </w:t>
      </w:r>
      <w:r w:rsidRPr="00B125DC">
        <w:rPr>
          <w:rFonts w:ascii="Times New Roman" w:eastAsia="Times New Roman" w:hAnsi="Times New Roman" w:cs="Times New Roman"/>
          <w:kern w:val="0"/>
          <w:sz w:val="24"/>
          <w:szCs w:val="24"/>
          <w:u w:val="single"/>
          <w:lang w:eastAsia="pt-BR"/>
          <w14:ligatures w14:val="none"/>
        </w:rPr>
        <w:t>Atividade</w:t>
      </w:r>
      <w:r w:rsidRPr="00B125DC">
        <w:rPr>
          <w:rFonts w:ascii="Times New Roman" w:eastAsia="Times New Roman" w:hAnsi="Times New Roman" w:cs="Times New Roman"/>
          <w:kern w:val="0"/>
          <w:sz w:val="24"/>
          <w:szCs w:val="24"/>
          <w:lang w:eastAsia="pt-BR"/>
          <w14:ligatures w14:val="none"/>
        </w:rPr>
        <w:t xml:space="preserve"> – atividades realizadas ou que participam; </w:t>
      </w:r>
      <w:r w:rsidRPr="00B125DC">
        <w:rPr>
          <w:rFonts w:ascii="Times New Roman" w:eastAsia="Times New Roman" w:hAnsi="Times New Roman" w:cs="Times New Roman"/>
          <w:kern w:val="0"/>
          <w:sz w:val="24"/>
          <w:szCs w:val="24"/>
          <w:u w:val="single"/>
          <w:lang w:eastAsia="pt-BR"/>
          <w14:ligatures w14:val="none"/>
        </w:rPr>
        <w:t>Instrumento</w:t>
      </w:r>
      <w:r w:rsidRPr="00B125DC">
        <w:rPr>
          <w:rFonts w:ascii="Times New Roman" w:eastAsia="Times New Roman" w:hAnsi="Times New Roman" w:cs="Times New Roman"/>
          <w:kern w:val="0"/>
          <w:sz w:val="24"/>
          <w:szCs w:val="24"/>
          <w:lang w:eastAsia="pt-BR"/>
          <w14:ligatures w14:val="none"/>
        </w:rPr>
        <w:t xml:space="preserve"> – instrumentos ensinados; Ritmo – ritmos ensinados; e </w:t>
      </w:r>
      <w:r w:rsidRPr="00B125DC">
        <w:rPr>
          <w:rFonts w:ascii="Times New Roman" w:eastAsia="Times New Roman" w:hAnsi="Times New Roman" w:cs="Times New Roman"/>
          <w:kern w:val="0"/>
          <w:sz w:val="24"/>
          <w:szCs w:val="24"/>
          <w:u w:val="single"/>
          <w:lang w:eastAsia="pt-BR"/>
          <w14:ligatures w14:val="none"/>
        </w:rPr>
        <w:t>Atuação Performática</w:t>
      </w:r>
      <w:r w:rsidRPr="00B125DC">
        <w:rPr>
          <w:rFonts w:ascii="Times New Roman" w:eastAsia="Times New Roman" w:hAnsi="Times New Roman" w:cs="Times New Roman"/>
          <w:kern w:val="0"/>
          <w:sz w:val="24"/>
          <w:szCs w:val="24"/>
          <w:lang w:eastAsia="pt-BR"/>
          <w14:ligatures w14:val="none"/>
        </w:rPr>
        <w:t xml:space="preserve"> – o grupo percussivo em apresentação musical. Tais características exprimem a formação de um núcleo coesivo de uma instituição humana que se liga, em parte, a uma dimensão de ensino e aprendizagem musical e outra dimensão de participação no universo da cultura imaterial. Na seção seguinte apresentamos a correlação dessas características relevantes com os aspectos socioculturais que caracterizaram a natureza do universo da cultura imaterial. </w:t>
      </w:r>
    </w:p>
    <w:p w14:paraId="7CC4AD2A" w14:textId="77777777" w:rsidR="00B125DC" w:rsidRPr="00B125DC" w:rsidRDefault="00B125DC" w:rsidP="008B2C16">
      <w:pPr>
        <w:spacing w:after="0" w:line="360" w:lineRule="auto"/>
        <w:ind w:firstLine="709"/>
        <w:jc w:val="both"/>
        <w:rPr>
          <w:rFonts w:ascii="Times New Roman" w:eastAsia="Times New Roman" w:hAnsi="Times New Roman" w:cs="Times New Roman"/>
          <w:kern w:val="0"/>
          <w:sz w:val="24"/>
          <w:szCs w:val="24"/>
          <w:lang w:eastAsia="pt-BR"/>
          <w14:ligatures w14:val="none"/>
        </w:rPr>
      </w:pPr>
    </w:p>
    <w:p w14:paraId="20343206" w14:textId="365DE6E0" w:rsidR="00B125DC" w:rsidRPr="00B125DC" w:rsidRDefault="008B2C16" w:rsidP="008B2C16">
      <w:pPr>
        <w:spacing w:after="0" w:line="360" w:lineRule="auto"/>
        <w:contextualSpacing/>
        <w:jc w:val="both"/>
        <w:rPr>
          <w:rFonts w:ascii="Times New Roman" w:eastAsia="Times New Roman" w:hAnsi="Times New Roman" w:cs="Times New Roman"/>
          <w:b/>
          <w:bCs/>
          <w:kern w:val="0"/>
          <w:sz w:val="24"/>
          <w:szCs w:val="24"/>
          <w:lang w:eastAsia="pt-BR"/>
          <w14:ligatures w14:val="none"/>
        </w:rPr>
      </w:pPr>
      <w:r>
        <w:rPr>
          <w:rFonts w:ascii="Times New Roman" w:eastAsia="Times New Roman" w:hAnsi="Times New Roman" w:cs="Times New Roman"/>
          <w:b/>
          <w:bCs/>
          <w:kern w:val="0"/>
          <w:sz w:val="24"/>
          <w:szCs w:val="24"/>
          <w:lang w:eastAsia="pt-BR"/>
          <w14:ligatures w14:val="none"/>
        </w:rPr>
        <w:t xml:space="preserve">3.2.1 </w:t>
      </w:r>
      <w:r w:rsidR="00B125DC" w:rsidRPr="00B125DC">
        <w:rPr>
          <w:rFonts w:ascii="Times New Roman" w:eastAsia="Times New Roman" w:hAnsi="Times New Roman" w:cs="Times New Roman"/>
          <w:b/>
          <w:bCs/>
          <w:kern w:val="0"/>
          <w:sz w:val="24"/>
          <w:szCs w:val="24"/>
          <w:lang w:eastAsia="pt-BR"/>
          <w14:ligatures w14:val="none"/>
        </w:rPr>
        <w:t>As Oficinas de Percussão Popular</w:t>
      </w:r>
      <w:r w:rsidR="00B125DC" w:rsidRPr="00B125DC">
        <w:rPr>
          <w:rFonts w:ascii="Times New Roman" w:eastAsia="Times New Roman" w:hAnsi="Times New Roman" w:cs="Times New Roman"/>
          <w:kern w:val="0"/>
          <w:sz w:val="24"/>
          <w:szCs w:val="24"/>
          <w:lang w:eastAsia="pt-BR"/>
          <w14:ligatures w14:val="none"/>
        </w:rPr>
        <w:t xml:space="preserve">: </w:t>
      </w:r>
      <w:r w:rsidRPr="00863B19">
        <w:rPr>
          <w:rFonts w:ascii="Times New Roman" w:eastAsia="Times New Roman" w:hAnsi="Times New Roman" w:cs="Times New Roman"/>
          <w:kern w:val="0"/>
          <w:sz w:val="24"/>
          <w:szCs w:val="24"/>
          <w:lang w:eastAsia="pt-BR"/>
          <w14:ligatures w14:val="none"/>
        </w:rPr>
        <w:t>u</w:t>
      </w:r>
      <w:r w:rsidR="00B125DC" w:rsidRPr="00B125DC">
        <w:rPr>
          <w:rFonts w:ascii="Times New Roman" w:eastAsia="Times New Roman" w:hAnsi="Times New Roman" w:cs="Times New Roman"/>
          <w:kern w:val="0"/>
          <w:sz w:val="24"/>
          <w:szCs w:val="24"/>
          <w:lang w:eastAsia="pt-BR"/>
          <w14:ligatures w14:val="none"/>
        </w:rPr>
        <w:t xml:space="preserve">m </w:t>
      </w:r>
      <w:r w:rsidRPr="00863B19">
        <w:rPr>
          <w:rFonts w:ascii="Times New Roman" w:eastAsia="Times New Roman" w:hAnsi="Times New Roman" w:cs="Times New Roman"/>
          <w:kern w:val="0"/>
          <w:sz w:val="24"/>
          <w:szCs w:val="24"/>
          <w:lang w:eastAsia="pt-BR"/>
          <w14:ligatures w14:val="none"/>
        </w:rPr>
        <w:t>d</w:t>
      </w:r>
      <w:r w:rsidR="00B125DC" w:rsidRPr="00B125DC">
        <w:rPr>
          <w:rFonts w:ascii="Times New Roman" w:eastAsia="Times New Roman" w:hAnsi="Times New Roman" w:cs="Times New Roman"/>
          <w:kern w:val="0"/>
          <w:sz w:val="24"/>
          <w:szCs w:val="24"/>
          <w:lang w:eastAsia="pt-BR"/>
          <w14:ligatures w14:val="none"/>
        </w:rPr>
        <w:t xml:space="preserve">omínio de </w:t>
      </w:r>
      <w:r w:rsidRPr="00863B19">
        <w:rPr>
          <w:rFonts w:ascii="Times New Roman" w:eastAsia="Times New Roman" w:hAnsi="Times New Roman" w:cs="Times New Roman"/>
          <w:kern w:val="0"/>
          <w:sz w:val="24"/>
          <w:szCs w:val="24"/>
          <w:lang w:eastAsia="pt-BR"/>
          <w14:ligatures w14:val="none"/>
        </w:rPr>
        <w:t>a</w:t>
      </w:r>
      <w:r w:rsidR="00B125DC" w:rsidRPr="00B125DC">
        <w:rPr>
          <w:rFonts w:ascii="Times New Roman" w:eastAsia="Times New Roman" w:hAnsi="Times New Roman" w:cs="Times New Roman"/>
          <w:kern w:val="0"/>
          <w:sz w:val="24"/>
          <w:szCs w:val="24"/>
          <w:lang w:eastAsia="pt-BR"/>
          <w14:ligatures w14:val="none"/>
        </w:rPr>
        <w:t xml:space="preserve">tividades e </w:t>
      </w:r>
      <w:r w:rsidRPr="00863B19">
        <w:rPr>
          <w:rFonts w:ascii="Times New Roman" w:eastAsia="Times New Roman" w:hAnsi="Times New Roman" w:cs="Times New Roman"/>
          <w:kern w:val="0"/>
          <w:sz w:val="24"/>
          <w:szCs w:val="24"/>
          <w:lang w:eastAsia="pt-BR"/>
          <w14:ligatures w14:val="none"/>
        </w:rPr>
        <w:t>v</w:t>
      </w:r>
      <w:r w:rsidR="00B125DC" w:rsidRPr="00B125DC">
        <w:rPr>
          <w:rFonts w:ascii="Times New Roman" w:eastAsia="Times New Roman" w:hAnsi="Times New Roman" w:cs="Times New Roman"/>
          <w:kern w:val="0"/>
          <w:sz w:val="24"/>
          <w:szCs w:val="24"/>
          <w:lang w:eastAsia="pt-BR"/>
          <w14:ligatures w14:val="none"/>
        </w:rPr>
        <w:t xml:space="preserve">alores </w:t>
      </w:r>
      <w:r w:rsidRPr="00863B19">
        <w:rPr>
          <w:rFonts w:ascii="Times New Roman" w:eastAsia="Times New Roman" w:hAnsi="Times New Roman" w:cs="Times New Roman"/>
          <w:kern w:val="0"/>
          <w:sz w:val="24"/>
          <w:szCs w:val="24"/>
          <w:lang w:eastAsia="pt-BR"/>
          <w14:ligatures w14:val="none"/>
        </w:rPr>
        <w:t>c</w:t>
      </w:r>
      <w:r w:rsidR="00B125DC" w:rsidRPr="00B125DC">
        <w:rPr>
          <w:rFonts w:ascii="Times New Roman" w:eastAsia="Times New Roman" w:hAnsi="Times New Roman" w:cs="Times New Roman"/>
          <w:kern w:val="0"/>
          <w:sz w:val="24"/>
          <w:szCs w:val="24"/>
          <w:lang w:eastAsia="pt-BR"/>
          <w14:ligatures w14:val="none"/>
        </w:rPr>
        <w:t>ulturais</w:t>
      </w:r>
    </w:p>
    <w:p w14:paraId="0D6FDD22" w14:textId="77777777" w:rsidR="00B125DC" w:rsidRPr="00B125DC" w:rsidRDefault="00B125DC" w:rsidP="008B2C16">
      <w:pPr>
        <w:spacing w:after="0" w:line="360" w:lineRule="auto"/>
        <w:ind w:left="504"/>
        <w:contextualSpacing/>
        <w:rPr>
          <w:rFonts w:ascii="Times New Roman" w:eastAsia="Times New Roman" w:hAnsi="Times New Roman" w:cs="Times New Roman"/>
          <w:b/>
          <w:bCs/>
          <w:kern w:val="0"/>
          <w:sz w:val="24"/>
          <w:szCs w:val="24"/>
          <w:lang w:eastAsia="pt-BR"/>
          <w14:ligatures w14:val="none"/>
        </w:rPr>
      </w:pPr>
    </w:p>
    <w:p w14:paraId="178329BC" w14:textId="77777777" w:rsidR="00B125DC" w:rsidRPr="00B125DC" w:rsidRDefault="00B125DC" w:rsidP="008B2C16">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análise dos dados coletados, tanto os bibliográficos quanto os empíricos, nos permitiu inferir que o contexto das oficinas de percussão popular brasileira da Bateria Feminina Fina Batucada e do Projeto Bambas de Saia reúne os aspectos socioculturais da cultura imaterial brasileira, caracterizando, assim, tal contexto como um domínio de atividades onde coexistem duas dimensões distintas, as quais foram denominadas dimensão de educação musical e dimensão de cultura imaterial. Com isso, podemos afirmar que este domínio apresentou uma </w:t>
      </w:r>
      <w:r w:rsidRPr="00B125DC">
        <w:rPr>
          <w:rFonts w:ascii="Times New Roman" w:eastAsia="Times New Roman" w:hAnsi="Times New Roman" w:cs="Times New Roman"/>
          <w:kern w:val="0"/>
          <w:sz w:val="24"/>
          <w:szCs w:val="24"/>
          <w:lang w:eastAsia="pt-BR"/>
          <w14:ligatures w14:val="none"/>
        </w:rPr>
        <w:lastRenderedPageBreak/>
        <w:t xml:space="preserve">vertente que vai além do ensino da música percussiva. Ele adentra a esfera do patrimônio cultural imaterial, tendo o ensino do ritmo como principal elemento de ligação, a exemplo do samba (Matrizes do Samba no Rio de Janeiro: partido alto, samba de terreiro e samba-enredo e o Samba de Roda do Recôncavo Baiano), do maracatu (Maracatu Nação – PE e Maracatu de Baque Solto – PE) e do jongo (Jongo no Sudeste – ES, MG, RJ, SP). A natureza do domínio revelou o quanto as atividades empreendidas nas oficinas de percussão popular incidem sobre a manutenção e a preservação de uma cultura ancestral. </w:t>
      </w:r>
    </w:p>
    <w:p w14:paraId="1DE4D69C" w14:textId="77777777" w:rsidR="00B125DC" w:rsidRPr="00B125DC" w:rsidRDefault="00B125DC" w:rsidP="008B2C16">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Segue abaixo uma breve descrição sobre como os aspectos socioculturais característicos da cultura imaterial foram percebidos no contexto das oficinas de percussão popular analisadas.</w:t>
      </w:r>
    </w:p>
    <w:p w14:paraId="6F09D2D2" w14:textId="77777777" w:rsidR="00B125DC" w:rsidRPr="00B125DC" w:rsidRDefault="00B125DC" w:rsidP="008B2C16">
      <w:pPr>
        <w:numPr>
          <w:ilvl w:val="0"/>
          <w:numId w:val="5"/>
        </w:numPr>
        <w:tabs>
          <w:tab w:val="left" w:pos="993"/>
        </w:tabs>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aspecto Valorização do Ser Humano foi reconhecido dentro do contexto das oficinas através das características relevantes Propósito, Engajamento e Composição das oficinas de percussão, de modo que as ações empreendidas pelas oficinas revelaram a adesão a uma causa social voltada para o público feminino – inclusão de mulheres em ambiente majoritariamente masculino.</w:t>
      </w:r>
    </w:p>
    <w:p w14:paraId="66E9AC50" w14:textId="77777777" w:rsidR="00B125DC" w:rsidRPr="00B125DC" w:rsidRDefault="00B125DC" w:rsidP="008B2C16">
      <w:pPr>
        <w:numPr>
          <w:ilvl w:val="0"/>
          <w:numId w:val="5"/>
        </w:numPr>
        <w:tabs>
          <w:tab w:val="left" w:pos="993"/>
        </w:tabs>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aspecto Registro do Saber Humano foi reconhecido por meio das características relevantes Atividade, Instrumento e Ritmo, pois o ensino do instrumento e do ritmo fomenta a continuidade das atividades correlatas ao samba, que além de gênero musical é um ritmo e uma forma de expressão registrada como patrimônio cultural imaterial, na cidade do Rio de Janeiro, através de suas matrizes Samba-Enredo, Partido Alto e Samba de Terreiro.</w:t>
      </w:r>
    </w:p>
    <w:p w14:paraId="2D8453CD" w14:textId="77777777" w:rsidR="00B125DC" w:rsidRPr="00B125DC" w:rsidRDefault="00B125DC" w:rsidP="008B2C16">
      <w:pPr>
        <w:numPr>
          <w:ilvl w:val="0"/>
          <w:numId w:val="5"/>
        </w:numPr>
        <w:tabs>
          <w:tab w:val="left" w:pos="993"/>
        </w:tabs>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aspecto Práticas e Referências Culturais foi reconhecido através das características relevantes Atividade e Atuação Performática, considerando como atividade relevante para este aspecto a participação das oficinas analisadas em eventos associados ao carnaval, na figura do samba e suas matrizes, e a cultura afro-brasileira.</w:t>
      </w:r>
    </w:p>
    <w:p w14:paraId="488FB80A" w14:textId="77777777" w:rsidR="00B125DC" w:rsidRPr="00B125DC" w:rsidRDefault="00B125DC" w:rsidP="008B2C16">
      <w:pPr>
        <w:numPr>
          <w:ilvl w:val="0"/>
          <w:numId w:val="5"/>
        </w:numPr>
        <w:tabs>
          <w:tab w:val="left" w:pos="993"/>
        </w:tabs>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 aspecto Identidade e Valores Culturais foi reconhecido através das características relevantes Atividade e Ritmo, sendo estas duas estreitamente interligadas ao samba como forma de expressão cultural e patrimônio imaterial, onde as raízes do povo preto, ou seja, as práticas culturais que corroboram para a construção de sua identidade, carecem de dispositivos de preservação e salvaguarda para que sejam continuadas pelas futuras gerações.</w:t>
      </w:r>
    </w:p>
    <w:p w14:paraId="5816B8F1" w14:textId="77777777" w:rsidR="008B2C16" w:rsidRDefault="008B2C16" w:rsidP="008B2C16">
      <w:pPr>
        <w:tabs>
          <w:tab w:val="left" w:pos="993"/>
        </w:tabs>
        <w:spacing w:after="0" w:line="360" w:lineRule="auto"/>
        <w:ind w:firstLine="708"/>
        <w:jc w:val="both"/>
        <w:rPr>
          <w:rFonts w:ascii="Times New Roman" w:eastAsia="Times New Roman" w:hAnsi="Times New Roman" w:cs="Times New Roman"/>
          <w:kern w:val="0"/>
          <w:sz w:val="24"/>
          <w:szCs w:val="24"/>
          <w:lang w:eastAsia="pt-BR"/>
          <w14:ligatures w14:val="none"/>
        </w:rPr>
      </w:pPr>
    </w:p>
    <w:p w14:paraId="4C9425EF" w14:textId="6B668C06" w:rsidR="00B125DC" w:rsidRPr="00B125DC" w:rsidRDefault="00B125DC" w:rsidP="008B2C16">
      <w:pPr>
        <w:tabs>
          <w:tab w:val="left" w:pos="993"/>
        </w:tabs>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Na seção seguinte apresentamos os aspectos generalizáveis para representação das oficinas de percussão popular da Bateria Feminina Fina Batucada e do Projeto Bambas de Saia, </w:t>
      </w:r>
      <w:r w:rsidRPr="00B125DC">
        <w:rPr>
          <w:rFonts w:ascii="Times New Roman" w:eastAsia="Times New Roman" w:hAnsi="Times New Roman" w:cs="Times New Roman"/>
          <w:kern w:val="0"/>
          <w:sz w:val="24"/>
          <w:szCs w:val="24"/>
          <w:lang w:eastAsia="pt-BR"/>
          <w14:ligatures w14:val="none"/>
        </w:rPr>
        <w:lastRenderedPageBreak/>
        <w:t>identificados a partir da correlação entre as categorias temáticas referendadas pela literatura e os elementos identificados no contexto</w:t>
      </w:r>
      <w:r w:rsidRPr="00B125DC">
        <w:rPr>
          <w:rFonts w:ascii="Times New Roman" w:eastAsia="Times New Roman" w:hAnsi="Times New Roman" w:cs="Times New Roman"/>
          <w:kern w:val="0"/>
          <w:sz w:val="24"/>
          <w:szCs w:val="24"/>
          <w:vertAlign w:val="superscript"/>
          <w:lang w:eastAsia="pt-BR"/>
          <w14:ligatures w14:val="none"/>
        </w:rPr>
        <w:footnoteReference w:id="60"/>
      </w:r>
      <w:r w:rsidRPr="00B125DC">
        <w:rPr>
          <w:rFonts w:ascii="Times New Roman" w:eastAsia="Times New Roman" w:hAnsi="Times New Roman" w:cs="Times New Roman"/>
          <w:kern w:val="0"/>
          <w:sz w:val="24"/>
          <w:szCs w:val="24"/>
          <w:lang w:eastAsia="pt-BR"/>
          <w14:ligatures w14:val="none"/>
        </w:rPr>
        <w:t xml:space="preserve"> das oficinas de percussão analisadas na pesquisa.</w:t>
      </w:r>
    </w:p>
    <w:p w14:paraId="6A80148B" w14:textId="77777777" w:rsidR="00B125DC" w:rsidRPr="00B125DC" w:rsidRDefault="00B125DC" w:rsidP="00B125DC">
      <w:pPr>
        <w:tabs>
          <w:tab w:val="left" w:pos="993"/>
        </w:tabs>
        <w:spacing w:after="0" w:line="360" w:lineRule="auto"/>
        <w:ind w:firstLine="708"/>
        <w:jc w:val="both"/>
        <w:rPr>
          <w:rFonts w:ascii="Times New Roman" w:eastAsia="Times New Roman" w:hAnsi="Times New Roman" w:cs="Times New Roman"/>
          <w:kern w:val="0"/>
          <w:sz w:val="24"/>
          <w:szCs w:val="24"/>
          <w:lang w:eastAsia="pt-BR"/>
          <w14:ligatures w14:val="none"/>
        </w:rPr>
      </w:pPr>
    </w:p>
    <w:p w14:paraId="4EA106B7" w14:textId="71C13ACA" w:rsidR="00B125DC" w:rsidRPr="00B125DC" w:rsidRDefault="008B2C16" w:rsidP="008B2C16">
      <w:pPr>
        <w:spacing w:after="0" w:line="360" w:lineRule="auto"/>
        <w:contextualSpacing/>
        <w:jc w:val="both"/>
        <w:rPr>
          <w:rFonts w:ascii="Times New Roman" w:eastAsia="Times New Roman" w:hAnsi="Times New Roman" w:cs="Times New Roman"/>
          <w:b/>
          <w:bCs/>
          <w:kern w:val="0"/>
          <w:sz w:val="24"/>
          <w:szCs w:val="24"/>
          <w:lang w:eastAsia="pt-BR"/>
          <w14:ligatures w14:val="none"/>
        </w:rPr>
      </w:pPr>
      <w:r>
        <w:rPr>
          <w:rFonts w:ascii="Times New Roman" w:eastAsia="Times New Roman" w:hAnsi="Times New Roman" w:cs="Times New Roman"/>
          <w:b/>
          <w:bCs/>
          <w:kern w:val="0"/>
          <w:sz w:val="24"/>
          <w:szCs w:val="24"/>
          <w:lang w:eastAsia="pt-BR"/>
          <w14:ligatures w14:val="none"/>
        </w:rPr>
        <w:t xml:space="preserve">4 </w:t>
      </w:r>
      <w:r w:rsidR="00B125DC" w:rsidRPr="00B125DC">
        <w:rPr>
          <w:rFonts w:ascii="Times New Roman" w:eastAsia="Times New Roman" w:hAnsi="Times New Roman" w:cs="Times New Roman"/>
          <w:b/>
          <w:bCs/>
          <w:kern w:val="0"/>
          <w:sz w:val="24"/>
          <w:szCs w:val="24"/>
          <w:lang w:eastAsia="pt-BR"/>
          <w14:ligatures w14:val="none"/>
        </w:rPr>
        <w:t xml:space="preserve">REPRESENTAÇÃO DE DOMÍNIOS: </w:t>
      </w:r>
      <w:r w:rsidR="00863B19" w:rsidRPr="00B125DC">
        <w:rPr>
          <w:rFonts w:ascii="Times New Roman" w:eastAsia="Times New Roman" w:hAnsi="Times New Roman" w:cs="Times New Roman"/>
          <w:kern w:val="0"/>
          <w:sz w:val="24"/>
          <w:szCs w:val="24"/>
          <w:lang w:eastAsia="pt-BR"/>
          <w14:ligatures w14:val="none"/>
        </w:rPr>
        <w:t>aspectos generalizáveis para representação das oficinas de percussão popular analisadas</w:t>
      </w:r>
    </w:p>
    <w:p w14:paraId="128B7BBE" w14:textId="77777777" w:rsidR="00B125DC" w:rsidRPr="00B125DC" w:rsidRDefault="00B125DC" w:rsidP="00B125DC">
      <w:pPr>
        <w:spacing w:after="0" w:line="360" w:lineRule="auto"/>
        <w:rPr>
          <w:rFonts w:ascii="Times New Roman" w:eastAsia="Times New Roman" w:hAnsi="Times New Roman" w:cs="Times New Roman"/>
          <w:kern w:val="0"/>
          <w:sz w:val="24"/>
          <w:szCs w:val="24"/>
          <w:lang w:eastAsia="pt-BR"/>
          <w14:ligatures w14:val="none"/>
        </w:rPr>
      </w:pPr>
    </w:p>
    <w:p w14:paraId="0C16D2A9"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Para a identificação dos aspectos generalizáveis foi preciso conhecer o ambiente das oficinas de percussão popular – feito através do método etnográfico – e, também, compreender como o universo da cultura imaterial se apresenta. Assim, por se tratar de uma cultura de bens vivos, de transmissão geracional, de objetos e práticas que constituem referências culturais e são reconhecidas como bem cultural de natureza imaterial a partir da validação de uma comunidade, ou um grupo social, que lhes atribuem sentidos e valores de importância para a sua cultura, memória e identidade, a pesquisa abrangeu também estudos sobre a noção de representação da realidade social no que tange à elaboração de modelos conceituais ontológicos. </w:t>
      </w:r>
    </w:p>
    <w:p w14:paraId="629C5E6E" w14:textId="12C90084"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Com o andamento da pesquisa surgiram determinadas questões: a. Como a realidade social é percebida pelos sujeitos sociais e como pode ser representada, particularmente, no que diz respeito à construção e representação dessa realidade em particular em ambientes que dizem respeito a coletividades; b. Como se dá o universo da cultura imaterial brasileira, sua relação com a cultura popular brasileira e os principais elementos existentes nesse universo; e c. Como as ontologias de fundamentação podem auxiliar a elaboração de modelos conceituais que evidenciem as relações entre os elementos de um domínio no âmbito da cultura imaterial para fins de compreensão dos atores sociais envolvidos com o contexto. Essas questões nos ajudaram na identificação de aportes teóricos que subsidiaram a elaboração das categorias temáticas referendadas pela literatura com o auxílio da análise temática (B</w:t>
      </w:r>
      <w:r w:rsidR="008B2C16" w:rsidRPr="00B125DC">
        <w:rPr>
          <w:rFonts w:ascii="Times New Roman" w:eastAsia="Times New Roman" w:hAnsi="Times New Roman" w:cs="Times New Roman"/>
          <w:kern w:val="0"/>
          <w:sz w:val="24"/>
          <w:szCs w:val="24"/>
          <w:lang w:eastAsia="pt-BR"/>
          <w14:ligatures w14:val="none"/>
        </w:rPr>
        <w:t>ardin</w:t>
      </w:r>
      <w:r w:rsidRPr="00B125DC">
        <w:rPr>
          <w:rFonts w:ascii="Times New Roman" w:eastAsia="Times New Roman" w:hAnsi="Times New Roman" w:cs="Times New Roman"/>
          <w:kern w:val="0"/>
          <w:sz w:val="24"/>
          <w:szCs w:val="24"/>
          <w:lang w:eastAsia="pt-BR"/>
          <w14:ligatures w14:val="none"/>
        </w:rPr>
        <w:t xml:space="preserve">, 1977). </w:t>
      </w:r>
    </w:p>
    <w:p w14:paraId="23DF9547" w14:textId="088457FF"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Dessa forma, nosso discurso teórico foi centrado no processo de aquisição de conhecimento sobre o domínio e apoiado na SABiO (F</w:t>
      </w:r>
      <w:r w:rsidR="008B2C16" w:rsidRPr="00B125DC">
        <w:rPr>
          <w:rFonts w:ascii="Times New Roman" w:eastAsia="Times New Roman" w:hAnsi="Times New Roman" w:cs="Times New Roman"/>
          <w:kern w:val="0"/>
          <w:sz w:val="24"/>
          <w:szCs w:val="24"/>
          <w:lang w:eastAsia="pt-BR"/>
          <w14:ligatures w14:val="none"/>
        </w:rPr>
        <w:t>albo</w:t>
      </w:r>
      <w:r w:rsidRPr="00B125DC">
        <w:rPr>
          <w:rFonts w:ascii="Times New Roman" w:eastAsia="Times New Roman" w:hAnsi="Times New Roman" w:cs="Times New Roman"/>
          <w:kern w:val="0"/>
          <w:sz w:val="24"/>
          <w:szCs w:val="24"/>
          <w:lang w:eastAsia="pt-BR"/>
          <w14:ligatures w14:val="none"/>
        </w:rPr>
        <w:t xml:space="preserve">, 2014), uma metodologia de desenvolvimento de ontologias e na </w:t>
      </w:r>
      <w:r w:rsidRPr="00B125DC">
        <w:rPr>
          <w:rFonts w:ascii="Times New Roman" w:eastAsia="Times New Roman" w:hAnsi="Times New Roman" w:cs="Times New Roman"/>
          <w:i/>
          <w:kern w:val="0"/>
          <w:sz w:val="24"/>
          <w:szCs w:val="24"/>
          <w:lang w:eastAsia="pt-BR"/>
          <w14:ligatures w14:val="none"/>
        </w:rPr>
        <w:t>Unified Foundational Ontology</w:t>
      </w:r>
      <w:r w:rsidRPr="00B125DC">
        <w:rPr>
          <w:rFonts w:ascii="Times New Roman" w:eastAsia="Times New Roman" w:hAnsi="Times New Roman" w:cs="Times New Roman"/>
          <w:kern w:val="0"/>
          <w:sz w:val="24"/>
          <w:szCs w:val="24"/>
          <w:lang w:eastAsia="pt-BR"/>
          <w14:ligatures w14:val="none"/>
        </w:rPr>
        <w:t xml:space="preserve"> (UFO), uma ontologia de fundamentação (</w:t>
      </w:r>
      <w:r w:rsidR="008B2C16" w:rsidRPr="00B125DC">
        <w:rPr>
          <w:rFonts w:ascii="Times New Roman" w:eastAsia="Times New Roman" w:hAnsi="Times New Roman" w:cs="Times New Roman"/>
          <w:kern w:val="0"/>
          <w:sz w:val="24"/>
          <w:szCs w:val="24"/>
          <w:lang w:eastAsia="pt-BR"/>
          <w14:ligatures w14:val="none"/>
        </w:rPr>
        <w:t>Guizzardi; Falbo; Guizzardi</w:t>
      </w:r>
      <w:r w:rsidRPr="00B125DC">
        <w:rPr>
          <w:rFonts w:ascii="Times New Roman" w:eastAsia="Times New Roman" w:hAnsi="Times New Roman" w:cs="Times New Roman"/>
          <w:kern w:val="0"/>
          <w:sz w:val="24"/>
          <w:szCs w:val="24"/>
          <w:lang w:eastAsia="pt-BR"/>
          <w14:ligatures w14:val="none"/>
        </w:rPr>
        <w:t xml:space="preserve">, 2008). A partir daí, voltamos o olhar para a percepção da realidade, em particular a social, e identificamos os aportes teóricos que orientaram a elaboração das categorias temáticas. Assim, consideramos que houve uma </w:t>
      </w:r>
      <w:r w:rsidRPr="00B125DC">
        <w:rPr>
          <w:rFonts w:ascii="Times New Roman" w:eastAsia="Times New Roman" w:hAnsi="Times New Roman" w:cs="Times New Roman"/>
          <w:kern w:val="0"/>
          <w:sz w:val="24"/>
          <w:szCs w:val="24"/>
          <w:lang w:eastAsia="pt-BR"/>
          <w14:ligatures w14:val="none"/>
        </w:rPr>
        <w:lastRenderedPageBreak/>
        <w:t>confluência de assuntos acerca da representação da realidade social, tanto na literatura sobre os estudos sociais, onde destacamos a teoria das representações sociais (</w:t>
      </w:r>
      <w:r w:rsidR="008B2C16" w:rsidRPr="00B125DC">
        <w:rPr>
          <w:rFonts w:ascii="Times New Roman" w:eastAsia="Times New Roman" w:hAnsi="Times New Roman" w:cs="Times New Roman"/>
          <w:kern w:val="0"/>
          <w:sz w:val="24"/>
          <w:szCs w:val="24"/>
          <w:lang w:eastAsia="pt-BR"/>
          <w14:ligatures w14:val="none"/>
        </w:rPr>
        <w:t>Jodelet, 1989; Spink, 1993; Moscovici</w:t>
      </w:r>
      <w:r w:rsidRPr="00B125DC">
        <w:rPr>
          <w:rFonts w:ascii="Times New Roman" w:eastAsia="Times New Roman" w:hAnsi="Times New Roman" w:cs="Times New Roman"/>
          <w:kern w:val="0"/>
          <w:sz w:val="24"/>
          <w:szCs w:val="24"/>
          <w:lang w:eastAsia="pt-BR"/>
          <w14:ligatures w14:val="none"/>
        </w:rPr>
        <w:t>, 2015); o fator relatividade social (</w:t>
      </w:r>
      <w:r w:rsidR="008B2C16" w:rsidRPr="00B125DC">
        <w:rPr>
          <w:rFonts w:ascii="Times New Roman" w:eastAsia="Times New Roman" w:hAnsi="Times New Roman" w:cs="Times New Roman"/>
          <w:kern w:val="0"/>
          <w:sz w:val="24"/>
          <w:szCs w:val="24"/>
          <w:lang w:eastAsia="pt-BR"/>
          <w14:ligatures w14:val="none"/>
        </w:rPr>
        <w:t>Berger</w:t>
      </w:r>
      <w:r w:rsidR="008B2C16">
        <w:rPr>
          <w:rFonts w:ascii="Times New Roman" w:eastAsia="Times New Roman" w:hAnsi="Times New Roman" w:cs="Times New Roman"/>
          <w:kern w:val="0"/>
          <w:sz w:val="24"/>
          <w:szCs w:val="24"/>
          <w:lang w:eastAsia="pt-BR"/>
          <w14:ligatures w14:val="none"/>
        </w:rPr>
        <w:t>;</w:t>
      </w:r>
      <w:r w:rsidR="008B2C16" w:rsidRPr="00B125DC">
        <w:rPr>
          <w:rFonts w:ascii="Times New Roman" w:eastAsia="Times New Roman" w:hAnsi="Times New Roman" w:cs="Times New Roman"/>
          <w:kern w:val="0"/>
          <w:sz w:val="24"/>
          <w:szCs w:val="24"/>
          <w:lang w:eastAsia="pt-BR"/>
          <w14:ligatures w14:val="none"/>
        </w:rPr>
        <w:t xml:space="preserve"> Luckmann</w:t>
      </w:r>
      <w:r w:rsidRPr="00B125DC">
        <w:rPr>
          <w:rFonts w:ascii="Times New Roman" w:eastAsia="Times New Roman" w:hAnsi="Times New Roman" w:cs="Times New Roman"/>
          <w:kern w:val="0"/>
          <w:sz w:val="24"/>
          <w:szCs w:val="24"/>
          <w:lang w:eastAsia="pt-BR"/>
          <w14:ligatures w14:val="none"/>
        </w:rPr>
        <w:t>, 1985), a teoria da ontologia social (</w:t>
      </w:r>
      <w:r w:rsidR="008B2C16" w:rsidRPr="00B125DC">
        <w:rPr>
          <w:rFonts w:ascii="Times New Roman" w:eastAsia="Times New Roman" w:hAnsi="Times New Roman" w:cs="Times New Roman"/>
          <w:kern w:val="0"/>
          <w:sz w:val="24"/>
          <w:szCs w:val="24"/>
          <w:lang w:eastAsia="pt-BR"/>
          <w14:ligatures w14:val="none"/>
        </w:rPr>
        <w:t>Searle</w:t>
      </w:r>
      <w:r w:rsidRPr="00B125DC">
        <w:rPr>
          <w:rFonts w:ascii="Times New Roman" w:eastAsia="Times New Roman" w:hAnsi="Times New Roman" w:cs="Times New Roman"/>
          <w:kern w:val="0"/>
          <w:sz w:val="24"/>
          <w:szCs w:val="24"/>
          <w:lang w:eastAsia="pt-BR"/>
          <w14:ligatures w14:val="none"/>
        </w:rPr>
        <w:t>, 2006); os meios de representação da realidade social e suas características intrínsecas (</w:t>
      </w:r>
      <w:r w:rsidR="008B2C16" w:rsidRPr="00B125DC">
        <w:rPr>
          <w:rFonts w:ascii="Times New Roman" w:eastAsia="Times New Roman" w:hAnsi="Times New Roman" w:cs="Times New Roman"/>
          <w:kern w:val="0"/>
          <w:sz w:val="24"/>
          <w:szCs w:val="24"/>
          <w:lang w:eastAsia="pt-BR"/>
          <w14:ligatures w14:val="none"/>
        </w:rPr>
        <w:t>Becker</w:t>
      </w:r>
      <w:r w:rsidRPr="00B125DC">
        <w:rPr>
          <w:rFonts w:ascii="Times New Roman" w:eastAsia="Times New Roman" w:hAnsi="Times New Roman" w:cs="Times New Roman"/>
          <w:kern w:val="0"/>
          <w:sz w:val="24"/>
          <w:szCs w:val="24"/>
          <w:lang w:eastAsia="pt-BR"/>
          <w14:ligatures w14:val="none"/>
        </w:rPr>
        <w:t>, 2009); quanto nos estudos informacionais onde destacamos como fundamentais as categorias ontológicas da UFO (</w:t>
      </w:r>
      <w:r w:rsidR="008B2C16" w:rsidRPr="00B125DC">
        <w:rPr>
          <w:rFonts w:ascii="Times New Roman" w:eastAsia="Times New Roman" w:hAnsi="Times New Roman" w:cs="Times New Roman"/>
          <w:kern w:val="0"/>
          <w:sz w:val="24"/>
          <w:szCs w:val="24"/>
          <w:lang w:eastAsia="pt-BR"/>
          <w14:ligatures w14:val="none"/>
        </w:rPr>
        <w:t>Guizzardi; Falbo; Guizzardi</w:t>
      </w:r>
      <w:r w:rsidRPr="00B125DC">
        <w:rPr>
          <w:rFonts w:ascii="Times New Roman" w:eastAsia="Times New Roman" w:hAnsi="Times New Roman" w:cs="Times New Roman"/>
          <w:kern w:val="0"/>
          <w:sz w:val="24"/>
          <w:szCs w:val="24"/>
          <w:lang w:eastAsia="pt-BR"/>
          <w14:ligatures w14:val="none"/>
        </w:rPr>
        <w:t>, 2008); os níveis da realidade e os níveis de representação da realidade (</w:t>
      </w:r>
      <w:r w:rsidR="008B2C16" w:rsidRPr="00B125DC">
        <w:rPr>
          <w:rFonts w:ascii="Times New Roman" w:eastAsia="Times New Roman" w:hAnsi="Times New Roman" w:cs="Times New Roman"/>
          <w:kern w:val="0"/>
          <w:sz w:val="24"/>
          <w:szCs w:val="24"/>
          <w:lang w:eastAsia="pt-BR"/>
          <w14:ligatures w14:val="none"/>
        </w:rPr>
        <w:t>Gnoli</w:t>
      </w:r>
      <w:r w:rsidR="008B2C16">
        <w:rPr>
          <w:rFonts w:ascii="Times New Roman" w:eastAsia="Times New Roman" w:hAnsi="Times New Roman" w:cs="Times New Roman"/>
          <w:kern w:val="0"/>
          <w:sz w:val="24"/>
          <w:szCs w:val="24"/>
          <w:lang w:eastAsia="pt-BR"/>
          <w14:ligatures w14:val="none"/>
        </w:rPr>
        <w:t>;</w:t>
      </w:r>
      <w:r w:rsidR="008B2C16" w:rsidRPr="00B125DC">
        <w:rPr>
          <w:rFonts w:ascii="Times New Roman" w:eastAsia="Times New Roman" w:hAnsi="Times New Roman" w:cs="Times New Roman"/>
          <w:kern w:val="0"/>
          <w:sz w:val="24"/>
          <w:szCs w:val="24"/>
          <w:lang w:eastAsia="pt-BR"/>
          <w14:ligatures w14:val="none"/>
        </w:rPr>
        <w:t xml:space="preserve"> Poli</w:t>
      </w:r>
      <w:r w:rsidRPr="00B125DC">
        <w:rPr>
          <w:rFonts w:ascii="Times New Roman" w:eastAsia="Times New Roman" w:hAnsi="Times New Roman" w:cs="Times New Roman"/>
          <w:kern w:val="0"/>
          <w:sz w:val="24"/>
          <w:szCs w:val="24"/>
          <w:lang w:eastAsia="pt-BR"/>
          <w14:ligatures w14:val="none"/>
        </w:rPr>
        <w:t>, 2004); as ações para aquisição de conhecimento do domínio estabelecida pela metodologia SABiO (F</w:t>
      </w:r>
      <w:r w:rsidR="008B2C16" w:rsidRPr="00B125DC">
        <w:rPr>
          <w:rFonts w:ascii="Times New Roman" w:eastAsia="Times New Roman" w:hAnsi="Times New Roman" w:cs="Times New Roman"/>
          <w:kern w:val="0"/>
          <w:sz w:val="24"/>
          <w:szCs w:val="24"/>
          <w:lang w:eastAsia="pt-BR"/>
          <w14:ligatures w14:val="none"/>
        </w:rPr>
        <w:t>albo</w:t>
      </w:r>
      <w:r w:rsidRPr="00B125DC">
        <w:rPr>
          <w:rFonts w:ascii="Times New Roman" w:eastAsia="Times New Roman" w:hAnsi="Times New Roman" w:cs="Times New Roman"/>
          <w:kern w:val="0"/>
          <w:sz w:val="24"/>
          <w:szCs w:val="24"/>
          <w:lang w:eastAsia="pt-BR"/>
          <w14:ligatures w14:val="none"/>
        </w:rPr>
        <w:t>, 2014).</w:t>
      </w:r>
    </w:p>
    <w:p w14:paraId="536E8D2C"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Com a identificação das correspondências teóricas entre os eixos temáticos, e seus respectivos subsídios teóricos, foi possível compreender o enlace existente entre o contexto das oficinas de percussão popular analisadas e o arcabouço teórico que revelou distintos pontos comuns acerca da representação de uma dada realidade social, isto é, o ambiente percebido contém certas peculiaridades que passam por acordos sociais e consenso, por ações coletivas, por relatividades, por simbolismos por construção de identidade cultural, por comunicação de conhecimento, por relações e interações sociais, por conexões de atores sociais, dentre outros. A análise e interpretação das correspondências teóricas indicou um caminho palatável para a compreensão do domínio: o entendimento do contexto. </w:t>
      </w:r>
    </w:p>
    <w:p w14:paraId="532ABCA8"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Após o entendimento do contexto envolvido, foi possível alinhar o conhecimento capturado consolidando-o no que denominamos aspectos generalizáveis para a representação do domínio das oficinas de percussão popular, ou seja, aqueles aspectos observáveis dentro do contexto que abarcaram as características socioculturais identificadas no universo da cultura imaterial e apresentaram correspondência com os elementos nativos do contexto. </w:t>
      </w:r>
    </w:p>
    <w:p w14:paraId="2994538C" w14:textId="77777777" w:rsidR="00B125DC" w:rsidRPr="00B125DC" w:rsidRDefault="00B125DC" w:rsidP="008B2C16">
      <w:pPr>
        <w:tabs>
          <w:tab w:val="left" w:pos="993"/>
        </w:tabs>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 partir desta interpretação, consideramos como aspectos generalizáveis para representação do domínio de oficinas de percussão popular as seguintes vertentes e elementos associados: Saberes e Conhecimentos - ritmo e instrumento; Atividades Relacionadas - aula, ensaio, evento; Papel Social - Propósito; Projeto Sociocultural - grupo percussivo, turma, local, mestre da oficina; Cultura Étnica - instrumento e ritmo.</w:t>
      </w:r>
    </w:p>
    <w:p w14:paraId="3A55E585" w14:textId="77777777" w:rsidR="00B125DC" w:rsidRPr="00B125DC" w:rsidRDefault="00B125DC" w:rsidP="008B2C16">
      <w:pPr>
        <w:spacing w:after="0" w:line="360" w:lineRule="auto"/>
        <w:ind w:firstLine="709"/>
        <w:jc w:val="both"/>
        <w:rPr>
          <w:rFonts w:ascii="Times New Roman" w:eastAsia="Times New Roman" w:hAnsi="Times New Roman" w:cs="Times New Roman"/>
          <w:bCs/>
          <w:kern w:val="0"/>
          <w:sz w:val="20"/>
          <w:szCs w:val="20"/>
          <w:lang w:eastAsia="pt-BR"/>
          <w14:ligatures w14:val="none"/>
        </w:rPr>
      </w:pPr>
      <w:bookmarkStart w:id="102" w:name="_Toc121149684"/>
      <w:r w:rsidRPr="00B125DC">
        <w:rPr>
          <w:rFonts w:ascii="Times New Roman" w:eastAsia="Times New Roman" w:hAnsi="Times New Roman" w:cs="Times New Roman"/>
          <w:kern w:val="0"/>
          <w:sz w:val="24"/>
          <w:szCs w:val="24"/>
          <w:lang w:eastAsia="pt-BR"/>
          <w14:ligatures w14:val="none"/>
        </w:rPr>
        <w:t xml:space="preserve">Entendemos que os aspectos generalizáveis denominados Saberes e Conhecimento, Atividades Relacionadas e Papel Social refletem a dimensão de educação musical, por ser o instrumento e o ritmo objetos de ensino e aprendizagem das oficinas de percussão; e o propósito a razão pela qual a atividade de ensino e o compartilhamento do conhecimento ocorrem em um ambiente de socialização coletiva, a exemplo da sala de aula. Por outro lado, os aspectos generalizáveis denominados Projeto Sociocultural e Cultura Étnica refletem a dimensão que remete à cultura imaterial, pois os grupos percussivos se formam a partir de uma identificação </w:t>
      </w:r>
      <w:r w:rsidRPr="00B125DC">
        <w:rPr>
          <w:rFonts w:ascii="Times New Roman" w:eastAsia="Times New Roman" w:hAnsi="Times New Roman" w:cs="Times New Roman"/>
          <w:kern w:val="0"/>
          <w:sz w:val="24"/>
          <w:szCs w:val="24"/>
          <w:lang w:eastAsia="pt-BR"/>
          <w14:ligatures w14:val="none"/>
        </w:rPr>
        <w:lastRenderedPageBreak/>
        <w:t>musical entre pessoas interessadas em aprender a tocar um instrumento de percussão para execução de um dado ritmo, que, em alguma medida, se associa a historicidade e à cultura de um dado povo.</w:t>
      </w:r>
    </w:p>
    <w:bookmarkEnd w:id="102"/>
    <w:p w14:paraId="0C52F9FC" w14:textId="587DDA8F" w:rsidR="00B125DC" w:rsidRPr="00B125DC" w:rsidRDefault="00B125DC" w:rsidP="008B2C16">
      <w:pPr>
        <w:spacing w:after="0" w:line="360" w:lineRule="auto"/>
        <w:ind w:firstLine="720"/>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Analogamente, consideramos os aspectos generalizáveis como facetas (R</w:t>
      </w:r>
      <w:r w:rsidR="008B2C16" w:rsidRPr="00B125DC">
        <w:rPr>
          <w:rFonts w:ascii="Times New Roman" w:eastAsia="Times New Roman" w:hAnsi="Times New Roman" w:cs="Times New Roman"/>
          <w:kern w:val="0"/>
          <w:sz w:val="24"/>
          <w:szCs w:val="24"/>
          <w:lang w:eastAsia="pt-BR"/>
          <w14:ligatures w14:val="none"/>
        </w:rPr>
        <w:t>anganathan</w:t>
      </w:r>
      <w:r w:rsidRPr="00B125DC">
        <w:rPr>
          <w:rFonts w:ascii="Times New Roman" w:eastAsia="Times New Roman" w:hAnsi="Times New Roman" w:cs="Times New Roman"/>
          <w:kern w:val="0"/>
          <w:sz w:val="24"/>
          <w:szCs w:val="24"/>
          <w:lang w:eastAsia="pt-BR"/>
          <w14:ligatures w14:val="none"/>
        </w:rPr>
        <w:t>, 1967) que orientam o modelizador, ou o autor da representação, na investigação do domínio por meio de distintas perspectivas, visando otimizar a verificação da existência dos elementos empíricos e/ou teóricos associados.</w:t>
      </w:r>
    </w:p>
    <w:p w14:paraId="664CE3C7"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Nossa reflexão, então, seguiu no sentido de buscar uma forma apropriada de olhar para um domínio com tantas peculiaridades, através da elaboração de princípios apropriados para a representação de domínios para o contexto de oficinas de percussão popular.</w:t>
      </w:r>
    </w:p>
    <w:p w14:paraId="2ECB4214" w14:textId="77777777" w:rsidR="00B125DC" w:rsidRPr="00B125DC" w:rsidRDefault="00B125DC" w:rsidP="008B2C16">
      <w:pPr>
        <w:spacing w:after="0" w:line="360" w:lineRule="auto"/>
        <w:rPr>
          <w:rFonts w:ascii="Times New Roman" w:eastAsia="Times New Roman" w:hAnsi="Times New Roman" w:cs="Times New Roman"/>
          <w:b/>
          <w:bCs/>
          <w:kern w:val="0"/>
          <w:sz w:val="24"/>
          <w:szCs w:val="24"/>
          <w:lang w:eastAsia="pt-BR"/>
          <w14:ligatures w14:val="none"/>
        </w:rPr>
      </w:pPr>
    </w:p>
    <w:p w14:paraId="46B2CB9D" w14:textId="1A830E2F" w:rsidR="00B125DC" w:rsidRPr="00B125DC" w:rsidRDefault="008B2C16" w:rsidP="008B2C16">
      <w:pPr>
        <w:spacing w:after="0" w:line="360" w:lineRule="auto"/>
        <w:contextualSpacing/>
        <w:rPr>
          <w:rFonts w:ascii="Times New Roman" w:eastAsia="Times New Roman" w:hAnsi="Times New Roman" w:cs="Times New Roman"/>
          <w:b/>
          <w:bCs/>
          <w:kern w:val="0"/>
          <w:sz w:val="24"/>
          <w:szCs w:val="24"/>
          <w:lang w:eastAsia="pt-BR"/>
          <w14:ligatures w14:val="none"/>
        </w:rPr>
      </w:pPr>
      <w:r>
        <w:rPr>
          <w:rFonts w:ascii="Times New Roman" w:eastAsia="Times New Roman" w:hAnsi="Times New Roman" w:cs="Times New Roman"/>
          <w:b/>
          <w:bCs/>
          <w:kern w:val="0"/>
          <w:sz w:val="24"/>
          <w:szCs w:val="24"/>
          <w:lang w:eastAsia="pt-BR"/>
          <w14:ligatures w14:val="none"/>
        </w:rPr>
        <w:t xml:space="preserve">5 </w:t>
      </w:r>
      <w:r w:rsidR="00B125DC" w:rsidRPr="00B125DC">
        <w:rPr>
          <w:rFonts w:ascii="Times New Roman" w:eastAsia="Times New Roman" w:hAnsi="Times New Roman" w:cs="Times New Roman"/>
          <w:b/>
          <w:bCs/>
          <w:kern w:val="0"/>
          <w:sz w:val="24"/>
          <w:szCs w:val="24"/>
          <w:lang w:eastAsia="pt-BR"/>
          <w14:ligatures w14:val="none"/>
        </w:rPr>
        <w:t>PRINCÍPIOS PARA A REPRESENTAÇÃO DE DOMÍNIO NO CONTEXTO DE OFICINAS DE PERCUSSÃO POPULAR</w:t>
      </w:r>
    </w:p>
    <w:p w14:paraId="543A116A" w14:textId="77777777" w:rsidR="00B125DC" w:rsidRPr="00B125DC" w:rsidRDefault="00B125DC" w:rsidP="00B125DC">
      <w:pPr>
        <w:spacing w:after="0" w:line="360" w:lineRule="auto"/>
        <w:rPr>
          <w:rFonts w:ascii="Times New Roman" w:eastAsia="Times New Roman" w:hAnsi="Times New Roman" w:cs="Times New Roman"/>
          <w:kern w:val="0"/>
          <w:sz w:val="24"/>
          <w:szCs w:val="24"/>
          <w:lang w:eastAsia="pt-BR"/>
          <w14:ligatures w14:val="none"/>
        </w:rPr>
      </w:pPr>
    </w:p>
    <w:p w14:paraId="52BADF02" w14:textId="77777777" w:rsidR="00B125DC" w:rsidRPr="00B125DC" w:rsidRDefault="00B125DC" w:rsidP="00B125DC">
      <w:pPr>
        <w:spacing w:after="0" w:line="360" w:lineRule="auto"/>
        <w:ind w:firstLine="720"/>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Os princípios para representação de domínios no contexto de oficinas de percussão popular reuniram aspectos que propomos que devam ser evidenciados no modelo de representação, no que tange à forma de elaboração e ao conteúdo a ser representado. Acreditamos, com isso, que o modelo de representação possa suportar o registro do conhecimento que emerge do ambiente de atividades das oficinas de percussão popular, pelo qual entendemos que há ali uma estrutura implícita de organização que imprime um caráter institucional, didático e técnico. Tais vertentes convergem para o que identificamos como dimensão de educação musical e dimensão de cultura imaterial, sendo estas caracterizadas pelo ensino/aprendizagem do instrumento e atuações performáticas, respectivamente. Com base em nossa pesquisa, entendemos que essas dimensões fornecem conexões, associações entre os atores sociais pertinentes ao contexto, capazes de revelar um conhecimento por sobre este domínio que ultrapassa os limites circunscritos no ato de tocar um instrumento de percussão.</w:t>
      </w:r>
    </w:p>
    <w:p w14:paraId="660A1ED9" w14:textId="77777777" w:rsidR="00B125DC" w:rsidRPr="00B125DC" w:rsidRDefault="00B125DC" w:rsidP="008B2C16">
      <w:pPr>
        <w:spacing w:after="0" w:line="360" w:lineRule="auto"/>
        <w:ind w:firstLine="720"/>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Todos os princípios para representação de domínios no contexto de oficinas de percussão popular foram estabelecidos com base nas categorias temáticas e estas, por sua vez, estão fundamentadas no referencial teórico da pesquisa. Cada princípio será apresentado da seguinte forma: (i) um título que o nomeia; (ii) o seu objetivo; (iii) um apontamento para aplicação do princípio; (iv) uma pergunta que norteia o princípio.</w:t>
      </w:r>
    </w:p>
    <w:p w14:paraId="2D4E63D8" w14:textId="77777777" w:rsidR="00B125DC" w:rsidRPr="00B125DC" w:rsidRDefault="00B125DC" w:rsidP="008B2C16">
      <w:pPr>
        <w:spacing w:after="0" w:line="360" w:lineRule="auto"/>
        <w:ind w:left="709" w:firstLine="709"/>
        <w:jc w:val="both"/>
        <w:rPr>
          <w:rFonts w:ascii="Times New Roman" w:eastAsia="Times New Roman" w:hAnsi="Times New Roman" w:cs="Times New Roman"/>
          <w:kern w:val="0"/>
          <w:sz w:val="24"/>
          <w:szCs w:val="24"/>
          <w:lang w:eastAsia="pt-BR"/>
          <w14:ligatures w14:val="none"/>
        </w:rPr>
      </w:pPr>
    </w:p>
    <w:p w14:paraId="3359165C" w14:textId="7CDC18AE" w:rsidR="00B125DC" w:rsidRPr="008B2C16" w:rsidRDefault="008B2C16" w:rsidP="008B2C16">
      <w:pPr>
        <w:pStyle w:val="PargrafodaLista"/>
        <w:keepNext/>
        <w:keepLines/>
        <w:numPr>
          <w:ilvl w:val="1"/>
          <w:numId w:val="8"/>
        </w:numPr>
        <w:tabs>
          <w:tab w:val="left" w:pos="709"/>
        </w:tabs>
        <w:spacing w:line="360" w:lineRule="auto"/>
        <w:rPr>
          <w:rFonts w:ascii="Times New Roman" w:hAnsi="Times New Roman" w:cs="Times New Roman"/>
          <w:bCs/>
          <w:sz w:val="24"/>
          <w:szCs w:val="24"/>
        </w:rPr>
      </w:pPr>
      <w:bookmarkStart w:id="103" w:name="_Toc121150328"/>
      <w:r w:rsidRPr="008B2C16">
        <w:rPr>
          <w:rFonts w:ascii="Times New Roman" w:hAnsi="Times New Roman" w:cs="Times New Roman"/>
          <w:bCs/>
          <w:sz w:val="24"/>
          <w:szCs w:val="24"/>
        </w:rPr>
        <w:t>DEFINIÇÃO DO PROPÓSITO DA REPRESENTAÇÃO</w:t>
      </w:r>
      <w:bookmarkEnd w:id="103"/>
    </w:p>
    <w:p w14:paraId="7BBB866F" w14:textId="77777777" w:rsidR="00B125DC" w:rsidRPr="00B125DC" w:rsidRDefault="00B125DC" w:rsidP="008B2C16">
      <w:pPr>
        <w:pBdr>
          <w:top w:val="nil"/>
          <w:left w:val="nil"/>
          <w:bottom w:val="nil"/>
          <w:right w:val="nil"/>
          <w:between w:val="nil"/>
        </w:pBdr>
        <w:spacing w:after="0" w:line="360" w:lineRule="auto"/>
        <w:ind w:firstLine="709"/>
        <w:jc w:val="both"/>
        <w:rPr>
          <w:rFonts w:ascii="Times New Roman" w:eastAsia="Times New Roman" w:hAnsi="Times New Roman" w:cs="Times New Roman"/>
          <w:kern w:val="0"/>
          <w:sz w:val="24"/>
          <w:szCs w:val="24"/>
          <w:lang w:eastAsia="pt-BR"/>
          <w14:ligatures w14:val="none"/>
        </w:rPr>
      </w:pPr>
    </w:p>
    <w:p w14:paraId="6421474F" w14:textId="77777777" w:rsidR="00B125DC" w:rsidRPr="00B125DC" w:rsidRDefault="00B125DC" w:rsidP="008B2C16">
      <w:pPr>
        <w:pBdr>
          <w:top w:val="nil"/>
          <w:left w:val="nil"/>
          <w:bottom w:val="nil"/>
          <w:right w:val="nil"/>
          <w:between w:val="nil"/>
        </w:pBd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lastRenderedPageBreak/>
        <w:t xml:space="preserve">Este princípio consiste em definir o objetivo e o uso do modelo de representação do domínio. A razão pela qual o modelo será construído deve ser claramente compreendida por todos aqueles envolvidos e interessados em sua construção. </w:t>
      </w:r>
    </w:p>
    <w:p w14:paraId="6BB98C9F" w14:textId="77777777" w:rsidR="00B125DC" w:rsidRPr="00B125DC" w:rsidRDefault="00B125DC" w:rsidP="008B2C16">
      <w:pPr>
        <w:pBdr>
          <w:top w:val="nil"/>
          <w:left w:val="nil"/>
          <w:bottom w:val="nil"/>
          <w:right w:val="nil"/>
          <w:between w:val="nil"/>
        </w:pBdr>
        <w:spacing w:after="0" w:line="360" w:lineRule="auto"/>
        <w:ind w:firstLine="709"/>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As perguntas que norteiam esse princípio são: </w:t>
      </w:r>
      <w:r w:rsidRPr="00B125DC">
        <w:rPr>
          <w:rFonts w:ascii="Times New Roman" w:eastAsia="Times New Roman" w:hAnsi="Times New Roman" w:cs="Times New Roman"/>
          <w:i/>
          <w:kern w:val="0"/>
          <w:sz w:val="24"/>
          <w:szCs w:val="24"/>
          <w:lang w:eastAsia="pt-BR"/>
          <w14:ligatures w14:val="none"/>
        </w:rPr>
        <w:t>Para que servirá essa representação?</w:t>
      </w:r>
      <w:r w:rsidRPr="00B125DC">
        <w:rPr>
          <w:rFonts w:ascii="Times New Roman" w:eastAsia="Times New Roman" w:hAnsi="Times New Roman" w:cs="Times New Roman"/>
          <w:kern w:val="0"/>
          <w:sz w:val="24"/>
          <w:szCs w:val="24"/>
          <w:lang w:eastAsia="pt-BR"/>
          <w14:ligatures w14:val="none"/>
        </w:rPr>
        <w:t xml:space="preserve"> </w:t>
      </w:r>
      <w:r w:rsidRPr="00B125DC">
        <w:rPr>
          <w:rFonts w:ascii="Times New Roman" w:eastAsia="Times New Roman" w:hAnsi="Times New Roman" w:cs="Times New Roman"/>
          <w:i/>
          <w:kern w:val="0"/>
          <w:sz w:val="24"/>
          <w:szCs w:val="24"/>
          <w:lang w:eastAsia="pt-BR"/>
          <w14:ligatures w14:val="none"/>
        </w:rPr>
        <w:t>Como essa representação será utilizada?</w:t>
      </w:r>
    </w:p>
    <w:p w14:paraId="48549151" w14:textId="77777777" w:rsidR="00B125DC" w:rsidRPr="00B125DC" w:rsidRDefault="00B125DC" w:rsidP="008B2C16">
      <w:pPr>
        <w:pBdr>
          <w:top w:val="nil"/>
          <w:left w:val="nil"/>
          <w:bottom w:val="nil"/>
          <w:right w:val="nil"/>
          <w:between w:val="nil"/>
        </w:pBd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Deverá ser observado o alinhamento deste princípio com outros que envolvam usuários e produtores do modelo de representação na qualidade de especialistas do domínio de oficinas de percussão e os profissionais da informação.</w:t>
      </w:r>
    </w:p>
    <w:p w14:paraId="6F57BD72" w14:textId="77777777" w:rsidR="00B125DC" w:rsidRDefault="00B125DC" w:rsidP="00863B19">
      <w:pPr>
        <w:pBdr>
          <w:top w:val="nil"/>
          <w:left w:val="nil"/>
          <w:bottom w:val="nil"/>
          <w:right w:val="nil"/>
          <w:between w:val="nil"/>
        </w:pBdr>
        <w:spacing w:after="0" w:line="360" w:lineRule="auto"/>
        <w:ind w:firstLine="1429"/>
        <w:jc w:val="both"/>
        <w:rPr>
          <w:rFonts w:ascii="Times New Roman" w:eastAsia="Times New Roman" w:hAnsi="Times New Roman" w:cs="Times New Roman"/>
          <w:kern w:val="0"/>
          <w:sz w:val="24"/>
          <w:szCs w:val="24"/>
          <w:lang w:eastAsia="pt-BR"/>
          <w14:ligatures w14:val="none"/>
        </w:rPr>
      </w:pPr>
    </w:p>
    <w:p w14:paraId="24AA86EE" w14:textId="77777777" w:rsidR="00863B19" w:rsidRDefault="00863B19" w:rsidP="00863B19">
      <w:pPr>
        <w:pBdr>
          <w:top w:val="nil"/>
          <w:left w:val="nil"/>
          <w:bottom w:val="nil"/>
          <w:right w:val="nil"/>
          <w:between w:val="nil"/>
        </w:pBdr>
        <w:spacing w:after="0" w:line="360" w:lineRule="auto"/>
        <w:ind w:firstLine="1429"/>
        <w:jc w:val="both"/>
        <w:rPr>
          <w:rFonts w:ascii="Times New Roman" w:eastAsia="Times New Roman" w:hAnsi="Times New Roman" w:cs="Times New Roman"/>
          <w:kern w:val="0"/>
          <w:sz w:val="24"/>
          <w:szCs w:val="24"/>
          <w:lang w:eastAsia="pt-BR"/>
          <w14:ligatures w14:val="none"/>
        </w:rPr>
      </w:pPr>
    </w:p>
    <w:p w14:paraId="528CE5EB" w14:textId="77777777" w:rsidR="00863B19" w:rsidRPr="00B125DC" w:rsidRDefault="00863B19" w:rsidP="008B2C16">
      <w:pPr>
        <w:pBdr>
          <w:top w:val="nil"/>
          <w:left w:val="nil"/>
          <w:bottom w:val="nil"/>
          <w:right w:val="nil"/>
          <w:between w:val="nil"/>
        </w:pBdr>
        <w:spacing w:after="0" w:line="360" w:lineRule="auto"/>
        <w:ind w:firstLine="1429"/>
        <w:jc w:val="both"/>
        <w:rPr>
          <w:rFonts w:ascii="Times New Roman" w:eastAsia="Times New Roman" w:hAnsi="Times New Roman" w:cs="Times New Roman"/>
          <w:kern w:val="0"/>
          <w:sz w:val="24"/>
          <w:szCs w:val="24"/>
          <w:lang w:eastAsia="pt-BR"/>
          <w14:ligatures w14:val="none"/>
        </w:rPr>
      </w:pPr>
    </w:p>
    <w:p w14:paraId="140BA345" w14:textId="2E52A418" w:rsidR="00B125DC" w:rsidRPr="00B125DC" w:rsidRDefault="008B2C16" w:rsidP="008B2C16">
      <w:pPr>
        <w:rPr>
          <w:rFonts w:ascii="Times New Roman" w:eastAsia="Times New Roman" w:hAnsi="Times New Roman" w:cs="Times New Roman"/>
          <w:bCs/>
          <w:kern w:val="0"/>
          <w:sz w:val="24"/>
          <w:szCs w:val="24"/>
          <w:lang w:eastAsia="pt-BR"/>
          <w14:ligatures w14:val="none"/>
        </w:rPr>
      </w:pPr>
      <w:bookmarkStart w:id="104" w:name="_Toc121150329"/>
      <w:r w:rsidRPr="008B2C16">
        <w:rPr>
          <w:rFonts w:ascii="Times New Roman" w:eastAsia="Times New Roman" w:hAnsi="Times New Roman" w:cs="Times New Roman"/>
          <w:bCs/>
          <w:kern w:val="0"/>
          <w:sz w:val="24"/>
          <w:szCs w:val="24"/>
          <w:lang w:eastAsia="pt-BR"/>
          <w14:ligatures w14:val="none"/>
        </w:rPr>
        <w:t xml:space="preserve">5.2 </w:t>
      </w:r>
      <w:r w:rsidRPr="00B125DC">
        <w:rPr>
          <w:rFonts w:ascii="Times New Roman" w:eastAsia="Times New Roman" w:hAnsi="Times New Roman" w:cs="Times New Roman"/>
          <w:bCs/>
          <w:kern w:val="0"/>
          <w:sz w:val="24"/>
          <w:szCs w:val="24"/>
          <w:lang w:eastAsia="pt-BR"/>
          <w14:ligatures w14:val="none"/>
        </w:rPr>
        <w:t>IDENTIFICAÇÃO DOS USUÁRIOS DA REPRESENTAÇÃO</w:t>
      </w:r>
      <w:bookmarkEnd w:id="104"/>
    </w:p>
    <w:p w14:paraId="1D83546D" w14:textId="77777777" w:rsidR="00B125DC" w:rsidRPr="00B125DC" w:rsidRDefault="00B125DC" w:rsidP="008B2C16">
      <w:pPr>
        <w:spacing w:after="0" w:line="360" w:lineRule="auto"/>
        <w:ind w:firstLine="709"/>
        <w:jc w:val="both"/>
        <w:rPr>
          <w:rFonts w:ascii="Times New Roman" w:eastAsia="Times New Roman" w:hAnsi="Times New Roman" w:cs="Times New Roman"/>
          <w:kern w:val="0"/>
          <w:sz w:val="24"/>
          <w:szCs w:val="24"/>
          <w:lang w:eastAsia="pt-BR"/>
          <w14:ligatures w14:val="none"/>
        </w:rPr>
      </w:pPr>
    </w:p>
    <w:p w14:paraId="524AA294"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Este princípio consiste em identificar os sujeitos que utilizarão o modelo de representação, os quais se constituirão em público de interesse que irá consumir o modelo no qual sua realidade estará ali representada. Nesse sentido, pelo que foi apurado em nossa pesquisa, apontamos como potencial segmento de usuários da representação do domínio de oficinas de percussão o corpo de alunos que dela participam. Em nosso entendimento, existem questionamentos específicos por parte do aluno que envolvem objetos de caráter geral como, por exemplo, mestre da oficina, instrumento, ritmo e evento, e podem se configurar em questões de competência para definição do escopo da ontologia que suportará a representação. </w:t>
      </w:r>
    </w:p>
    <w:p w14:paraId="144BDE76"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As perguntas que norteiam esse princípio são: </w:t>
      </w:r>
      <w:r w:rsidRPr="00B125DC">
        <w:rPr>
          <w:rFonts w:ascii="Times New Roman" w:eastAsia="Times New Roman" w:hAnsi="Times New Roman" w:cs="Times New Roman"/>
          <w:i/>
          <w:kern w:val="0"/>
          <w:sz w:val="24"/>
          <w:szCs w:val="24"/>
          <w:lang w:eastAsia="pt-BR"/>
          <w14:ligatures w14:val="none"/>
        </w:rPr>
        <w:t>Para quem este modelo será útil? Para quem interessa essa representação?</w:t>
      </w:r>
    </w:p>
    <w:p w14:paraId="3DA20E6A" w14:textId="77777777" w:rsidR="00B125DC" w:rsidRPr="00B125DC" w:rsidRDefault="00B125DC" w:rsidP="008B2C16">
      <w:pPr>
        <w:pBdr>
          <w:top w:val="nil"/>
          <w:left w:val="nil"/>
          <w:bottom w:val="nil"/>
          <w:right w:val="nil"/>
          <w:between w:val="nil"/>
        </w:pBdr>
        <w:spacing w:after="0" w:line="360" w:lineRule="auto"/>
        <w:ind w:left="1429"/>
        <w:jc w:val="both"/>
        <w:rPr>
          <w:rFonts w:ascii="Times New Roman" w:eastAsia="Times New Roman" w:hAnsi="Times New Roman" w:cs="Times New Roman"/>
          <w:b/>
          <w:kern w:val="0"/>
          <w:sz w:val="24"/>
          <w:szCs w:val="24"/>
          <w:lang w:eastAsia="pt-BR"/>
          <w14:ligatures w14:val="none"/>
        </w:rPr>
      </w:pPr>
    </w:p>
    <w:p w14:paraId="0D0FBF2B" w14:textId="4E42E691" w:rsidR="00B125DC" w:rsidRPr="00B125DC" w:rsidRDefault="008B2C16" w:rsidP="008B2C16">
      <w:pPr>
        <w:rPr>
          <w:rFonts w:ascii="Times New Roman" w:eastAsia="Times New Roman" w:hAnsi="Times New Roman" w:cs="Times New Roman"/>
          <w:bCs/>
          <w:kern w:val="0"/>
          <w:sz w:val="24"/>
          <w:szCs w:val="24"/>
          <w:lang w:eastAsia="pt-BR"/>
          <w14:ligatures w14:val="none"/>
        </w:rPr>
      </w:pPr>
      <w:bookmarkStart w:id="105" w:name="_Toc121150330"/>
      <w:r w:rsidRPr="008B2C16">
        <w:rPr>
          <w:rFonts w:ascii="Times New Roman" w:eastAsia="Times New Roman" w:hAnsi="Times New Roman" w:cs="Times New Roman"/>
          <w:bCs/>
          <w:kern w:val="0"/>
          <w:sz w:val="24"/>
          <w:szCs w:val="24"/>
          <w:lang w:eastAsia="pt-BR"/>
          <w14:ligatures w14:val="none"/>
        </w:rPr>
        <w:t xml:space="preserve">5.3 </w:t>
      </w:r>
      <w:r w:rsidRPr="00B125DC">
        <w:rPr>
          <w:rFonts w:ascii="Times New Roman" w:eastAsia="Times New Roman" w:hAnsi="Times New Roman" w:cs="Times New Roman"/>
          <w:bCs/>
          <w:kern w:val="0"/>
          <w:sz w:val="24"/>
          <w:szCs w:val="24"/>
          <w:lang w:eastAsia="pt-BR"/>
          <w14:ligatures w14:val="none"/>
        </w:rPr>
        <w:t>IDENTIFICAÇÃO DOS PRODUTORES DA REPRESENTAÇÃO</w:t>
      </w:r>
      <w:bookmarkEnd w:id="105"/>
    </w:p>
    <w:p w14:paraId="3025931D" w14:textId="77777777" w:rsidR="00B125DC" w:rsidRPr="00B125DC" w:rsidRDefault="00B125DC" w:rsidP="008B2C16">
      <w:pPr>
        <w:pBdr>
          <w:top w:val="nil"/>
          <w:left w:val="nil"/>
          <w:bottom w:val="nil"/>
          <w:right w:val="nil"/>
          <w:between w:val="nil"/>
        </w:pBdr>
        <w:spacing w:after="0" w:line="360" w:lineRule="auto"/>
        <w:jc w:val="both"/>
        <w:rPr>
          <w:rFonts w:ascii="Times New Roman" w:eastAsia="Times New Roman" w:hAnsi="Times New Roman" w:cs="Times New Roman"/>
          <w:kern w:val="0"/>
          <w:sz w:val="24"/>
          <w:szCs w:val="24"/>
          <w:lang w:eastAsia="pt-BR"/>
          <w14:ligatures w14:val="none"/>
        </w:rPr>
      </w:pPr>
    </w:p>
    <w:p w14:paraId="2C8985BF" w14:textId="70E3EEC6" w:rsidR="00B125DC" w:rsidRPr="00B125DC" w:rsidRDefault="00B125DC" w:rsidP="008B2C16">
      <w:pPr>
        <w:pBdr>
          <w:top w:val="nil"/>
          <w:left w:val="nil"/>
          <w:bottom w:val="nil"/>
          <w:right w:val="nil"/>
          <w:between w:val="nil"/>
        </w:pBd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Este princípio consiste em identificar os sujeitos que irão trabalhar na construção do modelo de representação. É importante que entre estes sujeitos estejam aqueles que detenham o conhecimento sobre o contexto, atuando no papel de especialista do domínio, conforme recomendado na metodologia SABiO (F</w:t>
      </w:r>
      <w:r w:rsidR="008B2C16" w:rsidRPr="00B125DC">
        <w:rPr>
          <w:rFonts w:ascii="Times New Roman" w:eastAsia="Times New Roman" w:hAnsi="Times New Roman" w:cs="Times New Roman"/>
          <w:kern w:val="0"/>
          <w:sz w:val="24"/>
          <w:szCs w:val="24"/>
          <w:lang w:eastAsia="pt-BR"/>
          <w14:ligatures w14:val="none"/>
        </w:rPr>
        <w:t>albo</w:t>
      </w:r>
      <w:r w:rsidRPr="00B125DC">
        <w:rPr>
          <w:rFonts w:ascii="Times New Roman" w:eastAsia="Times New Roman" w:hAnsi="Times New Roman" w:cs="Times New Roman"/>
          <w:kern w:val="0"/>
          <w:sz w:val="24"/>
          <w:szCs w:val="24"/>
          <w:lang w:eastAsia="pt-BR"/>
          <w14:ligatures w14:val="none"/>
        </w:rPr>
        <w:t xml:space="preserve">, 2014) e que estes se juntem aos profissionais da informação, os quais detém o conhecimento sobre o instrumento de representação, para que a visão sobre o domínio seja compartilhada. Aos produtores da representação, conforme mencionado por Becker (2009), cabe selecionar, interpretar e traduzir o aspecto da realidade </w:t>
      </w:r>
      <w:r w:rsidRPr="00B125DC">
        <w:rPr>
          <w:rFonts w:ascii="Times New Roman" w:eastAsia="Times New Roman" w:hAnsi="Times New Roman" w:cs="Times New Roman"/>
          <w:kern w:val="0"/>
          <w:sz w:val="24"/>
          <w:szCs w:val="24"/>
          <w:lang w:eastAsia="pt-BR"/>
          <w14:ligatures w14:val="none"/>
        </w:rPr>
        <w:lastRenderedPageBreak/>
        <w:t xml:space="preserve">social a ser representada. Então, é importante que a seleção e a interpretação do recorte dessa realidade não se dissociem do que seja considerada a realidade vivida pelos indivíduos inseridos no contexto das oficinas de percussão. Nesse sentido, apontamos como possíveis candidatos para compor o time de produtores da representação o mestre da oficina e um membro colaborador. </w:t>
      </w:r>
    </w:p>
    <w:p w14:paraId="32DCAB6E" w14:textId="77777777" w:rsidR="00B125DC" w:rsidRPr="00B125DC" w:rsidRDefault="00B125DC" w:rsidP="008B2C16">
      <w:pPr>
        <w:pBdr>
          <w:top w:val="nil"/>
          <w:left w:val="nil"/>
          <w:bottom w:val="nil"/>
          <w:right w:val="nil"/>
          <w:between w:val="nil"/>
        </w:pBd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fim de agregar valor ao processo de produção do modelo, recomendamos que o profissional da informação, no papel de modelizador, realize um processo de imersão no domínio através da observação-participante como recomenda Latour (2000), onde o pesquisador se insere no campo de pesquisa ou conforme preconizado pela etnografia, onde o pesquisador se junta aos ‘nativos’ para aprender a sua cultura e conhecer seu modo de vida. E, dessa forma, o modelizador possa experimentar aquela realidade, de modo que ele também possa captar os fatos e as histórias ali contidas no contexto por meio de sua própria percepção. </w:t>
      </w:r>
    </w:p>
    <w:p w14:paraId="56A979E5" w14:textId="77777777" w:rsidR="00B125DC" w:rsidRDefault="00B125DC"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As perguntas que norteiam esse princípio são: </w:t>
      </w:r>
      <w:r w:rsidRPr="00B125DC">
        <w:rPr>
          <w:rFonts w:ascii="Times New Roman" w:eastAsia="Times New Roman" w:hAnsi="Times New Roman" w:cs="Times New Roman"/>
          <w:i/>
          <w:kern w:val="0"/>
          <w:sz w:val="24"/>
          <w:szCs w:val="24"/>
          <w:lang w:eastAsia="pt-BR"/>
          <w14:ligatures w14:val="none"/>
        </w:rPr>
        <w:t>Como deverá ser composta a equipe que irá trabalhar na elaboração do modelo de representação?</w:t>
      </w:r>
    </w:p>
    <w:p w14:paraId="798474C7" w14:textId="77777777" w:rsidR="00863B19" w:rsidRPr="00B125DC" w:rsidRDefault="00863B19"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kern w:val="0"/>
          <w:sz w:val="24"/>
          <w:szCs w:val="24"/>
          <w:lang w:eastAsia="pt-BR"/>
          <w14:ligatures w14:val="none"/>
        </w:rPr>
      </w:pPr>
    </w:p>
    <w:p w14:paraId="6CC3BB65" w14:textId="4C3E83A2" w:rsidR="00B125DC" w:rsidRPr="008B2C16" w:rsidRDefault="008B2C16" w:rsidP="00863B19">
      <w:pPr>
        <w:pStyle w:val="PargrafodaLista"/>
        <w:numPr>
          <w:ilvl w:val="1"/>
          <w:numId w:val="9"/>
        </w:numPr>
        <w:spacing w:line="360" w:lineRule="auto"/>
        <w:rPr>
          <w:rFonts w:ascii="Times New Roman" w:hAnsi="Times New Roman" w:cs="Times New Roman"/>
          <w:bCs/>
          <w:sz w:val="24"/>
          <w:szCs w:val="24"/>
        </w:rPr>
      </w:pPr>
      <w:bookmarkStart w:id="106" w:name="_Toc121150331"/>
      <w:r w:rsidRPr="008B2C16">
        <w:rPr>
          <w:rFonts w:ascii="Times New Roman" w:hAnsi="Times New Roman" w:cs="Times New Roman"/>
          <w:bCs/>
          <w:sz w:val="24"/>
          <w:szCs w:val="24"/>
        </w:rPr>
        <w:t>DEFINIÇÃO DO CONTEÚDO DA REPRESENTAÇÃO</w:t>
      </w:r>
      <w:bookmarkEnd w:id="106"/>
    </w:p>
    <w:p w14:paraId="2BF8F965" w14:textId="77777777" w:rsidR="00B125DC" w:rsidRPr="00B125DC" w:rsidRDefault="00B125DC"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09845A28" w14:textId="77777777" w:rsidR="00B125DC" w:rsidRPr="00B125DC" w:rsidRDefault="00B125DC" w:rsidP="00863B19">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Este princípio consiste em definir o que será representado no modelo, ou seja, sob qual perspectiva a oficina de percussão será descrita com base nos objetos representados. Devemos observar que o que será representado é o conceito que se tem sobre os objetos, portanto, é necessário atentar o olhar para a conformação destes objetos dentro do contexto da oficina de percussão popular em questão, e procurar registrar os respectivos conceitos em um dicionário de definição de termos. </w:t>
      </w:r>
    </w:p>
    <w:p w14:paraId="3583686E" w14:textId="77777777" w:rsidR="00B125DC" w:rsidRPr="00B125DC" w:rsidRDefault="00B125DC" w:rsidP="00863B19">
      <w:pPr>
        <w:spacing w:after="0" w:line="360" w:lineRule="auto"/>
        <w:ind w:firstLine="708"/>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As perguntas que norteiam esse princípio são: </w:t>
      </w:r>
      <w:r w:rsidRPr="00B125DC">
        <w:rPr>
          <w:rFonts w:ascii="Times New Roman" w:eastAsia="Times New Roman" w:hAnsi="Times New Roman" w:cs="Times New Roman"/>
          <w:i/>
          <w:kern w:val="0"/>
          <w:sz w:val="24"/>
          <w:szCs w:val="24"/>
          <w:lang w:eastAsia="pt-BR"/>
          <w14:ligatures w14:val="none"/>
        </w:rPr>
        <w:t>Quem é o mestre da oficina? Onde está localizada? Qual instrumento é ensinado? Qual ritmo é ensinado? Qual evento participa?</w:t>
      </w:r>
    </w:p>
    <w:p w14:paraId="0D4A0AC6" w14:textId="77777777" w:rsidR="00B125DC" w:rsidRPr="00B125DC" w:rsidRDefault="00B125DC" w:rsidP="00863B19">
      <w:pPr>
        <w:spacing w:after="0" w:line="360" w:lineRule="auto"/>
        <w:ind w:firstLine="1418"/>
        <w:jc w:val="both"/>
        <w:rPr>
          <w:rFonts w:ascii="Times New Roman" w:eastAsia="Times New Roman" w:hAnsi="Times New Roman" w:cs="Times New Roman"/>
          <w:kern w:val="0"/>
          <w:sz w:val="24"/>
          <w:szCs w:val="24"/>
          <w:lang w:eastAsia="pt-BR"/>
          <w14:ligatures w14:val="none"/>
        </w:rPr>
      </w:pPr>
    </w:p>
    <w:p w14:paraId="6C8BF3FE" w14:textId="6A6FB191" w:rsidR="00B125DC" w:rsidRPr="00B125DC" w:rsidRDefault="008B2C16" w:rsidP="00863B19">
      <w:pPr>
        <w:spacing w:after="0"/>
        <w:rPr>
          <w:rFonts w:ascii="Times New Roman" w:eastAsia="Times New Roman" w:hAnsi="Times New Roman" w:cs="Times New Roman"/>
          <w:bCs/>
          <w:kern w:val="0"/>
          <w:sz w:val="24"/>
          <w:szCs w:val="24"/>
          <w:lang w:eastAsia="pt-BR"/>
          <w14:ligatures w14:val="none"/>
        </w:rPr>
      </w:pPr>
      <w:bookmarkStart w:id="107" w:name="_Toc121150332"/>
      <w:r w:rsidRPr="008B2C16">
        <w:rPr>
          <w:rFonts w:ascii="Times New Roman" w:eastAsia="Times New Roman" w:hAnsi="Times New Roman" w:cs="Times New Roman"/>
          <w:bCs/>
          <w:kern w:val="0"/>
          <w:sz w:val="24"/>
          <w:szCs w:val="24"/>
          <w:lang w:eastAsia="pt-BR"/>
          <w14:ligatures w14:val="none"/>
        </w:rPr>
        <w:t xml:space="preserve">5.4.1 </w:t>
      </w:r>
      <w:r w:rsidR="00B125DC" w:rsidRPr="00B125DC">
        <w:rPr>
          <w:rFonts w:ascii="Times New Roman" w:eastAsia="Times New Roman" w:hAnsi="Times New Roman" w:cs="Times New Roman"/>
          <w:b/>
          <w:kern w:val="0"/>
          <w:sz w:val="24"/>
          <w:szCs w:val="24"/>
          <w:lang w:eastAsia="pt-BR"/>
          <w14:ligatures w14:val="none"/>
        </w:rPr>
        <w:t>Explicitação da historicidade dos instrumentos e ritmos</w:t>
      </w:r>
      <w:bookmarkEnd w:id="107"/>
    </w:p>
    <w:p w14:paraId="501C3B9A" w14:textId="77777777" w:rsidR="00B125DC" w:rsidRPr="00B125DC" w:rsidRDefault="00B125DC" w:rsidP="00863B19">
      <w:pPr>
        <w:pBdr>
          <w:top w:val="nil"/>
          <w:left w:val="nil"/>
          <w:bottom w:val="nil"/>
          <w:right w:val="nil"/>
          <w:between w:val="nil"/>
        </w:pBdr>
        <w:spacing w:after="0" w:line="360" w:lineRule="auto"/>
        <w:ind w:firstLine="1429"/>
        <w:jc w:val="both"/>
        <w:rPr>
          <w:rFonts w:ascii="Times New Roman" w:eastAsia="Times New Roman" w:hAnsi="Times New Roman" w:cs="Times New Roman"/>
          <w:kern w:val="0"/>
          <w:sz w:val="24"/>
          <w:szCs w:val="24"/>
          <w:lang w:eastAsia="pt-BR"/>
          <w14:ligatures w14:val="none"/>
        </w:rPr>
      </w:pPr>
    </w:p>
    <w:p w14:paraId="6627652D" w14:textId="77777777" w:rsidR="00B125DC" w:rsidRPr="00B125DC" w:rsidRDefault="00B125DC"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Este princípio consiste em explicitar a historicidade dos instrumentos e ritmos ensinados nas oficinas de percussão popular. A importância desse princípio se dá em duas vertentes: a primeira diz respeito ao ensino do instrumento que, além do conhecimento sobre como tocar, faz emergir a sua própria história; a segunda se refere à relação entre o instrumento e ritmo que é tocado com ele como, por exemplo, o pandeiro e o samba de raiz, e também, a conexão entre o samba e a história da chegada do povo preto a cidade do Rio de Janeiro na condição de </w:t>
      </w:r>
      <w:r w:rsidRPr="00B125DC">
        <w:rPr>
          <w:rFonts w:ascii="Times New Roman" w:eastAsia="Times New Roman" w:hAnsi="Times New Roman" w:cs="Times New Roman"/>
          <w:kern w:val="0"/>
          <w:sz w:val="24"/>
          <w:szCs w:val="24"/>
          <w:lang w:eastAsia="pt-BR"/>
          <w14:ligatures w14:val="none"/>
        </w:rPr>
        <w:lastRenderedPageBreak/>
        <w:t>escravos libertos. Assim, recomendamos que a representação do domínio contemple no modelo uma forma de registrar as técnicas de execução do instrumento e do ritmo, bem como os acessórios característicos, e também uma representação desses elementos com recursos audiovisuais (fotografias, vídeos, som).</w:t>
      </w:r>
    </w:p>
    <w:p w14:paraId="10614E36" w14:textId="77777777" w:rsidR="00B125DC" w:rsidRDefault="00B125DC"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pergunta que norteia esse princípio é: </w:t>
      </w:r>
      <w:r w:rsidRPr="00B125DC">
        <w:rPr>
          <w:rFonts w:ascii="Times New Roman" w:eastAsia="Times New Roman" w:hAnsi="Times New Roman" w:cs="Times New Roman"/>
          <w:i/>
          <w:kern w:val="0"/>
          <w:sz w:val="24"/>
          <w:szCs w:val="24"/>
          <w:lang w:eastAsia="pt-BR"/>
          <w14:ligatures w14:val="none"/>
        </w:rPr>
        <w:t>Qual a origem de determinado ritmo e/ou instrumento?</w:t>
      </w:r>
    </w:p>
    <w:p w14:paraId="151E8B75" w14:textId="77777777" w:rsidR="00863B19" w:rsidRDefault="00863B19"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p>
    <w:p w14:paraId="4AD46679" w14:textId="77777777" w:rsidR="00863B19" w:rsidRDefault="00863B19"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p>
    <w:p w14:paraId="7568B449" w14:textId="77777777" w:rsidR="00863B19" w:rsidRDefault="00863B19"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p>
    <w:p w14:paraId="036D041D" w14:textId="77777777" w:rsidR="00863B19" w:rsidRPr="00B125DC" w:rsidRDefault="00863B19"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p>
    <w:p w14:paraId="6C7D2A3C" w14:textId="0531133E" w:rsidR="00B125DC" w:rsidRPr="00B125DC" w:rsidRDefault="008B2C16" w:rsidP="00863B19">
      <w:pPr>
        <w:spacing w:after="0"/>
        <w:rPr>
          <w:rFonts w:ascii="Times New Roman" w:eastAsia="Times New Roman" w:hAnsi="Times New Roman" w:cs="Times New Roman"/>
          <w:bCs/>
          <w:kern w:val="0"/>
          <w:sz w:val="24"/>
          <w:szCs w:val="24"/>
          <w:lang w:eastAsia="pt-BR"/>
          <w14:ligatures w14:val="none"/>
        </w:rPr>
      </w:pPr>
      <w:bookmarkStart w:id="108" w:name="_Toc121150333"/>
      <w:r w:rsidRPr="008B2C16">
        <w:rPr>
          <w:rFonts w:ascii="Times New Roman" w:eastAsia="Times New Roman" w:hAnsi="Times New Roman" w:cs="Times New Roman"/>
          <w:bCs/>
          <w:kern w:val="0"/>
          <w:sz w:val="24"/>
          <w:szCs w:val="24"/>
          <w:lang w:eastAsia="pt-BR"/>
          <w14:ligatures w14:val="none"/>
        </w:rPr>
        <w:t xml:space="preserve">5.4.2 </w:t>
      </w:r>
      <w:r w:rsidR="00B125DC" w:rsidRPr="00B125DC">
        <w:rPr>
          <w:rFonts w:ascii="Times New Roman" w:eastAsia="Times New Roman" w:hAnsi="Times New Roman" w:cs="Times New Roman"/>
          <w:b/>
          <w:kern w:val="0"/>
          <w:sz w:val="24"/>
          <w:szCs w:val="24"/>
          <w:lang w:eastAsia="pt-BR"/>
          <w14:ligatures w14:val="none"/>
        </w:rPr>
        <w:t>Explicitação dos vínculos constituídos</w:t>
      </w:r>
      <w:bookmarkEnd w:id="108"/>
      <w:r w:rsidR="00B125DC" w:rsidRPr="00B125DC">
        <w:rPr>
          <w:rFonts w:ascii="Times New Roman" w:eastAsia="Times New Roman" w:hAnsi="Times New Roman" w:cs="Times New Roman"/>
          <w:bCs/>
          <w:kern w:val="0"/>
          <w:sz w:val="24"/>
          <w:szCs w:val="24"/>
          <w:lang w:eastAsia="pt-BR"/>
          <w14:ligatures w14:val="none"/>
        </w:rPr>
        <w:t xml:space="preserve"> </w:t>
      </w:r>
    </w:p>
    <w:p w14:paraId="18CA2721" w14:textId="77777777" w:rsidR="00B125DC" w:rsidRPr="00B125DC" w:rsidRDefault="00B125DC"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1E4BCA79" w14:textId="77777777" w:rsidR="00B125DC" w:rsidRPr="00B125DC" w:rsidRDefault="00B125DC" w:rsidP="00863B19">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Este princípio consiste em evidenciar os vínculos constituídos pela oficina de percussão por meio das interações e relações sociais dadas no âmbito das práticas culturais. A importância desse princípio é evidenciar as conexões entre as oficinas de percussão, na figura de seus membros constituintes, e os atores sociais atuantes no contexto musical e cultural. Evidenciar tais conexões pode revelar um conhecimento sobre instituições e pessoas que, de alguma forma, apresentaram, vínculo com a oficina. Dessa forma, dessas conexões pode emergir uma rede que interliga músicos profissionais e amadores, grupo musical, estudantes, artistas, escolas de música, bloco de carnaval, escola de samba, etc.</w:t>
      </w:r>
    </w:p>
    <w:p w14:paraId="5CA3413F" w14:textId="77777777" w:rsidR="00B125DC" w:rsidRPr="00B125DC" w:rsidRDefault="00B125DC" w:rsidP="008B2C16">
      <w:pPr>
        <w:spacing w:after="0" w:line="360" w:lineRule="auto"/>
        <w:ind w:firstLine="708"/>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formação de uma rede interligando atores sociais e instituição se faz apropriada ao universo da cultura imaterial pelo fato de que os bens culturais imateriais isolados têm representatividade para a sua comunidade. Citamos como exemplo o Samba para os cariocas (RJ) e o Maracatu para o povo de Recife (PE), ambos patrimônio cultural imaterial de forte representatividade para as respectivas comunidades de suas cidades. Se estabelecida e explicitada uma conexão entre esses dois bens culturais imateriais, como, por exemplo, o fato de ambos serem ritmos de referência da história do povo preto, a representatividade desses bens culturais poderia ganhar outro sentido enquanto objeto de uma cultura ancestral. </w:t>
      </w:r>
    </w:p>
    <w:p w14:paraId="7E0AFE0D" w14:textId="77777777" w:rsidR="00B125DC" w:rsidRPr="00B125DC" w:rsidRDefault="00B125DC" w:rsidP="00863B19">
      <w:pPr>
        <w:pBdr>
          <w:top w:val="nil"/>
          <w:left w:val="nil"/>
          <w:bottom w:val="nil"/>
          <w:right w:val="nil"/>
          <w:between w:val="nil"/>
        </w:pBdr>
        <w:spacing w:after="0" w:line="360" w:lineRule="auto"/>
        <w:ind w:firstLine="708"/>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pergunta que norteia esse princípio é: </w:t>
      </w:r>
      <w:r w:rsidRPr="00B125DC">
        <w:rPr>
          <w:rFonts w:ascii="Times New Roman" w:eastAsia="Times New Roman" w:hAnsi="Times New Roman" w:cs="Times New Roman"/>
          <w:i/>
          <w:kern w:val="0"/>
          <w:sz w:val="24"/>
          <w:szCs w:val="24"/>
          <w:lang w:eastAsia="pt-BR"/>
          <w14:ligatures w14:val="none"/>
        </w:rPr>
        <w:t>Que pessoas e/ou instituições tem ligação com essa oficina de percussão?</w:t>
      </w:r>
    </w:p>
    <w:p w14:paraId="06C135B5" w14:textId="77777777" w:rsidR="00B125DC" w:rsidRPr="00B125DC" w:rsidRDefault="00B125DC" w:rsidP="00863B19">
      <w:pPr>
        <w:spacing w:after="0" w:line="360" w:lineRule="auto"/>
        <w:ind w:firstLine="851"/>
        <w:jc w:val="both"/>
        <w:rPr>
          <w:rFonts w:ascii="Times New Roman" w:eastAsia="Times New Roman" w:hAnsi="Times New Roman" w:cs="Times New Roman"/>
          <w:kern w:val="0"/>
          <w:sz w:val="24"/>
          <w:szCs w:val="24"/>
          <w:lang w:eastAsia="pt-BR"/>
          <w14:ligatures w14:val="none"/>
        </w:rPr>
      </w:pPr>
    </w:p>
    <w:p w14:paraId="3D361355" w14:textId="6C564A54" w:rsidR="00B125DC" w:rsidRPr="00B125DC" w:rsidRDefault="008B2C16" w:rsidP="00863B19">
      <w:pPr>
        <w:spacing w:after="0" w:line="360" w:lineRule="auto"/>
        <w:rPr>
          <w:rFonts w:ascii="Times New Roman" w:eastAsia="Times New Roman" w:hAnsi="Times New Roman" w:cs="Times New Roman"/>
          <w:bCs/>
          <w:kern w:val="0"/>
          <w:sz w:val="24"/>
          <w:szCs w:val="24"/>
          <w:lang w:eastAsia="pt-BR"/>
          <w14:ligatures w14:val="none"/>
        </w:rPr>
      </w:pPr>
      <w:bookmarkStart w:id="109" w:name="_Toc121150334"/>
      <w:r w:rsidRPr="008B2C16">
        <w:rPr>
          <w:rFonts w:ascii="Times New Roman" w:eastAsia="Times New Roman" w:hAnsi="Times New Roman" w:cs="Times New Roman"/>
          <w:bCs/>
          <w:kern w:val="0"/>
          <w:sz w:val="24"/>
          <w:szCs w:val="24"/>
          <w:lang w:eastAsia="pt-BR"/>
          <w14:ligatures w14:val="none"/>
        </w:rPr>
        <w:t xml:space="preserve">5.4.3 </w:t>
      </w:r>
      <w:r w:rsidR="00B125DC" w:rsidRPr="00B125DC">
        <w:rPr>
          <w:rFonts w:ascii="Times New Roman" w:eastAsia="Times New Roman" w:hAnsi="Times New Roman" w:cs="Times New Roman"/>
          <w:b/>
          <w:kern w:val="0"/>
          <w:sz w:val="24"/>
          <w:szCs w:val="24"/>
          <w:lang w:eastAsia="pt-BR"/>
          <w14:ligatures w14:val="none"/>
        </w:rPr>
        <w:t>Mapeamento dos espaços de ocupação</w:t>
      </w:r>
      <w:bookmarkEnd w:id="109"/>
    </w:p>
    <w:p w14:paraId="5E906EA8" w14:textId="77777777" w:rsidR="00B125DC" w:rsidRPr="00B125DC" w:rsidRDefault="00B125DC"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65F20782" w14:textId="77777777" w:rsidR="00B125DC" w:rsidRPr="00B125DC" w:rsidRDefault="00B125DC" w:rsidP="00863B19">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lastRenderedPageBreak/>
        <w:t>Este princípio consiste em mapear os locais de aula, ensaio e eventos realizados pela oficina de percussão. O cerne deste princípio é registrar os locais funcionais e analisar o escopo geográfico. Com isso, podemos apontar como um importante conhecimento a ser revelado por meio de conexões entre os locais é em que medida as práticas culturais ganha inserção em áreas urbanas e se eles se configuram como objeto figurativo relacionado ao perfil da oficina, no que diz respeito ao alinhando com a construção do sentido de pertencimento e identidade.</w:t>
      </w:r>
    </w:p>
    <w:p w14:paraId="1116F653" w14:textId="77777777" w:rsidR="00B125DC" w:rsidRPr="00B125DC" w:rsidRDefault="00B125DC" w:rsidP="00863B19">
      <w:pPr>
        <w:pBdr>
          <w:top w:val="nil"/>
          <w:left w:val="nil"/>
          <w:bottom w:val="nil"/>
          <w:right w:val="nil"/>
          <w:between w:val="nil"/>
        </w:pBdr>
        <w:spacing w:after="0" w:line="360" w:lineRule="auto"/>
        <w:ind w:firstLine="709"/>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pergunta que norteia esse princípio é: </w:t>
      </w:r>
      <w:r w:rsidRPr="00B125DC">
        <w:rPr>
          <w:rFonts w:ascii="Times New Roman" w:eastAsia="Times New Roman" w:hAnsi="Times New Roman" w:cs="Times New Roman"/>
          <w:i/>
          <w:kern w:val="0"/>
          <w:sz w:val="24"/>
          <w:szCs w:val="24"/>
          <w:lang w:eastAsia="pt-BR"/>
          <w14:ligatures w14:val="none"/>
        </w:rPr>
        <w:t>Em que local ocorre a atividade?</w:t>
      </w:r>
    </w:p>
    <w:p w14:paraId="38F47770" w14:textId="77777777" w:rsidR="00B125DC" w:rsidRDefault="00B125DC" w:rsidP="00863B19">
      <w:pPr>
        <w:spacing w:after="0" w:line="360" w:lineRule="auto"/>
        <w:ind w:firstLine="851"/>
        <w:jc w:val="both"/>
        <w:rPr>
          <w:rFonts w:ascii="Times New Roman" w:eastAsia="Times New Roman" w:hAnsi="Times New Roman" w:cs="Times New Roman"/>
          <w:kern w:val="0"/>
          <w:sz w:val="24"/>
          <w:szCs w:val="24"/>
          <w:lang w:eastAsia="pt-BR"/>
          <w14:ligatures w14:val="none"/>
        </w:rPr>
      </w:pPr>
    </w:p>
    <w:p w14:paraId="68270E09" w14:textId="77777777" w:rsidR="00863B19" w:rsidRDefault="00863B19" w:rsidP="00863B19">
      <w:pPr>
        <w:spacing w:after="0" w:line="360" w:lineRule="auto"/>
        <w:ind w:firstLine="851"/>
        <w:jc w:val="both"/>
        <w:rPr>
          <w:rFonts w:ascii="Times New Roman" w:eastAsia="Times New Roman" w:hAnsi="Times New Roman" w:cs="Times New Roman"/>
          <w:kern w:val="0"/>
          <w:sz w:val="24"/>
          <w:szCs w:val="24"/>
          <w:lang w:eastAsia="pt-BR"/>
          <w14:ligatures w14:val="none"/>
        </w:rPr>
      </w:pPr>
    </w:p>
    <w:p w14:paraId="049F39DA" w14:textId="77777777" w:rsidR="00863B19" w:rsidRDefault="00863B19" w:rsidP="00863B19">
      <w:pPr>
        <w:spacing w:after="0" w:line="360" w:lineRule="auto"/>
        <w:ind w:firstLine="851"/>
        <w:jc w:val="both"/>
        <w:rPr>
          <w:rFonts w:ascii="Times New Roman" w:eastAsia="Times New Roman" w:hAnsi="Times New Roman" w:cs="Times New Roman"/>
          <w:kern w:val="0"/>
          <w:sz w:val="24"/>
          <w:szCs w:val="24"/>
          <w:lang w:eastAsia="pt-BR"/>
          <w14:ligatures w14:val="none"/>
        </w:rPr>
      </w:pPr>
    </w:p>
    <w:p w14:paraId="029EA82D" w14:textId="77777777" w:rsidR="00863B19" w:rsidRPr="00B125DC" w:rsidRDefault="00863B19" w:rsidP="00863B19">
      <w:pPr>
        <w:spacing w:after="0" w:line="360" w:lineRule="auto"/>
        <w:ind w:firstLine="851"/>
        <w:jc w:val="both"/>
        <w:rPr>
          <w:rFonts w:ascii="Times New Roman" w:eastAsia="Times New Roman" w:hAnsi="Times New Roman" w:cs="Times New Roman"/>
          <w:kern w:val="0"/>
          <w:sz w:val="24"/>
          <w:szCs w:val="24"/>
          <w:lang w:eastAsia="pt-BR"/>
          <w14:ligatures w14:val="none"/>
        </w:rPr>
      </w:pPr>
    </w:p>
    <w:p w14:paraId="1596E0C0" w14:textId="22D5A08B" w:rsidR="00B125DC" w:rsidRPr="008B2C16" w:rsidRDefault="008B2C16" w:rsidP="00863B19">
      <w:pPr>
        <w:spacing w:after="0"/>
        <w:rPr>
          <w:rFonts w:ascii="Times New Roman" w:hAnsi="Times New Roman" w:cs="Times New Roman"/>
          <w:b/>
          <w:sz w:val="24"/>
          <w:szCs w:val="24"/>
        </w:rPr>
      </w:pPr>
      <w:bookmarkStart w:id="110" w:name="_Toc121150335"/>
      <w:r w:rsidRPr="008B2C16">
        <w:rPr>
          <w:rFonts w:ascii="Times New Roman" w:hAnsi="Times New Roman" w:cs="Times New Roman"/>
          <w:bCs/>
          <w:sz w:val="24"/>
          <w:szCs w:val="24"/>
        </w:rPr>
        <w:t>5.4.4</w:t>
      </w:r>
      <w:r>
        <w:rPr>
          <w:rFonts w:ascii="Times New Roman" w:hAnsi="Times New Roman" w:cs="Times New Roman"/>
          <w:b/>
          <w:sz w:val="24"/>
          <w:szCs w:val="24"/>
        </w:rPr>
        <w:t xml:space="preserve"> </w:t>
      </w:r>
      <w:r w:rsidR="00B125DC" w:rsidRPr="008B2C16">
        <w:rPr>
          <w:rFonts w:ascii="Times New Roman" w:hAnsi="Times New Roman" w:cs="Times New Roman"/>
          <w:b/>
          <w:sz w:val="24"/>
          <w:szCs w:val="24"/>
        </w:rPr>
        <w:t>Observação dos elementos simbólicos e significados</w:t>
      </w:r>
      <w:bookmarkEnd w:id="110"/>
    </w:p>
    <w:p w14:paraId="5838F027" w14:textId="77777777" w:rsidR="00B125DC" w:rsidRPr="00B125DC" w:rsidRDefault="00B125DC"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1B61F02C" w14:textId="77777777" w:rsidR="00B125DC" w:rsidRPr="00B125DC" w:rsidRDefault="00B125DC" w:rsidP="00863B19">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Este princípio consiste em identificar os elementos simbólicos associados ao perfil da oficina, no que diz respeito ao uso dos instrumentos, da execução do ritmo predominante, dos eventos que participa e, também do tipo de engajamento. De acordo com que apuramos em nossa pesquisa, esse conjunto de elementos pode caracterizar a representação social construída pelo grupo percussivo. Assim, recomendamos que esses elementos sejam capturados e registrados de forma a revelar um conhecimento sobre o caráter identitário do grupo percussivo.</w:t>
      </w:r>
    </w:p>
    <w:p w14:paraId="2D04A7C8" w14:textId="52A73FE0" w:rsidR="00B125DC" w:rsidRDefault="00B125DC" w:rsidP="00863B19">
      <w:pPr>
        <w:spacing w:after="0" w:line="360" w:lineRule="auto"/>
        <w:ind w:firstLine="709"/>
        <w:jc w:val="both"/>
        <w:rPr>
          <w:rFonts w:ascii="Times New Roman" w:eastAsia="Times New Roman" w:hAnsi="Times New Roman" w:cs="Times New Roman"/>
          <w:i/>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pergunta que norteia esse princípio é: </w:t>
      </w:r>
      <w:r w:rsidRPr="00B125DC">
        <w:rPr>
          <w:rFonts w:ascii="Times New Roman" w:eastAsia="Times New Roman" w:hAnsi="Times New Roman" w:cs="Times New Roman"/>
          <w:i/>
          <w:kern w:val="0"/>
          <w:sz w:val="24"/>
          <w:szCs w:val="24"/>
          <w:lang w:eastAsia="pt-BR"/>
          <w14:ligatures w14:val="none"/>
        </w:rPr>
        <w:t>O que caracteriza a identidade cultural dessa oficina?</w:t>
      </w:r>
    </w:p>
    <w:p w14:paraId="3B3DF456" w14:textId="77777777" w:rsidR="00863B19" w:rsidRPr="00B125DC" w:rsidRDefault="00863B19" w:rsidP="00863B19">
      <w:pPr>
        <w:spacing w:after="0" w:line="360" w:lineRule="auto"/>
        <w:ind w:firstLine="709"/>
        <w:jc w:val="both"/>
        <w:rPr>
          <w:rFonts w:ascii="Times New Roman" w:eastAsia="Times New Roman" w:hAnsi="Times New Roman" w:cs="Times New Roman"/>
          <w:i/>
          <w:kern w:val="0"/>
          <w:sz w:val="24"/>
          <w:szCs w:val="24"/>
          <w:lang w:eastAsia="pt-BR"/>
          <w14:ligatures w14:val="none"/>
        </w:rPr>
      </w:pPr>
    </w:p>
    <w:p w14:paraId="26A56BF7" w14:textId="7C3128AE" w:rsidR="00B125DC" w:rsidRPr="00B125DC" w:rsidRDefault="008B2C16" w:rsidP="00863B19">
      <w:pPr>
        <w:spacing w:after="0"/>
        <w:rPr>
          <w:rFonts w:ascii="Times New Roman" w:eastAsia="Times New Roman" w:hAnsi="Times New Roman" w:cs="Times New Roman"/>
          <w:b/>
          <w:kern w:val="0"/>
          <w:sz w:val="24"/>
          <w:szCs w:val="24"/>
          <w:lang w:eastAsia="pt-BR"/>
          <w14:ligatures w14:val="none"/>
        </w:rPr>
      </w:pPr>
      <w:bookmarkStart w:id="111" w:name="_Toc121150336"/>
      <w:r w:rsidRPr="008B2C16">
        <w:rPr>
          <w:rFonts w:ascii="Times New Roman" w:eastAsia="Times New Roman" w:hAnsi="Times New Roman" w:cs="Times New Roman"/>
          <w:bCs/>
          <w:kern w:val="0"/>
          <w:sz w:val="24"/>
          <w:szCs w:val="24"/>
          <w:lang w:eastAsia="pt-BR"/>
          <w14:ligatures w14:val="none"/>
        </w:rPr>
        <w:t>5.4.5</w:t>
      </w:r>
      <w:r>
        <w:rPr>
          <w:rFonts w:ascii="Times New Roman" w:eastAsia="Times New Roman" w:hAnsi="Times New Roman" w:cs="Times New Roman"/>
          <w:b/>
          <w:kern w:val="0"/>
          <w:sz w:val="24"/>
          <w:szCs w:val="24"/>
          <w:lang w:eastAsia="pt-BR"/>
          <w14:ligatures w14:val="none"/>
        </w:rPr>
        <w:t xml:space="preserve"> </w:t>
      </w:r>
      <w:r w:rsidR="00B125DC" w:rsidRPr="00B125DC">
        <w:rPr>
          <w:rFonts w:ascii="Times New Roman" w:eastAsia="Times New Roman" w:hAnsi="Times New Roman" w:cs="Times New Roman"/>
          <w:b/>
          <w:kern w:val="0"/>
          <w:sz w:val="24"/>
          <w:szCs w:val="24"/>
          <w:lang w:eastAsia="pt-BR"/>
          <w14:ligatures w14:val="none"/>
        </w:rPr>
        <w:t>Definição do modo de representação</w:t>
      </w:r>
      <w:bookmarkEnd w:id="111"/>
    </w:p>
    <w:p w14:paraId="332BA112" w14:textId="77777777" w:rsidR="00B125DC" w:rsidRPr="00B125DC" w:rsidRDefault="00B125DC"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2BCF0E2D" w14:textId="23212394" w:rsidR="00B125DC" w:rsidRPr="00B125DC" w:rsidRDefault="00B125DC" w:rsidP="00863B19">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Este princípio consiste em definir a forma gráfica da representação ontológica dos objetos existentes no domínio das oficinas de percussão. Com base em nossa pesquisa, sugerimos que a descrição dos objetos do domínio seja apoiada pela ontologia de fundamentação UFO (</w:t>
      </w:r>
      <w:r w:rsidR="008B2C16" w:rsidRPr="00B125DC">
        <w:rPr>
          <w:rFonts w:ascii="Times New Roman" w:eastAsia="Times New Roman" w:hAnsi="Times New Roman" w:cs="Times New Roman"/>
          <w:kern w:val="0"/>
          <w:sz w:val="24"/>
          <w:szCs w:val="24"/>
          <w:lang w:eastAsia="pt-BR"/>
          <w14:ligatures w14:val="none"/>
        </w:rPr>
        <w:t>Guizzardi; Falbo; Guizzardi</w:t>
      </w:r>
      <w:r w:rsidRPr="00B125DC">
        <w:rPr>
          <w:rFonts w:ascii="Times New Roman" w:eastAsia="Times New Roman" w:hAnsi="Times New Roman" w:cs="Times New Roman"/>
          <w:kern w:val="0"/>
          <w:sz w:val="24"/>
          <w:szCs w:val="24"/>
          <w:lang w:eastAsia="pt-BR"/>
          <w14:ligatures w14:val="none"/>
        </w:rPr>
        <w:t xml:space="preserve">, 2008), na qual suas categorias se mostraram aderentes à representação dos elementos relevantes do domínio das oficinas de percussão analisadas, e a linguagem OntoUML, implementada em uma ferramenta de software utilizada para representação gráfica do modelo e fundamentada nos pressupostos ontológicos da UFO. </w:t>
      </w:r>
    </w:p>
    <w:p w14:paraId="415F97A2" w14:textId="77777777" w:rsidR="00B125DC" w:rsidRPr="00B125DC" w:rsidRDefault="00B125DC" w:rsidP="00863B19">
      <w:pPr>
        <w:spacing w:after="0" w:line="360" w:lineRule="auto"/>
        <w:ind w:firstLine="709"/>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 xml:space="preserve">A pergunta que norteia esse princípio é: </w:t>
      </w:r>
      <w:r w:rsidRPr="00B125DC">
        <w:rPr>
          <w:rFonts w:ascii="Times New Roman" w:eastAsia="Times New Roman" w:hAnsi="Times New Roman" w:cs="Times New Roman"/>
          <w:i/>
          <w:kern w:val="0"/>
          <w:sz w:val="24"/>
          <w:szCs w:val="24"/>
          <w:lang w:eastAsia="pt-BR"/>
          <w14:ligatures w14:val="none"/>
        </w:rPr>
        <w:t>Qual a ontologia de fundamentação que será usada como base para o modelo conceitual ontológico?</w:t>
      </w:r>
    </w:p>
    <w:p w14:paraId="0B49000A" w14:textId="77777777" w:rsidR="00B125DC" w:rsidRPr="00B125DC" w:rsidRDefault="00B125DC" w:rsidP="008B2C16">
      <w:pPr>
        <w:spacing w:after="0" w:line="360" w:lineRule="auto"/>
        <w:jc w:val="both"/>
        <w:rPr>
          <w:rFonts w:ascii="Times New Roman" w:eastAsia="Times New Roman" w:hAnsi="Times New Roman" w:cs="Times New Roman"/>
          <w:kern w:val="0"/>
          <w:sz w:val="24"/>
          <w:szCs w:val="24"/>
          <w:lang w:eastAsia="pt-BR"/>
          <w14:ligatures w14:val="none"/>
        </w:rPr>
      </w:pPr>
      <w:bookmarkStart w:id="112" w:name="_2qk79lc" w:colFirst="0" w:colLast="0"/>
      <w:bookmarkEnd w:id="112"/>
    </w:p>
    <w:p w14:paraId="0A933F7A" w14:textId="345B7000" w:rsidR="00B125DC" w:rsidRPr="00B125DC" w:rsidRDefault="008B2C16" w:rsidP="00863B19">
      <w:pPr>
        <w:spacing w:after="0" w:line="360" w:lineRule="auto"/>
        <w:contextualSpacing/>
        <w:rPr>
          <w:rFonts w:ascii="Times New Roman" w:eastAsia="Times New Roman" w:hAnsi="Times New Roman" w:cs="Times New Roman"/>
          <w:b/>
          <w:bCs/>
          <w:kern w:val="0"/>
          <w:sz w:val="24"/>
          <w:szCs w:val="24"/>
          <w:lang w:eastAsia="pt-BR"/>
          <w14:ligatures w14:val="none"/>
        </w:rPr>
      </w:pPr>
      <w:r>
        <w:rPr>
          <w:rFonts w:ascii="Times New Roman" w:eastAsia="Times New Roman" w:hAnsi="Times New Roman" w:cs="Times New Roman"/>
          <w:b/>
          <w:bCs/>
          <w:kern w:val="0"/>
          <w:sz w:val="24"/>
          <w:szCs w:val="24"/>
          <w:lang w:eastAsia="pt-BR"/>
          <w14:ligatures w14:val="none"/>
        </w:rPr>
        <w:lastRenderedPageBreak/>
        <w:t xml:space="preserve">6 </w:t>
      </w:r>
      <w:r w:rsidR="00B125DC" w:rsidRPr="00B125DC">
        <w:rPr>
          <w:rFonts w:ascii="Times New Roman" w:eastAsia="Times New Roman" w:hAnsi="Times New Roman" w:cs="Times New Roman"/>
          <w:b/>
          <w:bCs/>
          <w:kern w:val="0"/>
          <w:sz w:val="24"/>
          <w:szCs w:val="24"/>
          <w:lang w:eastAsia="pt-BR"/>
          <w14:ligatures w14:val="none"/>
        </w:rPr>
        <w:t>CONSIDERAÇÕES FINAIS</w:t>
      </w:r>
    </w:p>
    <w:p w14:paraId="4DF6D581" w14:textId="77777777" w:rsidR="00B125DC" w:rsidRPr="00B125DC" w:rsidRDefault="00B125DC" w:rsidP="00863B19">
      <w:pPr>
        <w:spacing w:after="0" w:line="360" w:lineRule="auto"/>
        <w:ind w:left="360"/>
        <w:contextualSpacing/>
        <w:rPr>
          <w:rFonts w:ascii="Times New Roman" w:eastAsia="Times New Roman" w:hAnsi="Times New Roman" w:cs="Times New Roman"/>
          <w:b/>
          <w:bCs/>
          <w:kern w:val="0"/>
          <w:sz w:val="24"/>
          <w:szCs w:val="24"/>
          <w:lang w:eastAsia="pt-BR"/>
          <w14:ligatures w14:val="none"/>
        </w:rPr>
      </w:pPr>
    </w:p>
    <w:p w14:paraId="116999D2" w14:textId="77777777" w:rsidR="00B125DC" w:rsidRPr="00B125DC" w:rsidRDefault="00B125DC" w:rsidP="00863B19">
      <w:pPr>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 elaboração dos princípios para representação de domínio no contexto de oficinas de percussão popular foi motivada pelo olhar curioso da pesquisadora que tem uma alma batuqueira, é aluna de oficina de percussão e também uma mulher preta. E que vivenciou, durante o tempo de permanência no campo de pesquisa, momentos de muita emoção ao tocar seu instrumento e se reconhecer em lugares que evocavam sua cultura ancestral. Registrar essas memórias produzidas em coletividade foi o que instigou a pesquisa sobre modelagem de um domínio com esta natureza, mas, primeiramente, necessitamos conhecer as peculiaridades da representação de uma realidade social. Nosso estudo não pretendeu ser exaustivo, no sentido de examinar todos os elementos que constituem a realidade social das oficinas de percussão popular brasileira e a sua representação. Porém, consideramos que a amostra dos princípios produzidos pode se configurar em um potencial caminho para novos estudos sobre o tema.</w:t>
      </w:r>
    </w:p>
    <w:p w14:paraId="1B3ECC9B" w14:textId="77777777" w:rsidR="00B125DC" w:rsidRPr="00B125DC" w:rsidRDefault="00B125DC" w:rsidP="00863B19">
      <w:pPr>
        <w:spacing w:after="0" w:line="360" w:lineRule="auto"/>
        <w:ind w:firstLine="709"/>
        <w:contextualSpacing/>
        <w:jc w:val="both"/>
        <w:rPr>
          <w:rFonts w:ascii="Times New Roman" w:eastAsia="Times New Roman" w:hAnsi="Times New Roman" w:cs="Times New Roman"/>
          <w:kern w:val="0"/>
          <w:sz w:val="24"/>
          <w:szCs w:val="24"/>
          <w:lang w:eastAsia="pt-BR"/>
          <w14:ligatures w14:val="none"/>
        </w:rPr>
      </w:pPr>
      <w:r w:rsidRPr="00B125DC">
        <w:rPr>
          <w:rFonts w:ascii="Times New Roman" w:eastAsia="Times New Roman" w:hAnsi="Times New Roman" w:cs="Times New Roman"/>
          <w:kern w:val="0"/>
          <w:sz w:val="24"/>
          <w:szCs w:val="24"/>
          <w:lang w:eastAsia="pt-BR"/>
          <w14:ligatures w14:val="none"/>
        </w:rPr>
        <w:t>Acentuamos o papel do profissional da informação na etapa de aquisição do conhecimento referente ao processo de modelagem conceitual para uma representação que reflete a cultura de um povo, de um grupo social, de um segmento social entrelaçado com sistemas simbólicos, significados e sentidos. Com essa perspectiva, enfatizamos que, como modelizador e produtor da representação, o papel do profissional da informação adere a um protagonismo ímpar na tradução do aspecto da realidade social a ser transposta para o modelo ontológico como um modo de representação daquele segmento social.</w:t>
      </w:r>
    </w:p>
    <w:p w14:paraId="533C1C71" w14:textId="77777777" w:rsidR="00B125DC" w:rsidRPr="00B125DC" w:rsidRDefault="00B125DC" w:rsidP="00863B19">
      <w:pPr>
        <w:spacing w:after="0" w:line="360" w:lineRule="auto"/>
        <w:rPr>
          <w:rFonts w:ascii="Times New Roman" w:eastAsia="Times New Roman" w:hAnsi="Times New Roman" w:cs="Times New Roman"/>
          <w:b/>
          <w:bCs/>
          <w:kern w:val="0"/>
          <w:sz w:val="24"/>
          <w:szCs w:val="24"/>
          <w:lang w:eastAsia="pt-BR"/>
          <w14:ligatures w14:val="none"/>
        </w:rPr>
      </w:pPr>
    </w:p>
    <w:p w14:paraId="441BF57D" w14:textId="32E48951" w:rsidR="00B125DC" w:rsidRPr="00B125DC" w:rsidRDefault="00B125DC" w:rsidP="00B125DC">
      <w:pPr>
        <w:spacing w:after="0" w:line="240" w:lineRule="auto"/>
        <w:rPr>
          <w:rFonts w:ascii="Times New Roman" w:eastAsia="Times New Roman" w:hAnsi="Times New Roman" w:cs="Times New Roman"/>
          <w:b/>
          <w:bCs/>
          <w:kern w:val="0"/>
          <w:sz w:val="24"/>
          <w:szCs w:val="24"/>
          <w:lang w:eastAsia="pt-BR"/>
          <w14:ligatures w14:val="none"/>
        </w:rPr>
      </w:pPr>
      <w:r w:rsidRPr="00B125DC">
        <w:rPr>
          <w:rFonts w:ascii="Times New Roman" w:eastAsia="Times New Roman" w:hAnsi="Times New Roman" w:cs="Times New Roman"/>
          <w:b/>
          <w:bCs/>
          <w:kern w:val="0"/>
          <w:sz w:val="24"/>
          <w:szCs w:val="24"/>
          <w:lang w:eastAsia="pt-BR"/>
          <w14:ligatures w14:val="none"/>
        </w:rPr>
        <w:t>REFERÊNCIAS</w:t>
      </w:r>
    </w:p>
    <w:p w14:paraId="22FCA8A3" w14:textId="77777777" w:rsidR="008B2C16" w:rsidRDefault="008B2C16" w:rsidP="008B2C16">
      <w:pPr>
        <w:spacing w:after="0" w:line="240" w:lineRule="auto"/>
        <w:rPr>
          <w:rFonts w:ascii="Times New Roman" w:eastAsia="Times New Roman" w:hAnsi="Times New Roman" w:cs="Times New Roman"/>
          <w:kern w:val="0"/>
          <w:sz w:val="24"/>
          <w:szCs w:val="24"/>
          <w:lang w:eastAsia="pt-BR"/>
          <w14:ligatures w14:val="none"/>
        </w:rPr>
      </w:pPr>
    </w:p>
    <w:p w14:paraId="2298B4EF" w14:textId="7DB850B2"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eastAsia="pt-BR"/>
          <w14:ligatures w14:val="none"/>
        </w:rPr>
        <w:t xml:space="preserve">ABRIC, Jean-Claude. </w:t>
      </w:r>
      <w:r w:rsidRPr="00863B19">
        <w:rPr>
          <w:rFonts w:ascii="Times New Roman" w:eastAsia="Times New Roman" w:hAnsi="Times New Roman" w:cs="Times New Roman"/>
          <w:b/>
          <w:bCs/>
          <w:kern w:val="0"/>
          <w:sz w:val="24"/>
          <w:szCs w:val="24"/>
          <w:lang w:eastAsia="pt-BR"/>
          <w14:ligatures w14:val="none"/>
        </w:rPr>
        <w:t>Prácticas sociales y representaciones</w:t>
      </w:r>
      <w:r w:rsidRPr="00863B19">
        <w:rPr>
          <w:rFonts w:ascii="Times New Roman" w:eastAsia="Times New Roman" w:hAnsi="Times New Roman" w:cs="Times New Roman"/>
          <w:kern w:val="0"/>
          <w:sz w:val="24"/>
          <w:szCs w:val="24"/>
          <w:lang w:eastAsia="pt-BR"/>
          <w14:ligatures w14:val="none"/>
        </w:rPr>
        <w:t xml:space="preserve">. </w:t>
      </w:r>
      <w:r w:rsidRPr="00863B19">
        <w:rPr>
          <w:rFonts w:ascii="Times New Roman" w:eastAsia="Times New Roman" w:hAnsi="Times New Roman" w:cs="Times New Roman"/>
          <w:kern w:val="0"/>
          <w:sz w:val="24"/>
          <w:szCs w:val="24"/>
          <w:lang w:val="en-US" w:eastAsia="pt-BR"/>
          <w14:ligatures w14:val="none"/>
        </w:rPr>
        <w:t>México: Ediciones Coyoacán, 1994. 227 p.</w:t>
      </w:r>
    </w:p>
    <w:p w14:paraId="5761F962"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64A90628"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ASSMANN, Jan. Communicative and cultural memory. In: ERLL, Astrid; NUNNING, Ansgar (ed.). </w:t>
      </w:r>
      <w:r w:rsidRPr="00863B19">
        <w:rPr>
          <w:rFonts w:ascii="Times New Roman" w:eastAsia="Times New Roman" w:hAnsi="Times New Roman" w:cs="Times New Roman"/>
          <w:b/>
          <w:bCs/>
          <w:kern w:val="0"/>
          <w:sz w:val="24"/>
          <w:szCs w:val="24"/>
          <w:lang w:val="en-US" w:eastAsia="pt-BR"/>
          <w14:ligatures w14:val="none"/>
        </w:rPr>
        <w:t>Cultural memory studies</w:t>
      </w:r>
      <w:r w:rsidRPr="00863B19">
        <w:rPr>
          <w:rFonts w:ascii="Times New Roman" w:eastAsia="Times New Roman" w:hAnsi="Times New Roman" w:cs="Times New Roman"/>
          <w:kern w:val="0"/>
          <w:sz w:val="24"/>
          <w:szCs w:val="24"/>
          <w:lang w:val="en-US" w:eastAsia="pt-BR"/>
          <w14:ligatures w14:val="none"/>
        </w:rPr>
        <w:t>: an international and interdisciplinary handbook. Berlin: Walter de Gruyter, 2008. p. 109-118.</w:t>
      </w:r>
    </w:p>
    <w:p w14:paraId="435E1967"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0C015B57"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BAMBAS DE SAIA. </w:t>
      </w:r>
      <w:r w:rsidRPr="00863B19">
        <w:rPr>
          <w:rFonts w:ascii="Times New Roman" w:eastAsia="Times New Roman" w:hAnsi="Times New Roman" w:cs="Times New Roman"/>
          <w:b/>
          <w:bCs/>
          <w:kern w:val="0"/>
          <w:sz w:val="24"/>
          <w:szCs w:val="24"/>
          <w:lang w:eastAsia="pt-BR"/>
          <w14:ligatures w14:val="none"/>
        </w:rPr>
        <w:t>Bambas de Saia</w:t>
      </w:r>
      <w:r w:rsidRPr="00863B19">
        <w:rPr>
          <w:rFonts w:ascii="Times New Roman" w:eastAsia="Times New Roman" w:hAnsi="Times New Roman" w:cs="Times New Roman"/>
          <w:kern w:val="0"/>
          <w:sz w:val="24"/>
          <w:szCs w:val="24"/>
          <w:lang w:eastAsia="pt-BR"/>
          <w14:ligatures w14:val="none"/>
        </w:rPr>
        <w:t>. São Paulo, 12 mar. 2021. Facebook: @bambasdesaia. Disponível em: https://www.facebook.com/bambasdesaia/. Acesso em: 12 mar. 2021.</w:t>
      </w:r>
    </w:p>
    <w:p w14:paraId="2B19C0B2"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160226F6"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BARDIN, Laurence. </w:t>
      </w:r>
      <w:r w:rsidRPr="00863B19">
        <w:rPr>
          <w:rFonts w:ascii="Times New Roman" w:eastAsia="Times New Roman" w:hAnsi="Times New Roman" w:cs="Times New Roman"/>
          <w:b/>
          <w:bCs/>
          <w:kern w:val="0"/>
          <w:sz w:val="24"/>
          <w:szCs w:val="24"/>
          <w:lang w:eastAsia="pt-BR"/>
          <w14:ligatures w14:val="none"/>
        </w:rPr>
        <w:t>Análise de domínio</w:t>
      </w:r>
      <w:r w:rsidRPr="00863B19">
        <w:rPr>
          <w:rFonts w:ascii="Times New Roman" w:eastAsia="Times New Roman" w:hAnsi="Times New Roman" w:cs="Times New Roman"/>
          <w:kern w:val="0"/>
          <w:sz w:val="24"/>
          <w:szCs w:val="24"/>
          <w:lang w:eastAsia="pt-BR"/>
          <w14:ligatures w14:val="none"/>
        </w:rPr>
        <w:t>. Lisboa: Edições 70, 1977. 229 p.</w:t>
      </w:r>
    </w:p>
    <w:p w14:paraId="6B9D6AFB"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111E0131"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BECKER, Howard S. Falando da Sociedade. In: BECKER, Howard S. </w:t>
      </w:r>
      <w:r w:rsidRPr="00863B19">
        <w:rPr>
          <w:rFonts w:ascii="Times New Roman" w:eastAsia="Times New Roman" w:hAnsi="Times New Roman" w:cs="Times New Roman"/>
          <w:b/>
          <w:bCs/>
          <w:kern w:val="0"/>
          <w:sz w:val="24"/>
          <w:szCs w:val="24"/>
          <w:lang w:eastAsia="pt-BR"/>
          <w14:ligatures w14:val="none"/>
        </w:rPr>
        <w:t>Falando da sociedade</w:t>
      </w:r>
      <w:r w:rsidRPr="00863B19">
        <w:rPr>
          <w:rFonts w:ascii="Times New Roman" w:eastAsia="Times New Roman" w:hAnsi="Times New Roman" w:cs="Times New Roman"/>
          <w:kern w:val="0"/>
          <w:sz w:val="24"/>
          <w:szCs w:val="24"/>
          <w:lang w:eastAsia="pt-BR"/>
          <w14:ligatures w14:val="none"/>
        </w:rPr>
        <w:t xml:space="preserve">: ensaios sobre as diferentes maneiras de representar o social. [S. l.]: Companhia das Letras, 2009. </w:t>
      </w:r>
    </w:p>
    <w:p w14:paraId="47207EC1"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44AB96AB"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eastAsia="pt-BR"/>
          <w14:ligatures w14:val="none"/>
        </w:rPr>
        <w:t xml:space="preserve">BERGER, Peter L.; LUCKMANN, Thomas. </w:t>
      </w:r>
      <w:r w:rsidRPr="00863B19">
        <w:rPr>
          <w:rFonts w:ascii="Times New Roman" w:eastAsia="Times New Roman" w:hAnsi="Times New Roman" w:cs="Times New Roman"/>
          <w:b/>
          <w:bCs/>
          <w:kern w:val="0"/>
          <w:sz w:val="24"/>
          <w:szCs w:val="24"/>
          <w:lang w:eastAsia="pt-BR"/>
          <w14:ligatures w14:val="none"/>
        </w:rPr>
        <w:t>A construção social da realidade</w:t>
      </w:r>
      <w:r w:rsidRPr="00863B19">
        <w:rPr>
          <w:rFonts w:ascii="Times New Roman" w:eastAsia="Times New Roman" w:hAnsi="Times New Roman" w:cs="Times New Roman"/>
          <w:kern w:val="0"/>
          <w:sz w:val="24"/>
          <w:szCs w:val="24"/>
          <w:lang w:eastAsia="pt-BR"/>
          <w14:ligatures w14:val="none"/>
        </w:rPr>
        <w:t xml:space="preserve">. </w:t>
      </w:r>
      <w:r w:rsidRPr="00863B19">
        <w:rPr>
          <w:rFonts w:ascii="Times New Roman" w:eastAsia="Times New Roman" w:hAnsi="Times New Roman" w:cs="Times New Roman"/>
          <w:kern w:val="0"/>
          <w:sz w:val="24"/>
          <w:szCs w:val="24"/>
          <w:lang w:val="en-US" w:eastAsia="pt-BR"/>
          <w14:ligatures w14:val="none"/>
        </w:rPr>
        <w:t xml:space="preserve">[S. l.]: Vozes, 1985. </w:t>
      </w:r>
    </w:p>
    <w:p w14:paraId="05BFEED3"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42090AAB"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BORKO, Harold. </w:t>
      </w:r>
      <w:r w:rsidRPr="00863B19">
        <w:rPr>
          <w:rFonts w:ascii="Times New Roman" w:eastAsia="Times New Roman" w:hAnsi="Times New Roman" w:cs="Times New Roman"/>
          <w:b/>
          <w:bCs/>
          <w:kern w:val="0"/>
          <w:sz w:val="24"/>
          <w:szCs w:val="24"/>
          <w:lang w:val="en-US" w:eastAsia="pt-BR"/>
          <w14:ligatures w14:val="none"/>
        </w:rPr>
        <w:t>Information science</w:t>
      </w:r>
      <w:r w:rsidRPr="00863B19">
        <w:rPr>
          <w:rFonts w:ascii="Times New Roman" w:eastAsia="Times New Roman" w:hAnsi="Times New Roman" w:cs="Times New Roman"/>
          <w:kern w:val="0"/>
          <w:sz w:val="24"/>
          <w:szCs w:val="24"/>
          <w:lang w:val="en-US" w:eastAsia="pt-BR"/>
          <w14:ligatures w14:val="none"/>
        </w:rPr>
        <w:t>: what is it? American Documentation, [s. l.], v. 19, n. 1, p.3-5, Jan. 1968.</w:t>
      </w:r>
    </w:p>
    <w:p w14:paraId="6FEB1584"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28A5492A" w14:textId="4E7CA30D"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BRASIL. Ministério da Cultura. Instituto do Patrimônio Histórico e Artístico Nacional. Seção Bens Culturais Registrados. </w:t>
      </w:r>
      <w:r w:rsidRPr="00863B19">
        <w:rPr>
          <w:rFonts w:ascii="Times New Roman" w:eastAsia="Times New Roman" w:hAnsi="Times New Roman" w:cs="Times New Roman"/>
          <w:b/>
          <w:bCs/>
          <w:kern w:val="0"/>
          <w:sz w:val="24"/>
          <w:szCs w:val="24"/>
          <w:lang w:eastAsia="pt-BR"/>
          <w14:ligatures w14:val="none"/>
        </w:rPr>
        <w:t>Pedido para registro de bem cultural:</w:t>
      </w:r>
      <w:r w:rsidRPr="00863B19">
        <w:rPr>
          <w:rFonts w:ascii="Times New Roman" w:eastAsia="Times New Roman" w:hAnsi="Times New Roman" w:cs="Times New Roman"/>
          <w:kern w:val="0"/>
          <w:sz w:val="24"/>
          <w:szCs w:val="24"/>
          <w:lang w:eastAsia="pt-BR"/>
          <w14:ligatures w14:val="none"/>
        </w:rPr>
        <w:t xml:space="preserve"> Matrizes do Samba Carioca. Brasília, DF: IPHAN, 2004. Disponível em: http://colaborativo.ibict.br/tainacan-iphan/documentos-do-process/pedido-para-registro-de-bem-cultural-matrizes-do-samba-carioca/. Acesso em: 20 set. 2023.</w:t>
      </w:r>
    </w:p>
    <w:p w14:paraId="67F48C6C"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2BBC05F8"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CAMPOS, Maria Luiza Almeida. Modelização de domínios de conhecimento: uma investigação de princípios fundamentais. </w:t>
      </w:r>
      <w:r w:rsidRPr="00863B19">
        <w:rPr>
          <w:rFonts w:ascii="Times New Roman" w:eastAsia="Times New Roman" w:hAnsi="Times New Roman" w:cs="Times New Roman"/>
          <w:b/>
          <w:bCs/>
          <w:kern w:val="0"/>
          <w:sz w:val="24"/>
          <w:szCs w:val="24"/>
          <w:lang w:eastAsia="pt-BR"/>
          <w14:ligatures w14:val="none"/>
        </w:rPr>
        <w:t>Ciência da Informação</w:t>
      </w:r>
      <w:r w:rsidRPr="00863B19">
        <w:rPr>
          <w:rFonts w:ascii="Times New Roman" w:eastAsia="Times New Roman" w:hAnsi="Times New Roman" w:cs="Times New Roman"/>
          <w:kern w:val="0"/>
          <w:sz w:val="24"/>
          <w:szCs w:val="24"/>
          <w:lang w:eastAsia="pt-BR"/>
          <w14:ligatures w14:val="none"/>
        </w:rPr>
        <w:t>, Brasília, v. 33, n. 1, p. 22-32, jan./abr. 2004. Disponível em: http://www.scielo.br/pdf/ci/v33n1/v33n1a03.pdf. Acesso em: 1 ago. 2017.</w:t>
      </w:r>
    </w:p>
    <w:p w14:paraId="673DC2CC"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476705CB"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CENTRO CULTURAL CARTOLA. </w:t>
      </w:r>
      <w:r w:rsidRPr="00863B19">
        <w:rPr>
          <w:rFonts w:ascii="Times New Roman" w:eastAsia="Times New Roman" w:hAnsi="Times New Roman" w:cs="Times New Roman"/>
          <w:b/>
          <w:bCs/>
          <w:kern w:val="0"/>
          <w:sz w:val="24"/>
          <w:szCs w:val="24"/>
          <w:lang w:eastAsia="pt-BR"/>
          <w14:ligatures w14:val="none"/>
        </w:rPr>
        <w:t>Dossiê das matrizes do Samba do Rio de Janeiro</w:t>
      </w:r>
      <w:r w:rsidRPr="00863B19">
        <w:rPr>
          <w:rFonts w:ascii="Times New Roman" w:eastAsia="Times New Roman" w:hAnsi="Times New Roman" w:cs="Times New Roman"/>
          <w:kern w:val="0"/>
          <w:sz w:val="24"/>
          <w:szCs w:val="24"/>
          <w:lang w:eastAsia="pt-BR"/>
          <w14:ligatures w14:val="none"/>
        </w:rPr>
        <w:t>: partido alto, samba de terreiro, samba-enredo.  Rio de Janeiro: IPHAN; MINC, 2006. Disponível em: http://portal.iphan.gov.br/uploads/ckfinder/arquivos/Dossi-%20Matrizes%20do%20Samba.pdf. Acesso em 27 jan. 2021.</w:t>
      </w:r>
    </w:p>
    <w:p w14:paraId="565615FC"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3F964B33"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eastAsia="pt-BR"/>
          <w14:ligatures w14:val="none"/>
        </w:rPr>
        <w:t xml:space="preserve">CORSINO, Maria. </w:t>
      </w:r>
      <w:r w:rsidRPr="00863B19">
        <w:rPr>
          <w:rFonts w:ascii="Times New Roman" w:eastAsia="Times New Roman" w:hAnsi="Times New Roman" w:cs="Times New Roman"/>
          <w:b/>
          <w:bCs/>
          <w:kern w:val="0"/>
          <w:sz w:val="24"/>
          <w:szCs w:val="24"/>
          <w:lang w:eastAsia="pt-BR"/>
          <w14:ligatures w14:val="none"/>
        </w:rPr>
        <w:t>Inventário nacional de referências culturais</w:t>
      </w:r>
      <w:r w:rsidRPr="00863B19">
        <w:rPr>
          <w:rFonts w:ascii="Times New Roman" w:eastAsia="Times New Roman" w:hAnsi="Times New Roman" w:cs="Times New Roman"/>
          <w:kern w:val="0"/>
          <w:sz w:val="24"/>
          <w:szCs w:val="24"/>
          <w:lang w:eastAsia="pt-BR"/>
          <w14:ligatures w14:val="none"/>
        </w:rPr>
        <w:t xml:space="preserve">: manual de aplicação. </w:t>
      </w:r>
      <w:r w:rsidRPr="00863B19">
        <w:rPr>
          <w:rFonts w:ascii="Times New Roman" w:eastAsia="Times New Roman" w:hAnsi="Times New Roman" w:cs="Times New Roman"/>
          <w:kern w:val="0"/>
          <w:sz w:val="24"/>
          <w:szCs w:val="24"/>
          <w:lang w:val="en-US" w:eastAsia="pt-BR"/>
          <w14:ligatures w14:val="none"/>
        </w:rPr>
        <w:t>Brasília: IPHAN, 2000. 156 p.</w:t>
      </w:r>
    </w:p>
    <w:p w14:paraId="52C05AE8"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DAHLBERG, Ingetraut. </w:t>
      </w:r>
      <w:r w:rsidRPr="00863B19">
        <w:rPr>
          <w:rFonts w:ascii="Times New Roman" w:eastAsia="Times New Roman" w:hAnsi="Times New Roman" w:cs="Times New Roman"/>
          <w:b/>
          <w:bCs/>
          <w:kern w:val="0"/>
          <w:sz w:val="24"/>
          <w:szCs w:val="24"/>
          <w:lang w:val="en-US" w:eastAsia="pt-BR"/>
          <w14:ligatures w14:val="none"/>
        </w:rPr>
        <w:t>Ontical structure and universal classifications</w:t>
      </w:r>
      <w:r w:rsidRPr="00863B19">
        <w:rPr>
          <w:rFonts w:ascii="Times New Roman" w:eastAsia="Times New Roman" w:hAnsi="Times New Roman" w:cs="Times New Roman"/>
          <w:kern w:val="0"/>
          <w:sz w:val="24"/>
          <w:szCs w:val="24"/>
          <w:lang w:val="en-US" w:eastAsia="pt-BR"/>
          <w14:ligatures w14:val="none"/>
        </w:rPr>
        <w:t>. Bangalore: Sarada Ranganathan Endowment for Library Science, 1978.</w:t>
      </w:r>
    </w:p>
    <w:p w14:paraId="386C5E35"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3066EE9F" w14:textId="2562143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FALBO, R. D. A. SABiO: systematic approach for building ontologies. In: GUIZZARDI, Giancarlo; PASTOR, Oscar; WAND, Yair; CESARE, Sergio; GAILLY, Frederik; LYCETT, Mark; PARTRIDGE, Chris. Onto.com/Odise ontologies in conceptual modeling and information systems engineering, 1., 2014, Rio de Janeiro. </w:t>
      </w:r>
      <w:r w:rsidRPr="00863B19">
        <w:rPr>
          <w:rFonts w:ascii="Times New Roman" w:eastAsia="Times New Roman" w:hAnsi="Times New Roman" w:cs="Times New Roman"/>
          <w:b/>
          <w:bCs/>
          <w:kern w:val="0"/>
          <w:sz w:val="24"/>
          <w:szCs w:val="24"/>
          <w:lang w:eastAsia="pt-BR"/>
          <w14:ligatures w14:val="none"/>
        </w:rPr>
        <w:t>[Proceedings...]</w:t>
      </w:r>
      <w:r w:rsidRPr="00863B19">
        <w:rPr>
          <w:rFonts w:ascii="Times New Roman" w:eastAsia="Times New Roman" w:hAnsi="Times New Roman" w:cs="Times New Roman"/>
          <w:kern w:val="0"/>
          <w:sz w:val="24"/>
          <w:szCs w:val="24"/>
          <w:lang w:eastAsia="pt-BR"/>
          <w14:ligatures w14:val="none"/>
        </w:rPr>
        <w:t>. Rio de Janeiro: CEUR Workshop Proceedings, 2014.</w:t>
      </w:r>
    </w:p>
    <w:p w14:paraId="77DD1BA8"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787AEA53"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FALCÃO, Andréa. </w:t>
      </w:r>
      <w:r w:rsidRPr="00863B19">
        <w:rPr>
          <w:rFonts w:ascii="Times New Roman" w:eastAsia="Times New Roman" w:hAnsi="Times New Roman" w:cs="Times New Roman"/>
          <w:b/>
          <w:bCs/>
          <w:kern w:val="0"/>
          <w:sz w:val="24"/>
          <w:szCs w:val="24"/>
          <w:lang w:eastAsia="pt-BR"/>
          <w14:ligatures w14:val="none"/>
        </w:rPr>
        <w:t>Registro e políticas de salvaguarda para as culturas populares</w:t>
      </w:r>
      <w:r w:rsidRPr="00863B19">
        <w:rPr>
          <w:rFonts w:ascii="Times New Roman" w:eastAsia="Times New Roman" w:hAnsi="Times New Roman" w:cs="Times New Roman"/>
          <w:kern w:val="0"/>
          <w:sz w:val="24"/>
          <w:szCs w:val="24"/>
          <w:lang w:eastAsia="pt-BR"/>
          <w14:ligatures w14:val="none"/>
        </w:rPr>
        <w:t>. Rio de Janeiro: IPHAN, 2005. 90 p.</w:t>
      </w:r>
    </w:p>
    <w:p w14:paraId="1E7C5A61"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23A40831" w14:textId="4ACCC802"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FINA BATUCADA. </w:t>
      </w:r>
      <w:r w:rsidRPr="00863B19">
        <w:rPr>
          <w:rFonts w:ascii="Times New Roman" w:eastAsia="Times New Roman" w:hAnsi="Times New Roman" w:cs="Times New Roman"/>
          <w:b/>
          <w:bCs/>
          <w:kern w:val="0"/>
          <w:sz w:val="24"/>
          <w:szCs w:val="24"/>
          <w:lang w:eastAsia="pt-BR"/>
          <w14:ligatures w14:val="none"/>
        </w:rPr>
        <w:t>Site da Fina Batucada</w:t>
      </w:r>
      <w:r w:rsidRPr="00863B19">
        <w:rPr>
          <w:rFonts w:ascii="Times New Roman" w:eastAsia="Times New Roman" w:hAnsi="Times New Roman" w:cs="Times New Roman"/>
          <w:kern w:val="0"/>
          <w:sz w:val="24"/>
          <w:szCs w:val="24"/>
          <w:lang w:eastAsia="pt-BR"/>
          <w14:ligatures w14:val="none"/>
        </w:rPr>
        <w:t>. Fina Batucada: Percussão Mestre Riko, 2023. Disponível em: https://www.finabatucada.com.br/. Acesso em: 10 ago. 2023.</w:t>
      </w:r>
    </w:p>
    <w:p w14:paraId="66DB082E"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7BD5B861"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GNOLI, Claudio; POLI, Roberto. Levels of reality and levels of representation. </w:t>
      </w:r>
      <w:r w:rsidRPr="00863B19">
        <w:rPr>
          <w:rFonts w:ascii="Times New Roman" w:eastAsia="Times New Roman" w:hAnsi="Times New Roman" w:cs="Times New Roman"/>
          <w:b/>
          <w:bCs/>
          <w:kern w:val="0"/>
          <w:sz w:val="24"/>
          <w:szCs w:val="24"/>
          <w:lang w:val="en-US" w:eastAsia="pt-BR"/>
          <w14:ligatures w14:val="none"/>
        </w:rPr>
        <w:t>Knowledge Organization</w:t>
      </w:r>
      <w:r w:rsidRPr="00863B19">
        <w:rPr>
          <w:rFonts w:ascii="Times New Roman" w:eastAsia="Times New Roman" w:hAnsi="Times New Roman" w:cs="Times New Roman"/>
          <w:kern w:val="0"/>
          <w:sz w:val="24"/>
          <w:szCs w:val="24"/>
          <w:lang w:val="en-US" w:eastAsia="pt-BR"/>
          <w14:ligatures w14:val="none"/>
        </w:rPr>
        <w:t>, [s. l.], v. 31, n. 3, p. 151-160, 2004.</w:t>
      </w:r>
    </w:p>
    <w:p w14:paraId="510F621D"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5633DC8F"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val="en-US" w:eastAsia="pt-BR"/>
          <w14:ligatures w14:val="none"/>
        </w:rPr>
        <w:lastRenderedPageBreak/>
        <w:t xml:space="preserve">GOHN, Daniel Marcondes. </w:t>
      </w:r>
      <w:r w:rsidRPr="00863B19">
        <w:rPr>
          <w:rFonts w:ascii="Times New Roman" w:eastAsia="Times New Roman" w:hAnsi="Times New Roman" w:cs="Times New Roman"/>
          <w:b/>
          <w:bCs/>
          <w:kern w:val="0"/>
          <w:sz w:val="24"/>
          <w:szCs w:val="24"/>
          <w:lang w:eastAsia="pt-BR"/>
          <w14:ligatures w14:val="none"/>
        </w:rPr>
        <w:t>Auto-aprendizagem musical: alternativas tecnológicas</w:t>
      </w:r>
      <w:r w:rsidRPr="00863B19">
        <w:rPr>
          <w:rFonts w:ascii="Times New Roman" w:eastAsia="Times New Roman" w:hAnsi="Times New Roman" w:cs="Times New Roman"/>
          <w:kern w:val="0"/>
          <w:sz w:val="24"/>
          <w:szCs w:val="24"/>
          <w:lang w:eastAsia="pt-BR"/>
          <w14:ligatures w14:val="none"/>
        </w:rPr>
        <w:t>. 2002. 175 f. Dissertação (Mestrado em Ciências da Comunicação) – Escola de Comunicações e Artes, Universidade de São Paulo, São Paulo, 2002.</w:t>
      </w:r>
    </w:p>
    <w:p w14:paraId="1EA1349D"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296C3CA2"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eastAsia="pt-BR"/>
          <w14:ligatures w14:val="none"/>
        </w:rPr>
        <w:t xml:space="preserve">GUIZZARDI, Giancarlo; FALBO, Ricardo; GUIZZARDI, Renata S. S. </w:t>
      </w:r>
      <w:r w:rsidRPr="00863B19">
        <w:rPr>
          <w:rFonts w:ascii="Times New Roman" w:eastAsia="Times New Roman" w:hAnsi="Times New Roman" w:cs="Times New Roman"/>
          <w:b/>
          <w:bCs/>
          <w:kern w:val="0"/>
          <w:sz w:val="24"/>
          <w:szCs w:val="24"/>
          <w:lang w:eastAsia="pt-BR"/>
          <w14:ligatures w14:val="none"/>
        </w:rPr>
        <w:t>A importância de ontologias de fundamentação para a engenharia de ontologias de domínio</w:t>
      </w:r>
      <w:r w:rsidRPr="00863B19">
        <w:rPr>
          <w:rFonts w:ascii="Times New Roman" w:eastAsia="Times New Roman" w:hAnsi="Times New Roman" w:cs="Times New Roman"/>
          <w:kern w:val="0"/>
          <w:sz w:val="24"/>
          <w:szCs w:val="24"/>
          <w:lang w:eastAsia="pt-BR"/>
          <w14:ligatures w14:val="none"/>
        </w:rPr>
        <w:t xml:space="preserve">: o caso do domínio de processos de software. </w:t>
      </w:r>
      <w:r w:rsidRPr="00863B19">
        <w:rPr>
          <w:rFonts w:ascii="Times New Roman" w:eastAsia="Times New Roman" w:hAnsi="Times New Roman" w:cs="Times New Roman"/>
          <w:kern w:val="0"/>
          <w:sz w:val="24"/>
          <w:szCs w:val="24"/>
          <w:lang w:val="en-US" w:eastAsia="pt-BR"/>
          <w14:ligatures w14:val="none"/>
        </w:rPr>
        <w:t xml:space="preserve">IEEE Latin America Transactions, [s. l.], v. 6, n. 3, p. 244-251, July 2008. </w:t>
      </w:r>
    </w:p>
    <w:p w14:paraId="385EE546"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2B8E80C7" w14:textId="4EA024D8"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IBGE. Instituto Brasileiro de Geografia e Estatística. </w:t>
      </w:r>
      <w:r w:rsidRPr="00863B19">
        <w:rPr>
          <w:rFonts w:ascii="Times New Roman" w:eastAsia="Times New Roman" w:hAnsi="Times New Roman" w:cs="Times New Roman"/>
          <w:b/>
          <w:bCs/>
          <w:kern w:val="0"/>
          <w:sz w:val="24"/>
          <w:szCs w:val="24"/>
          <w:lang w:eastAsia="pt-BR"/>
          <w14:ligatures w14:val="none"/>
        </w:rPr>
        <w:t>A herança cultural negra e racismo</w:t>
      </w:r>
      <w:r w:rsidRPr="00863B19">
        <w:rPr>
          <w:rFonts w:ascii="Times New Roman" w:eastAsia="Times New Roman" w:hAnsi="Times New Roman" w:cs="Times New Roman"/>
          <w:kern w:val="0"/>
          <w:sz w:val="24"/>
          <w:szCs w:val="24"/>
          <w:lang w:eastAsia="pt-BR"/>
          <w14:ligatures w14:val="none"/>
        </w:rPr>
        <w:t>. Brasília, DF: IBGE, 2023. Disponível em: https://brasil500anos.ibge.gov.br/territorio-brasileiro-e-povoamento/negros/a-heranca-cultural-negra-e-racismo.html. Acesso em: 18 set. 2023.</w:t>
      </w:r>
    </w:p>
    <w:p w14:paraId="14EF1DAC"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34521EFC"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INSTITUTO DO PATRIMÔNIO HISTÓRICO E ARTÍSTICO NACIONAL (IPHAN). </w:t>
      </w:r>
    </w:p>
    <w:p w14:paraId="4D7B78AC"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b/>
          <w:bCs/>
          <w:kern w:val="0"/>
          <w:sz w:val="24"/>
          <w:szCs w:val="24"/>
          <w:lang w:eastAsia="pt-BR"/>
          <w14:ligatures w14:val="none"/>
        </w:rPr>
        <w:t>O Inventário Nacional de Referência Cultural</w:t>
      </w:r>
      <w:r w:rsidRPr="00863B19">
        <w:rPr>
          <w:rFonts w:ascii="Times New Roman" w:eastAsia="Times New Roman" w:hAnsi="Times New Roman" w:cs="Times New Roman"/>
          <w:kern w:val="0"/>
          <w:sz w:val="24"/>
          <w:szCs w:val="24"/>
          <w:lang w:eastAsia="pt-BR"/>
          <w14:ligatures w14:val="none"/>
        </w:rPr>
        <w:t>. Brasília, DF: IPHAN, [20--]b Disponível em: http://portal.iphan.gov.br/noticias/detalhes/3214/o-inventario-nacional-de-referencia-cultural. Acesso em: 22 nov. 2019.</w:t>
      </w:r>
    </w:p>
    <w:p w14:paraId="14D13122"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3856A63E"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INSTITUTO DO PATRIMÔNIO HISTÓRICO E ARTÍSTICO NACIONAL (IPHAN). </w:t>
      </w:r>
      <w:r w:rsidRPr="00863B19">
        <w:rPr>
          <w:rFonts w:ascii="Times New Roman" w:eastAsia="Times New Roman" w:hAnsi="Times New Roman" w:cs="Times New Roman"/>
          <w:b/>
          <w:bCs/>
          <w:kern w:val="0"/>
          <w:sz w:val="24"/>
          <w:szCs w:val="24"/>
          <w:lang w:eastAsia="pt-BR"/>
          <w14:ligatures w14:val="none"/>
        </w:rPr>
        <w:t>Departamento de Patrimônio Imaterial</w:t>
      </w:r>
      <w:r w:rsidRPr="00863B19">
        <w:rPr>
          <w:rFonts w:ascii="Times New Roman" w:eastAsia="Times New Roman" w:hAnsi="Times New Roman" w:cs="Times New Roman"/>
          <w:kern w:val="0"/>
          <w:sz w:val="24"/>
          <w:szCs w:val="24"/>
          <w:lang w:eastAsia="pt-BR"/>
          <w14:ligatures w14:val="none"/>
        </w:rPr>
        <w:t>. Brasília, DF: IPHAN, [20--]d. Disponível em: http://portal.iphan.gov.br/pagina/detalhes/701/. Acesso em: 22 nov. 2019.</w:t>
      </w:r>
    </w:p>
    <w:p w14:paraId="6F345789"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460F19C1"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INSTITUTO DO PATRIMÔNIO HISTÓRICO E ARTÍSTICO NACIONAL (IPHAN). </w:t>
      </w:r>
      <w:r w:rsidRPr="00863B19">
        <w:rPr>
          <w:rFonts w:ascii="Times New Roman" w:eastAsia="Times New Roman" w:hAnsi="Times New Roman" w:cs="Times New Roman"/>
          <w:b/>
          <w:bCs/>
          <w:kern w:val="0"/>
          <w:sz w:val="24"/>
          <w:szCs w:val="24"/>
          <w:lang w:eastAsia="pt-BR"/>
          <w14:ligatures w14:val="none"/>
        </w:rPr>
        <w:t>Estruturas institucionais</w:t>
      </w:r>
      <w:r w:rsidRPr="00863B19">
        <w:rPr>
          <w:rFonts w:ascii="Times New Roman" w:eastAsia="Times New Roman" w:hAnsi="Times New Roman" w:cs="Times New Roman"/>
          <w:kern w:val="0"/>
          <w:sz w:val="24"/>
          <w:szCs w:val="24"/>
          <w:lang w:eastAsia="pt-BR"/>
          <w14:ligatures w14:val="none"/>
        </w:rPr>
        <w:t>: esfera federal. Brasília, DF: Departamento do Patrimônio Imaterial, [20--]a. Disponível em: https://ich.unesco.org/doc/src/00096-PT.pdf. Acesso em: 22 nov. 2019.</w:t>
      </w:r>
    </w:p>
    <w:p w14:paraId="7D7AF6D3" w14:textId="226D2EE1"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INSTITUTO DO PATRIMÔNIO HISTÓRICO E ARTÍSTICO NACIONAL (IPHAN). </w:t>
      </w:r>
      <w:r w:rsidRPr="00863B19">
        <w:rPr>
          <w:rFonts w:ascii="Times New Roman" w:eastAsia="Times New Roman" w:hAnsi="Times New Roman" w:cs="Times New Roman"/>
          <w:b/>
          <w:bCs/>
          <w:kern w:val="0"/>
          <w:sz w:val="24"/>
          <w:szCs w:val="24"/>
          <w:lang w:eastAsia="pt-BR"/>
          <w14:ligatures w14:val="none"/>
        </w:rPr>
        <w:t>Fototeca Registro das Formas de Expressão</w:t>
      </w:r>
      <w:r w:rsidRPr="00863B19">
        <w:rPr>
          <w:rFonts w:ascii="Times New Roman" w:eastAsia="Times New Roman" w:hAnsi="Times New Roman" w:cs="Times New Roman"/>
          <w:kern w:val="0"/>
          <w:sz w:val="24"/>
          <w:szCs w:val="24"/>
          <w:lang w:eastAsia="pt-BR"/>
          <w14:ligatures w14:val="none"/>
        </w:rPr>
        <w:t>. Brasília, DF: IPHAN, [20--]c. Disponível em: http://portal.iphan.gov.br/fototeca/detalhes/13/fototeca-registro-das-formas-de-expressao. Acesso em: 22 nov. 2019.</w:t>
      </w:r>
    </w:p>
    <w:p w14:paraId="715BE985"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6E1A90AB" w14:textId="7DCC51DB"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INSTITUTO DO PATRIMÔNIO HISTÓRICO E ARTÍSTICO NACIONAL (IPHAN). </w:t>
      </w:r>
      <w:r w:rsidRPr="00863B19">
        <w:rPr>
          <w:rFonts w:ascii="Times New Roman" w:eastAsia="Times New Roman" w:hAnsi="Times New Roman" w:cs="Times New Roman"/>
          <w:b/>
          <w:bCs/>
          <w:kern w:val="0"/>
          <w:sz w:val="24"/>
          <w:szCs w:val="24"/>
          <w:lang w:eastAsia="pt-BR"/>
          <w14:ligatures w14:val="none"/>
        </w:rPr>
        <w:t>Os sambas, as rodas, os bumbas, os meus bois</w:t>
      </w:r>
      <w:r w:rsidRPr="00863B19">
        <w:rPr>
          <w:rFonts w:ascii="Times New Roman" w:eastAsia="Times New Roman" w:hAnsi="Times New Roman" w:cs="Times New Roman"/>
          <w:kern w:val="0"/>
          <w:sz w:val="24"/>
          <w:szCs w:val="24"/>
          <w:lang w:eastAsia="pt-BR"/>
          <w14:ligatures w14:val="none"/>
        </w:rPr>
        <w:t>: a trajetória da salvaguarda do patrimônio cultural imaterial no Brasil. Brasília: Brasília Artes Gráficas, 2006.</w:t>
      </w:r>
    </w:p>
    <w:p w14:paraId="0C2CEBFB"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3265B967"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eastAsia="pt-BR"/>
          <w14:ligatures w14:val="none"/>
        </w:rPr>
        <w:t xml:space="preserve">JODELET, Denise. Représentations sociales: um domaine em expansion. </w:t>
      </w:r>
      <w:r w:rsidRPr="00863B19">
        <w:rPr>
          <w:rFonts w:ascii="Times New Roman" w:eastAsia="Times New Roman" w:hAnsi="Times New Roman" w:cs="Times New Roman"/>
          <w:kern w:val="0"/>
          <w:sz w:val="24"/>
          <w:szCs w:val="24"/>
          <w:lang w:val="en-US" w:eastAsia="pt-BR"/>
          <w14:ligatures w14:val="none"/>
        </w:rPr>
        <w:t xml:space="preserve">In: JODELET, Denise. </w:t>
      </w:r>
      <w:r w:rsidRPr="00863B19">
        <w:rPr>
          <w:rFonts w:ascii="Times New Roman" w:eastAsia="Times New Roman" w:hAnsi="Times New Roman" w:cs="Times New Roman"/>
          <w:b/>
          <w:bCs/>
          <w:kern w:val="0"/>
          <w:sz w:val="24"/>
          <w:szCs w:val="24"/>
          <w:lang w:val="en-US" w:eastAsia="pt-BR"/>
          <w14:ligatures w14:val="none"/>
        </w:rPr>
        <w:t>Les represéntations sociales</w:t>
      </w:r>
      <w:r w:rsidRPr="00863B19">
        <w:rPr>
          <w:rFonts w:ascii="Times New Roman" w:eastAsia="Times New Roman" w:hAnsi="Times New Roman" w:cs="Times New Roman"/>
          <w:kern w:val="0"/>
          <w:sz w:val="24"/>
          <w:szCs w:val="24"/>
          <w:lang w:val="en-US" w:eastAsia="pt-BR"/>
          <w14:ligatures w14:val="none"/>
        </w:rPr>
        <w:t xml:space="preserve">. Paris: PUF, 1989. p. 31-61. </w:t>
      </w:r>
    </w:p>
    <w:p w14:paraId="03866742"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5634035A"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LATOUR, Bruno. </w:t>
      </w:r>
      <w:r w:rsidRPr="00863B19">
        <w:rPr>
          <w:rFonts w:ascii="Times New Roman" w:eastAsia="Times New Roman" w:hAnsi="Times New Roman" w:cs="Times New Roman"/>
          <w:b/>
          <w:bCs/>
          <w:kern w:val="0"/>
          <w:sz w:val="24"/>
          <w:szCs w:val="24"/>
          <w:lang w:eastAsia="pt-BR"/>
          <w14:ligatures w14:val="none"/>
        </w:rPr>
        <w:t>Ciência em ação</w:t>
      </w:r>
      <w:r w:rsidRPr="00863B19">
        <w:rPr>
          <w:rFonts w:ascii="Times New Roman" w:eastAsia="Times New Roman" w:hAnsi="Times New Roman" w:cs="Times New Roman"/>
          <w:kern w:val="0"/>
          <w:sz w:val="24"/>
          <w:szCs w:val="24"/>
          <w:lang w:eastAsia="pt-BR"/>
          <w14:ligatures w14:val="none"/>
        </w:rPr>
        <w:t>: como seguir cientistas e engenheiros sociedade. São Paulo: UNESP, 2000. 438 p</w:t>
      </w:r>
    </w:p>
    <w:p w14:paraId="24716C43"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2E5314A4"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MOÇA Prosa. Página. Rio de Janeiro, 29 nov. 2022. Facebook: @moçaprosa. Disponível em: https://www.facebook.com/mocaprosa. Acesso em: 29 nov. 2022.</w:t>
      </w:r>
    </w:p>
    <w:p w14:paraId="444BAA4D"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25D113D5"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lastRenderedPageBreak/>
        <w:t xml:space="preserve">MOSCOVICI, Serge. A história e a atualidade das representações sociais. In: MOSCOVICI, Serge. </w:t>
      </w:r>
      <w:r w:rsidRPr="00863B19">
        <w:rPr>
          <w:rFonts w:ascii="Times New Roman" w:eastAsia="Times New Roman" w:hAnsi="Times New Roman" w:cs="Times New Roman"/>
          <w:b/>
          <w:bCs/>
          <w:kern w:val="0"/>
          <w:sz w:val="24"/>
          <w:szCs w:val="24"/>
          <w:lang w:eastAsia="pt-BR"/>
          <w14:ligatures w14:val="none"/>
        </w:rPr>
        <w:t>Representações sociais</w:t>
      </w:r>
      <w:r w:rsidRPr="00863B19">
        <w:rPr>
          <w:rFonts w:ascii="Times New Roman" w:eastAsia="Times New Roman" w:hAnsi="Times New Roman" w:cs="Times New Roman"/>
          <w:kern w:val="0"/>
          <w:sz w:val="24"/>
          <w:szCs w:val="24"/>
          <w:lang w:eastAsia="pt-BR"/>
          <w14:ligatures w14:val="none"/>
        </w:rPr>
        <w:t>: investigações em Psicologia social. 11. ed. Petrópolis, RJ: Vozes, 2015. p. 167-214.</w:t>
      </w:r>
    </w:p>
    <w:p w14:paraId="60F28D45"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5422876D"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ORGANIZAÇÃO DAS NAÇÕES UNIDAS PARA A EDUCAÇÃO, A CIÊNCIA E A CULTURA (UNESCO). </w:t>
      </w:r>
      <w:r w:rsidRPr="00863B19">
        <w:rPr>
          <w:rFonts w:ascii="Times New Roman" w:eastAsia="Times New Roman" w:hAnsi="Times New Roman" w:cs="Times New Roman"/>
          <w:b/>
          <w:bCs/>
          <w:kern w:val="0"/>
          <w:sz w:val="24"/>
          <w:szCs w:val="24"/>
          <w:lang w:eastAsia="pt-BR"/>
          <w14:ligatures w14:val="none"/>
        </w:rPr>
        <w:t>Convenção para a salvaguarda do património cultural imaterial</w:t>
      </w:r>
      <w:r w:rsidRPr="00863B19">
        <w:rPr>
          <w:rFonts w:ascii="Times New Roman" w:eastAsia="Times New Roman" w:hAnsi="Times New Roman" w:cs="Times New Roman"/>
          <w:kern w:val="0"/>
          <w:sz w:val="24"/>
          <w:szCs w:val="24"/>
          <w:lang w:eastAsia="pt-BR"/>
          <w14:ligatures w14:val="none"/>
        </w:rPr>
        <w:t>. Paris: UNESCO, 2003. Disponível em: https://ich.unesco.org/doc/src/00009-PT-Portugal-PDF.pdf. Acesso em 08 jul. 2020.</w:t>
      </w:r>
    </w:p>
    <w:p w14:paraId="4BB24800"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1180F4F4"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ORGANIZAÇÃO DAS NAÇÕES UNIDAS PARA A EDUCAÇÃO, A CIÊNCIA E A CULTURA (UNESCO). </w:t>
      </w:r>
      <w:r w:rsidRPr="00863B19">
        <w:rPr>
          <w:rFonts w:ascii="Times New Roman" w:eastAsia="Times New Roman" w:hAnsi="Times New Roman" w:cs="Times New Roman"/>
          <w:b/>
          <w:bCs/>
          <w:kern w:val="0"/>
          <w:sz w:val="24"/>
          <w:szCs w:val="24"/>
          <w:lang w:eastAsia="pt-BR"/>
          <w14:ligatures w14:val="none"/>
        </w:rPr>
        <w:t>Declaração Universal sobre a diversidade cultural</w:t>
      </w:r>
      <w:r w:rsidRPr="00863B19">
        <w:rPr>
          <w:rFonts w:ascii="Times New Roman" w:eastAsia="Times New Roman" w:hAnsi="Times New Roman" w:cs="Times New Roman"/>
          <w:kern w:val="0"/>
          <w:sz w:val="24"/>
          <w:szCs w:val="24"/>
          <w:lang w:eastAsia="pt-BR"/>
          <w14:ligatures w14:val="none"/>
        </w:rPr>
        <w:t>. Paris: UNESCO, 2002. Disponível em: https://www.ohchr.org/sites/default/files/UDHR/Documents/UDHR_Translations/por.pdf. Acesso em: 08 jul. 2020.</w:t>
      </w:r>
    </w:p>
    <w:p w14:paraId="1B41FD06"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4D94947D"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RAGIN, Charles. Using comparative methods to study diversity. In: RAGIN, Charles. </w:t>
      </w:r>
      <w:r w:rsidRPr="00863B19">
        <w:rPr>
          <w:rFonts w:ascii="Times New Roman" w:eastAsia="Times New Roman" w:hAnsi="Times New Roman" w:cs="Times New Roman"/>
          <w:b/>
          <w:bCs/>
          <w:kern w:val="0"/>
          <w:sz w:val="24"/>
          <w:szCs w:val="24"/>
          <w:lang w:val="en-US" w:eastAsia="pt-BR"/>
          <w14:ligatures w14:val="none"/>
        </w:rPr>
        <w:t>Constructing social research</w:t>
      </w:r>
      <w:r w:rsidRPr="00863B19">
        <w:rPr>
          <w:rFonts w:ascii="Times New Roman" w:eastAsia="Times New Roman" w:hAnsi="Times New Roman" w:cs="Times New Roman"/>
          <w:kern w:val="0"/>
          <w:sz w:val="24"/>
          <w:szCs w:val="24"/>
          <w:lang w:val="en-US" w:eastAsia="pt-BR"/>
          <w14:ligatures w14:val="none"/>
        </w:rPr>
        <w:t>: the unity and diversity of method. [S. l.]: Sage Publications, 1994. Cap. 5.</w:t>
      </w:r>
    </w:p>
    <w:p w14:paraId="581159EC"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2CB39CC2"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RANGANTHAN, S. R. </w:t>
      </w:r>
      <w:r w:rsidRPr="00863B19">
        <w:rPr>
          <w:rFonts w:ascii="Times New Roman" w:eastAsia="Times New Roman" w:hAnsi="Times New Roman" w:cs="Times New Roman"/>
          <w:b/>
          <w:bCs/>
          <w:kern w:val="0"/>
          <w:sz w:val="24"/>
          <w:szCs w:val="24"/>
          <w:lang w:val="en-US" w:eastAsia="pt-BR"/>
          <w14:ligatures w14:val="none"/>
        </w:rPr>
        <w:t>Prolegomena to library classification</w:t>
      </w:r>
      <w:r w:rsidRPr="00863B19">
        <w:rPr>
          <w:rFonts w:ascii="Times New Roman" w:eastAsia="Times New Roman" w:hAnsi="Times New Roman" w:cs="Times New Roman"/>
          <w:kern w:val="0"/>
          <w:sz w:val="24"/>
          <w:szCs w:val="24"/>
          <w:lang w:val="en-US" w:eastAsia="pt-BR"/>
          <w14:ligatures w14:val="none"/>
        </w:rPr>
        <w:t>. Bombay: Asia Publishing House, 1967. 640 p.</w:t>
      </w:r>
    </w:p>
    <w:p w14:paraId="01919925"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49ACCBAD"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RIOTUR. Site da RioTur. Circuito Cultural e Gastronômico de Celebração da Herança Africana no Rio de Janeiro. </w:t>
      </w:r>
      <w:r w:rsidRPr="00863B19">
        <w:rPr>
          <w:rFonts w:ascii="Times New Roman" w:eastAsia="Times New Roman" w:hAnsi="Times New Roman" w:cs="Times New Roman"/>
          <w:b/>
          <w:bCs/>
          <w:kern w:val="0"/>
          <w:sz w:val="24"/>
          <w:szCs w:val="24"/>
          <w:lang w:eastAsia="pt-BR"/>
          <w14:ligatures w14:val="none"/>
        </w:rPr>
        <w:t>RioTur</w:t>
      </w:r>
      <w:r w:rsidRPr="00863B19">
        <w:rPr>
          <w:rFonts w:ascii="Times New Roman" w:eastAsia="Times New Roman" w:hAnsi="Times New Roman" w:cs="Times New Roman"/>
          <w:kern w:val="0"/>
          <w:sz w:val="24"/>
          <w:szCs w:val="24"/>
          <w:lang w:eastAsia="pt-BR"/>
          <w14:ligatures w14:val="none"/>
        </w:rPr>
        <w:t>, Rio de Janeiro, 2023. Seção Roteiro Pequena África. Disponível em: https://riotur.rio/que_fazer/pequena-africa/. Acesso em: 21 set. 2023.</w:t>
      </w:r>
    </w:p>
    <w:p w14:paraId="050E7E46"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180EFAE1"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ROQUE, Lucas dos S.; CUNHA, Maria H. </w:t>
      </w:r>
      <w:r w:rsidRPr="00863B19">
        <w:rPr>
          <w:rFonts w:ascii="Times New Roman" w:eastAsia="Times New Roman" w:hAnsi="Times New Roman" w:cs="Times New Roman"/>
          <w:b/>
          <w:bCs/>
          <w:kern w:val="0"/>
          <w:sz w:val="24"/>
          <w:szCs w:val="24"/>
          <w:lang w:eastAsia="pt-BR"/>
          <w14:ligatures w14:val="none"/>
        </w:rPr>
        <w:t>Patrimônio imaterial</w:t>
      </w:r>
      <w:r w:rsidRPr="00863B19">
        <w:rPr>
          <w:rFonts w:ascii="Times New Roman" w:eastAsia="Times New Roman" w:hAnsi="Times New Roman" w:cs="Times New Roman"/>
          <w:kern w:val="0"/>
          <w:sz w:val="24"/>
          <w:szCs w:val="24"/>
          <w:lang w:eastAsia="pt-BR"/>
          <w14:ligatures w14:val="none"/>
        </w:rPr>
        <w:t>: fortalecendo o Sistema Nacional. Brasília: IPHAN, 2014.</w:t>
      </w:r>
    </w:p>
    <w:p w14:paraId="11BB4D1A"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59899D3C"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SEARLE, John. Linguagem e ontologia social. </w:t>
      </w:r>
      <w:r w:rsidRPr="00863B19">
        <w:rPr>
          <w:rFonts w:ascii="Times New Roman" w:eastAsia="Times New Roman" w:hAnsi="Times New Roman" w:cs="Times New Roman"/>
          <w:b/>
          <w:bCs/>
          <w:kern w:val="0"/>
          <w:sz w:val="24"/>
          <w:szCs w:val="24"/>
          <w:lang w:eastAsia="pt-BR"/>
          <w14:ligatures w14:val="none"/>
        </w:rPr>
        <w:t>Crítica</w:t>
      </w:r>
      <w:r w:rsidRPr="00863B19">
        <w:rPr>
          <w:rFonts w:ascii="Times New Roman" w:eastAsia="Times New Roman" w:hAnsi="Times New Roman" w:cs="Times New Roman"/>
          <w:kern w:val="0"/>
          <w:sz w:val="24"/>
          <w:szCs w:val="24"/>
          <w:lang w:eastAsia="pt-BR"/>
          <w14:ligatures w14:val="none"/>
        </w:rPr>
        <w:t>, [s. l.], 2017. Seção Metafísica. Disponível em: https://criticanarede.com/lingmentaccao.html. Acesso em: 10 jan. 2019.</w:t>
      </w:r>
    </w:p>
    <w:p w14:paraId="0F61E8E2"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3A2FD0A9"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eastAsia="pt-BR"/>
          <w14:ligatures w14:val="none"/>
        </w:rPr>
        <w:t xml:space="preserve">SHERA, Jesse H. Epistemologia social, semântica geral e biblioteconomia. </w:t>
      </w:r>
      <w:r w:rsidRPr="00863B19">
        <w:rPr>
          <w:rFonts w:ascii="Times New Roman" w:eastAsia="Times New Roman" w:hAnsi="Times New Roman" w:cs="Times New Roman"/>
          <w:b/>
          <w:bCs/>
          <w:kern w:val="0"/>
          <w:sz w:val="24"/>
          <w:szCs w:val="24"/>
          <w:lang w:eastAsia="pt-BR"/>
          <w14:ligatures w14:val="none"/>
        </w:rPr>
        <w:t>Ciência da Informação</w:t>
      </w:r>
      <w:r w:rsidRPr="00863B19">
        <w:rPr>
          <w:rFonts w:ascii="Times New Roman" w:eastAsia="Times New Roman" w:hAnsi="Times New Roman" w:cs="Times New Roman"/>
          <w:kern w:val="0"/>
          <w:sz w:val="24"/>
          <w:szCs w:val="24"/>
          <w:lang w:eastAsia="pt-BR"/>
          <w14:ligatures w14:val="none"/>
        </w:rPr>
        <w:t>, Brasília, DF, v. 6, n. 1, p. 9-12, 1977.</w:t>
      </w:r>
    </w:p>
    <w:p w14:paraId="5764C3D3"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eastAsia="pt-BR"/>
          <w14:ligatures w14:val="none"/>
        </w:rPr>
      </w:pPr>
    </w:p>
    <w:p w14:paraId="4FB96D16"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eastAsia="pt-BR"/>
          <w14:ligatures w14:val="none"/>
        </w:rPr>
        <w:t xml:space="preserve">SOBRAL, Fabrícia Carla Ferreira. </w:t>
      </w:r>
      <w:r w:rsidRPr="00863B19">
        <w:rPr>
          <w:rFonts w:ascii="Times New Roman" w:eastAsia="Times New Roman" w:hAnsi="Times New Roman" w:cs="Times New Roman"/>
          <w:b/>
          <w:bCs/>
          <w:kern w:val="0"/>
          <w:sz w:val="24"/>
          <w:szCs w:val="24"/>
          <w:lang w:eastAsia="pt-BR"/>
          <w14:ligatures w14:val="none"/>
        </w:rPr>
        <w:t>Representação da realidade em oficinas de percussão popular brasileira</w:t>
      </w:r>
      <w:r w:rsidRPr="00863B19">
        <w:rPr>
          <w:rFonts w:ascii="Times New Roman" w:eastAsia="Times New Roman" w:hAnsi="Times New Roman" w:cs="Times New Roman"/>
          <w:kern w:val="0"/>
          <w:sz w:val="24"/>
          <w:szCs w:val="24"/>
          <w:lang w:eastAsia="pt-BR"/>
          <w14:ligatures w14:val="none"/>
        </w:rPr>
        <w:t xml:space="preserve">: princípios para representação de domínios em contexto sociocultural. 2022. Tese (Doutorado em Ciência da Informação) - Instituto de Arte e Comunicação Social, Universidade Federal Fluminense, Niterói, 2022. Disponível em: https://app.uff.br/riuff/bitstream/handle/1/27485/Tese_FabriciaSobral_normalizada%20%282%29.pdf?sequence=1&amp;isAllowed=y.  </w:t>
      </w:r>
      <w:r w:rsidRPr="00863B19">
        <w:rPr>
          <w:rFonts w:ascii="Times New Roman" w:eastAsia="Times New Roman" w:hAnsi="Times New Roman" w:cs="Times New Roman"/>
          <w:kern w:val="0"/>
          <w:sz w:val="24"/>
          <w:szCs w:val="24"/>
          <w:lang w:val="en-US" w:eastAsia="pt-BR"/>
          <w14:ligatures w14:val="none"/>
        </w:rPr>
        <w:t>Acesso em: 05 mai. 2023.</w:t>
      </w:r>
    </w:p>
    <w:p w14:paraId="179AD35D"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29AB5F9E"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val="en-US" w:eastAsia="pt-BR"/>
          <w14:ligatures w14:val="none"/>
        </w:rPr>
      </w:pPr>
      <w:r w:rsidRPr="00863B19">
        <w:rPr>
          <w:rFonts w:ascii="Times New Roman" w:eastAsia="Times New Roman" w:hAnsi="Times New Roman" w:cs="Times New Roman"/>
          <w:kern w:val="0"/>
          <w:sz w:val="24"/>
          <w:szCs w:val="24"/>
          <w:lang w:val="en-US" w:eastAsia="pt-BR"/>
          <w14:ligatures w14:val="none"/>
        </w:rPr>
        <w:t xml:space="preserve">SPERBER, Dan. Anthropology and psychology: towards an epidemiology of representations. </w:t>
      </w:r>
      <w:r w:rsidRPr="00863B19">
        <w:rPr>
          <w:rFonts w:ascii="Times New Roman" w:eastAsia="Times New Roman" w:hAnsi="Times New Roman" w:cs="Times New Roman"/>
          <w:b/>
          <w:bCs/>
          <w:kern w:val="0"/>
          <w:sz w:val="24"/>
          <w:szCs w:val="24"/>
          <w:lang w:val="en-US" w:eastAsia="pt-BR"/>
          <w14:ligatures w14:val="none"/>
        </w:rPr>
        <w:t>New Series</w:t>
      </w:r>
      <w:r w:rsidRPr="00863B19">
        <w:rPr>
          <w:rFonts w:ascii="Times New Roman" w:eastAsia="Times New Roman" w:hAnsi="Times New Roman" w:cs="Times New Roman"/>
          <w:kern w:val="0"/>
          <w:sz w:val="24"/>
          <w:szCs w:val="24"/>
          <w:lang w:val="en-US" w:eastAsia="pt-BR"/>
          <w14:ligatures w14:val="none"/>
        </w:rPr>
        <w:t xml:space="preserve">, [s. l.], v. 20, n. 1, p. 73-89, 1985. </w:t>
      </w:r>
    </w:p>
    <w:p w14:paraId="2E7FF928" w14:textId="77777777" w:rsidR="008B2C16" w:rsidRPr="00863B19" w:rsidRDefault="008B2C16" w:rsidP="00863B19">
      <w:pPr>
        <w:spacing w:after="0" w:line="360" w:lineRule="auto"/>
        <w:jc w:val="both"/>
        <w:rPr>
          <w:rFonts w:ascii="Times New Roman" w:eastAsia="Times New Roman" w:hAnsi="Times New Roman" w:cs="Times New Roman"/>
          <w:kern w:val="0"/>
          <w:sz w:val="24"/>
          <w:szCs w:val="24"/>
          <w:lang w:val="en-US" w:eastAsia="pt-BR"/>
          <w14:ligatures w14:val="none"/>
        </w:rPr>
      </w:pPr>
    </w:p>
    <w:p w14:paraId="7E863551" w14:textId="77777777" w:rsidR="008B2C16" w:rsidRPr="00863B19" w:rsidRDefault="008B2C16" w:rsidP="00863B19">
      <w:pPr>
        <w:spacing w:after="0" w:line="240" w:lineRule="auto"/>
        <w:jc w:val="both"/>
        <w:rPr>
          <w:rFonts w:ascii="Times New Roman" w:eastAsia="Times New Roman" w:hAnsi="Times New Roman" w:cs="Times New Roman"/>
          <w:kern w:val="0"/>
          <w:sz w:val="24"/>
          <w:szCs w:val="24"/>
          <w:lang w:eastAsia="pt-BR"/>
          <w14:ligatures w14:val="none"/>
        </w:rPr>
      </w:pPr>
      <w:r w:rsidRPr="00863B19">
        <w:rPr>
          <w:rFonts w:ascii="Times New Roman" w:eastAsia="Times New Roman" w:hAnsi="Times New Roman" w:cs="Times New Roman"/>
          <w:kern w:val="0"/>
          <w:sz w:val="24"/>
          <w:szCs w:val="24"/>
          <w:lang w:val="en-US" w:eastAsia="pt-BR"/>
          <w14:ligatures w14:val="none"/>
        </w:rPr>
        <w:lastRenderedPageBreak/>
        <w:t xml:space="preserve">SPINK, M. J. P. The concept of social representations in social psychology. </w:t>
      </w:r>
      <w:r w:rsidRPr="00863B19">
        <w:rPr>
          <w:rFonts w:ascii="Times New Roman" w:eastAsia="Times New Roman" w:hAnsi="Times New Roman" w:cs="Times New Roman"/>
          <w:b/>
          <w:bCs/>
          <w:kern w:val="0"/>
          <w:sz w:val="24"/>
          <w:szCs w:val="24"/>
          <w:lang w:eastAsia="pt-BR"/>
          <w14:ligatures w14:val="none"/>
        </w:rPr>
        <w:t>Caderno de Saúde Pública</w:t>
      </w:r>
      <w:r w:rsidRPr="00863B19">
        <w:rPr>
          <w:rFonts w:ascii="Times New Roman" w:eastAsia="Times New Roman" w:hAnsi="Times New Roman" w:cs="Times New Roman"/>
          <w:kern w:val="0"/>
          <w:sz w:val="24"/>
          <w:szCs w:val="24"/>
          <w:lang w:eastAsia="pt-BR"/>
          <w14:ligatures w14:val="none"/>
        </w:rPr>
        <w:t>, Rio de Janeiro, v. 9, n. 3, p. 300-308, jul/set, 1993.</w:t>
      </w:r>
    </w:p>
    <w:p w14:paraId="7FA59F76" w14:textId="77777777" w:rsidR="00B125DC" w:rsidRPr="00B125DC" w:rsidRDefault="00B125DC" w:rsidP="00B125DC">
      <w:pPr>
        <w:spacing w:after="0" w:line="240" w:lineRule="auto"/>
        <w:rPr>
          <w:rFonts w:ascii="Times New Roman" w:eastAsia="Times New Roman" w:hAnsi="Times New Roman" w:cs="Times New Roman"/>
          <w:kern w:val="0"/>
          <w:sz w:val="24"/>
          <w:szCs w:val="24"/>
          <w:lang w:eastAsia="pt-BR"/>
          <w14:ligatures w14:val="none"/>
        </w:rPr>
      </w:pPr>
    </w:p>
    <w:bookmarkEnd w:id="98"/>
    <w:p w14:paraId="37D8B78C" w14:textId="658E8C40" w:rsidR="00B125DC" w:rsidRDefault="00B125DC" w:rsidP="00B125DC">
      <w:pPr>
        <w:spacing w:after="0" w:line="360" w:lineRule="auto"/>
        <w:rPr>
          <w:rFonts w:ascii="Times New Roman" w:eastAsia="Times New Roman" w:hAnsi="Times New Roman" w:cs="Times New Roman"/>
          <w:kern w:val="0"/>
          <w:sz w:val="24"/>
          <w:szCs w:val="24"/>
          <w:lang w:eastAsia="pt-BR"/>
          <w14:ligatures w14:val="none"/>
        </w:rPr>
      </w:pPr>
    </w:p>
    <w:p w14:paraId="4108EA27" w14:textId="6032C7BD" w:rsidR="002F7E08" w:rsidRDefault="002F7E08" w:rsidP="00F850DA">
      <w:pPr>
        <w:rPr>
          <w:rFonts w:ascii="Times New Roman" w:eastAsia="Times New Roman" w:hAnsi="Times New Roman" w:cs="Times New Roman"/>
          <w:kern w:val="0"/>
          <w:sz w:val="24"/>
          <w:szCs w:val="24"/>
          <w:lang w:eastAsia="pt-BR"/>
          <w14:ligatures w14:val="none"/>
        </w:rPr>
      </w:pPr>
    </w:p>
    <w:p w14:paraId="1C172A20"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0B6BA699"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0CFC987C"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3290D125"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3527CF79"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1D5635B8"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2D08D9CA"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2867A413"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5BA610C0"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25E0C799"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6E5E5E4D"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0D8CF95F"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755588E9"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5523691D"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5399FE37"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6D17EBA5"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32D25E6B"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163CE5DF"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196BDDA1"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697064E4"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5A014EF3"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204F1B33"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6588699D"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23F3E0A6"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7785D763" w14:textId="77777777" w:rsidR="005E33C0" w:rsidRDefault="005E33C0" w:rsidP="00F850DA">
      <w:pPr>
        <w:rPr>
          <w:rFonts w:ascii="Times New Roman" w:eastAsia="Times New Roman" w:hAnsi="Times New Roman" w:cs="Times New Roman"/>
          <w:kern w:val="0"/>
          <w:sz w:val="24"/>
          <w:szCs w:val="24"/>
          <w:lang w:eastAsia="pt-BR"/>
          <w14:ligatures w14:val="none"/>
        </w:rPr>
      </w:pPr>
    </w:p>
    <w:p w14:paraId="504929DB" w14:textId="77777777" w:rsidR="00BB7CE0" w:rsidRDefault="00BB7CE0" w:rsidP="00F850DA">
      <w:pPr>
        <w:rPr>
          <w:rFonts w:ascii="Times New Roman" w:eastAsia="Times New Roman" w:hAnsi="Times New Roman" w:cs="Times New Roman"/>
          <w:kern w:val="0"/>
          <w:sz w:val="24"/>
          <w:szCs w:val="24"/>
          <w:lang w:eastAsia="pt-BR"/>
          <w14:ligatures w14:val="none"/>
        </w:rPr>
      </w:pPr>
    </w:p>
    <w:p w14:paraId="25FB996C" w14:textId="1D0BB543" w:rsidR="005E33C0" w:rsidRPr="00BB7CE0" w:rsidRDefault="00BB7CE0" w:rsidP="00BB7CE0">
      <w:pPr>
        <w:jc w:val="center"/>
        <w:rPr>
          <w:rFonts w:ascii="Times New Roman" w:eastAsia="Times New Roman" w:hAnsi="Times New Roman" w:cs="Times New Roman"/>
          <w:b/>
          <w:bCs/>
          <w:kern w:val="0"/>
          <w:sz w:val="36"/>
          <w:szCs w:val="36"/>
          <w:lang w:eastAsia="pt-BR"/>
          <w14:ligatures w14:val="none"/>
        </w:rPr>
      </w:pPr>
      <w:r w:rsidRPr="00BB7CE0">
        <w:rPr>
          <w:rFonts w:ascii="Times New Roman" w:eastAsia="Times New Roman" w:hAnsi="Times New Roman" w:cs="Times New Roman"/>
          <w:b/>
          <w:bCs/>
          <w:kern w:val="0"/>
          <w:sz w:val="36"/>
          <w:szCs w:val="36"/>
          <w:lang w:eastAsia="pt-BR"/>
          <w14:ligatures w14:val="none"/>
        </w:rPr>
        <w:lastRenderedPageBreak/>
        <w:t>AUTORES</w:t>
      </w:r>
    </w:p>
    <w:p w14:paraId="22259AD3" w14:textId="77777777" w:rsidR="00C04A5F" w:rsidRDefault="00C04A5F" w:rsidP="00F850DA">
      <w:pPr>
        <w:rPr>
          <w:rFonts w:ascii="Times New Roman" w:eastAsia="Times New Roman" w:hAnsi="Times New Roman" w:cs="Times New Roman"/>
          <w:kern w:val="0"/>
          <w:sz w:val="24"/>
          <w:szCs w:val="24"/>
          <w:lang w:eastAsia="pt-BR"/>
          <w14:ligatures w14:val="none"/>
        </w:rPr>
      </w:pPr>
    </w:p>
    <w:p w14:paraId="067598D4" w14:textId="4A82FE98" w:rsidR="00C04A5F" w:rsidRDefault="0049150C"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64384" behindDoc="0" locked="0" layoutInCell="1" allowOverlap="1" wp14:anchorId="7EAD8C08" wp14:editId="76E77768">
                <wp:simplePos x="0" y="0"/>
                <wp:positionH relativeFrom="margin">
                  <wp:posOffset>1520190</wp:posOffset>
                </wp:positionH>
                <wp:positionV relativeFrom="paragraph">
                  <wp:posOffset>5715</wp:posOffset>
                </wp:positionV>
                <wp:extent cx="4429125" cy="1447800"/>
                <wp:effectExtent l="0" t="0" r="28575" b="19050"/>
                <wp:wrapSquare wrapText="bothSides"/>
                <wp:docPr id="5728570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47800"/>
                        </a:xfrm>
                        <a:prstGeom prst="rect">
                          <a:avLst/>
                        </a:prstGeom>
                        <a:solidFill>
                          <a:srgbClr val="FFFFFF"/>
                        </a:solidFill>
                        <a:ln w="9525">
                          <a:solidFill>
                            <a:srgbClr val="000000"/>
                          </a:solidFill>
                          <a:miter lim="800000"/>
                          <a:headEnd/>
                          <a:tailEnd/>
                        </a:ln>
                      </wps:spPr>
                      <wps:txbx>
                        <w:txbxContent>
                          <w:p w14:paraId="54C43EAA" w14:textId="0FDAD982" w:rsidR="0049150C" w:rsidRPr="0049150C" w:rsidRDefault="0049150C" w:rsidP="0049150C">
                            <w:pPr>
                              <w:jc w:val="both"/>
                              <w:rPr>
                                <w:rFonts w:ascii="Times New Roman" w:eastAsia="Times New Roman" w:hAnsi="Times New Roman" w:cs="Times New Roman"/>
                                <w:b/>
                                <w:bCs/>
                                <w:kern w:val="0"/>
                                <w:sz w:val="16"/>
                                <w:szCs w:val="16"/>
                                <w:lang w:eastAsia="pt-BR"/>
                                <w14:ligatures w14:val="none"/>
                              </w:rPr>
                            </w:pPr>
                            <w:r w:rsidRPr="0049150C">
                              <w:rPr>
                                <w:rFonts w:ascii="Times New Roman" w:eastAsia="Times New Roman" w:hAnsi="Times New Roman" w:cs="Times New Roman"/>
                                <w:b/>
                                <w:bCs/>
                                <w:kern w:val="0"/>
                                <w:sz w:val="16"/>
                                <w:szCs w:val="16"/>
                                <w:lang w:eastAsia="pt-BR"/>
                                <w14:ligatures w14:val="none"/>
                              </w:rPr>
                              <w:t xml:space="preserve">Natalia Bolfarini Tognoli </w:t>
                            </w:r>
                          </w:p>
                          <w:p w14:paraId="5A102A98" w14:textId="25735658" w:rsidR="0049150C" w:rsidRPr="0049150C" w:rsidRDefault="0049150C" w:rsidP="0049150C">
                            <w:pPr>
                              <w:jc w:val="both"/>
                              <w:rPr>
                                <w:rFonts w:ascii="Times New Roman" w:eastAsia="Times New Roman" w:hAnsi="Times New Roman" w:cs="Times New Roman"/>
                                <w:kern w:val="0"/>
                                <w:sz w:val="16"/>
                                <w:szCs w:val="16"/>
                                <w:lang w:eastAsia="pt-BR"/>
                                <w14:ligatures w14:val="none"/>
                              </w:rPr>
                            </w:pPr>
                            <w:r w:rsidRPr="0049150C">
                              <w:rPr>
                                <w:rFonts w:ascii="Times New Roman" w:eastAsia="Times New Roman" w:hAnsi="Times New Roman" w:cs="Times New Roman"/>
                                <w:kern w:val="0"/>
                                <w:sz w:val="16"/>
                                <w:szCs w:val="16"/>
                                <w:lang w:eastAsia="pt-BR"/>
                                <w14:ligatures w14:val="none"/>
                              </w:rPr>
                              <w:t>Professora Adjunta C2 no Departamento de Ciência da Informação e no Programa de Pós-Graduação em Ciência da Informação da Universidade Federal Fluminense (UFF). Editora-Chefe da Knowledge Organization Journal e Editora Científica da Revista Officina. Líder do Grupo de Pesquisa: Arquivos, Bibliotecas e Organização do Conhecimento. Presidente do Capítulo Brasileiro da ISKO (2020-2021 / 2022-2023). Coordenadora do PPGCI/UFF (2021-) Membro do Conselho Técnico e Científico da ISKO - STAC (Scientific and Technical Advisory Council). Autora do livro "A construção teórica da Diplomática: em busca da sistematização de seus marcos teóricos como subsídio aos estudos arquivísticos". Temas de interesse: Diplomática. Arquivologia. Organização do Conhecimento em Arquivos. Justiça social em arquivos. Estudos críticos arquivísticos</w:t>
                            </w:r>
                            <w:r>
                              <w:rPr>
                                <w:rFonts w:ascii="Times New Roman" w:eastAsia="Times New Roman" w:hAnsi="Times New Roman" w:cs="Times New Roman"/>
                                <w:kern w:val="0"/>
                                <w:sz w:val="16"/>
                                <w:szCs w:val="16"/>
                                <w:lang w:eastAsia="pt-BR"/>
                                <w14:ligatures w14:val="none"/>
                              </w:rPr>
                              <w:t>.</w:t>
                            </w:r>
                          </w:p>
                          <w:p w14:paraId="373A8691" w14:textId="77777777" w:rsidR="0049150C" w:rsidRPr="0049150C" w:rsidRDefault="0049150C" w:rsidP="0049150C">
                            <w:pPr>
                              <w:jc w:val="both"/>
                              <w:rPr>
                                <w:rFonts w:ascii="Times New Roman" w:hAnsi="Times New Roman" w:cs="Times New Roman"/>
                                <w:sz w:val="6"/>
                                <w:szCs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D8C08" id="_x0000_t202" coordsize="21600,21600" o:spt="202" path="m,l,21600r21600,l21600,xe">
                <v:stroke joinstyle="miter"/>
                <v:path gradientshapeok="t" o:connecttype="rect"/>
              </v:shapetype>
              <v:shape id="Caixa de Texto 2" o:spid="_x0000_s1026" type="#_x0000_t202" style="position:absolute;margin-left:119.7pt;margin-top:.45pt;width:348.75pt;height:11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">
                <v:textbox>
                  <w:txbxContent>
                    <w:p w14:paraId="54C43EAA" w14:textId="0FDAD982" w:rsidR="0049150C" w:rsidRPr="0049150C" w:rsidRDefault="0049150C" w:rsidP="0049150C">
                      <w:pPr>
                        <w:jc w:val="both"/>
                        <w:rPr>
                          <w:rFonts w:ascii="Times New Roman" w:eastAsia="Times New Roman" w:hAnsi="Times New Roman" w:cs="Times New Roman"/>
                          <w:b/>
                          <w:bCs/>
                          <w:kern w:val="0"/>
                          <w:sz w:val="16"/>
                          <w:szCs w:val="16"/>
                          <w:lang w:eastAsia="pt-BR"/>
                          <w14:ligatures w14:val="none"/>
                        </w:rPr>
                      </w:pPr>
                      <w:r w:rsidRPr="0049150C">
                        <w:rPr>
                          <w:rFonts w:ascii="Times New Roman" w:eastAsia="Times New Roman" w:hAnsi="Times New Roman" w:cs="Times New Roman"/>
                          <w:b/>
                          <w:bCs/>
                          <w:kern w:val="0"/>
                          <w:sz w:val="16"/>
                          <w:szCs w:val="16"/>
                          <w:lang w:eastAsia="pt-BR"/>
                          <w14:ligatures w14:val="none"/>
                        </w:rPr>
                        <w:t xml:space="preserve">Natalia </w:t>
                      </w:r>
                      <w:proofErr w:type="spellStart"/>
                      <w:r w:rsidRPr="0049150C">
                        <w:rPr>
                          <w:rFonts w:ascii="Times New Roman" w:eastAsia="Times New Roman" w:hAnsi="Times New Roman" w:cs="Times New Roman"/>
                          <w:b/>
                          <w:bCs/>
                          <w:kern w:val="0"/>
                          <w:sz w:val="16"/>
                          <w:szCs w:val="16"/>
                          <w:lang w:eastAsia="pt-BR"/>
                          <w14:ligatures w14:val="none"/>
                        </w:rPr>
                        <w:t>Bolfarini</w:t>
                      </w:r>
                      <w:proofErr w:type="spellEnd"/>
                      <w:r w:rsidRPr="0049150C">
                        <w:rPr>
                          <w:rFonts w:ascii="Times New Roman" w:eastAsia="Times New Roman" w:hAnsi="Times New Roman" w:cs="Times New Roman"/>
                          <w:b/>
                          <w:bCs/>
                          <w:kern w:val="0"/>
                          <w:sz w:val="16"/>
                          <w:szCs w:val="16"/>
                          <w:lang w:eastAsia="pt-BR"/>
                          <w14:ligatures w14:val="none"/>
                        </w:rPr>
                        <w:t xml:space="preserve"> </w:t>
                      </w:r>
                      <w:proofErr w:type="spellStart"/>
                      <w:r w:rsidRPr="0049150C">
                        <w:rPr>
                          <w:rFonts w:ascii="Times New Roman" w:eastAsia="Times New Roman" w:hAnsi="Times New Roman" w:cs="Times New Roman"/>
                          <w:b/>
                          <w:bCs/>
                          <w:kern w:val="0"/>
                          <w:sz w:val="16"/>
                          <w:szCs w:val="16"/>
                          <w:lang w:eastAsia="pt-BR"/>
                          <w14:ligatures w14:val="none"/>
                        </w:rPr>
                        <w:t>Tognoli</w:t>
                      </w:r>
                      <w:proofErr w:type="spellEnd"/>
                      <w:r w:rsidRPr="0049150C">
                        <w:rPr>
                          <w:rFonts w:ascii="Times New Roman" w:eastAsia="Times New Roman" w:hAnsi="Times New Roman" w:cs="Times New Roman"/>
                          <w:b/>
                          <w:bCs/>
                          <w:kern w:val="0"/>
                          <w:sz w:val="16"/>
                          <w:szCs w:val="16"/>
                          <w:lang w:eastAsia="pt-BR"/>
                          <w14:ligatures w14:val="none"/>
                        </w:rPr>
                        <w:t xml:space="preserve"> </w:t>
                      </w:r>
                    </w:p>
                    <w:p w14:paraId="5A102A98" w14:textId="25735658" w:rsidR="0049150C" w:rsidRPr="0049150C" w:rsidRDefault="0049150C" w:rsidP="0049150C">
                      <w:pPr>
                        <w:jc w:val="both"/>
                        <w:rPr>
                          <w:rFonts w:ascii="Times New Roman" w:eastAsia="Times New Roman" w:hAnsi="Times New Roman" w:cs="Times New Roman"/>
                          <w:kern w:val="0"/>
                          <w:sz w:val="16"/>
                          <w:szCs w:val="16"/>
                          <w:lang w:eastAsia="pt-BR"/>
                          <w14:ligatures w14:val="none"/>
                        </w:rPr>
                      </w:pPr>
                      <w:r w:rsidRPr="0049150C">
                        <w:rPr>
                          <w:rFonts w:ascii="Times New Roman" w:eastAsia="Times New Roman" w:hAnsi="Times New Roman" w:cs="Times New Roman"/>
                          <w:kern w:val="0"/>
                          <w:sz w:val="16"/>
                          <w:szCs w:val="16"/>
                          <w:lang w:eastAsia="pt-BR"/>
                          <w14:ligatures w14:val="none"/>
                        </w:rPr>
                        <w:t xml:space="preserve">Professora Adjunta C2 no Departamento de Ciência da Informação e no Programa de Pós-Graduação em Ciência da Informação da Universidade Federal Fluminense (UFF). Editora-Chefe da </w:t>
                      </w:r>
                      <w:proofErr w:type="spellStart"/>
                      <w:r w:rsidRPr="0049150C">
                        <w:rPr>
                          <w:rFonts w:ascii="Times New Roman" w:eastAsia="Times New Roman" w:hAnsi="Times New Roman" w:cs="Times New Roman"/>
                          <w:kern w:val="0"/>
                          <w:sz w:val="16"/>
                          <w:szCs w:val="16"/>
                          <w:lang w:eastAsia="pt-BR"/>
                          <w14:ligatures w14:val="none"/>
                        </w:rPr>
                        <w:t>Knowledge</w:t>
                      </w:r>
                      <w:proofErr w:type="spellEnd"/>
                      <w:r w:rsidRPr="0049150C">
                        <w:rPr>
                          <w:rFonts w:ascii="Times New Roman" w:eastAsia="Times New Roman" w:hAnsi="Times New Roman" w:cs="Times New Roman"/>
                          <w:kern w:val="0"/>
                          <w:sz w:val="16"/>
                          <w:szCs w:val="16"/>
                          <w:lang w:eastAsia="pt-BR"/>
                          <w14:ligatures w14:val="none"/>
                        </w:rPr>
                        <w:t xml:space="preserve"> </w:t>
                      </w:r>
                      <w:proofErr w:type="spellStart"/>
                      <w:r w:rsidRPr="0049150C">
                        <w:rPr>
                          <w:rFonts w:ascii="Times New Roman" w:eastAsia="Times New Roman" w:hAnsi="Times New Roman" w:cs="Times New Roman"/>
                          <w:kern w:val="0"/>
                          <w:sz w:val="16"/>
                          <w:szCs w:val="16"/>
                          <w:lang w:eastAsia="pt-BR"/>
                          <w14:ligatures w14:val="none"/>
                        </w:rPr>
                        <w:t>Organization</w:t>
                      </w:r>
                      <w:proofErr w:type="spellEnd"/>
                      <w:r w:rsidRPr="0049150C">
                        <w:rPr>
                          <w:rFonts w:ascii="Times New Roman" w:eastAsia="Times New Roman" w:hAnsi="Times New Roman" w:cs="Times New Roman"/>
                          <w:kern w:val="0"/>
                          <w:sz w:val="16"/>
                          <w:szCs w:val="16"/>
                          <w:lang w:eastAsia="pt-BR"/>
                          <w14:ligatures w14:val="none"/>
                        </w:rPr>
                        <w:t xml:space="preserve"> Journal e Editora Científica da Revista Officina. Líder do Grupo de Pesquisa: Arquivos, Bibliotecas e Organização do Conhecimento. Presidente do Capítulo Brasileiro da ISKO (2020-2021 / 2022-2023). Coordenadora do PPGCI/UFF (2021-) Membro do Conselho Técnico e Científico da ISKO - STAC (Scientific and </w:t>
                      </w:r>
                      <w:proofErr w:type="spellStart"/>
                      <w:r w:rsidRPr="0049150C">
                        <w:rPr>
                          <w:rFonts w:ascii="Times New Roman" w:eastAsia="Times New Roman" w:hAnsi="Times New Roman" w:cs="Times New Roman"/>
                          <w:kern w:val="0"/>
                          <w:sz w:val="16"/>
                          <w:szCs w:val="16"/>
                          <w:lang w:eastAsia="pt-BR"/>
                          <w14:ligatures w14:val="none"/>
                        </w:rPr>
                        <w:t>Technical</w:t>
                      </w:r>
                      <w:proofErr w:type="spellEnd"/>
                      <w:r w:rsidRPr="0049150C">
                        <w:rPr>
                          <w:rFonts w:ascii="Times New Roman" w:eastAsia="Times New Roman" w:hAnsi="Times New Roman" w:cs="Times New Roman"/>
                          <w:kern w:val="0"/>
                          <w:sz w:val="16"/>
                          <w:szCs w:val="16"/>
                          <w:lang w:eastAsia="pt-BR"/>
                          <w14:ligatures w14:val="none"/>
                        </w:rPr>
                        <w:t xml:space="preserve"> Advisory Council). Autora do livro "A construção teórica da Diplomática: em busca da sistematização de seus marcos teóricos como subsídio aos estudos arquivísticos". Temas de interesse: Diplomática. Arquivologia. Organização do Conhecimento em Arquivos. Justiça social em arquivos. Estudos críticos arquivísticos</w:t>
                      </w:r>
                      <w:r>
                        <w:rPr>
                          <w:rFonts w:ascii="Times New Roman" w:eastAsia="Times New Roman" w:hAnsi="Times New Roman" w:cs="Times New Roman"/>
                          <w:kern w:val="0"/>
                          <w:sz w:val="16"/>
                          <w:szCs w:val="16"/>
                          <w:lang w:eastAsia="pt-BR"/>
                          <w14:ligatures w14:val="none"/>
                        </w:rPr>
                        <w:t>.</w:t>
                      </w:r>
                    </w:p>
                    <w:p w14:paraId="373A8691" w14:textId="77777777" w:rsidR="0049150C" w:rsidRPr="0049150C" w:rsidRDefault="0049150C" w:rsidP="0049150C">
                      <w:pPr>
                        <w:jc w:val="both"/>
                        <w:rPr>
                          <w:rFonts w:ascii="Times New Roman" w:hAnsi="Times New Roman" w:cs="Times New Roman"/>
                          <w:sz w:val="6"/>
                          <w:szCs w:val="6"/>
                        </w:rPr>
                      </w:pPr>
                    </w:p>
                  </w:txbxContent>
                </v:textbox>
                <w10:wrap type="square" anchorx="margin"/>
              </v:shape>
            </w:pict>
          </mc:Fallback>
        </mc:AlternateContent>
      </w:r>
      <w:r w:rsidR="00C04A5F">
        <w:rPr>
          <w:rFonts w:ascii="Times New Roman" w:eastAsia="Times New Roman" w:hAnsi="Times New Roman" w:cs="Times New Roman"/>
          <w:noProof/>
          <w:kern w:val="0"/>
          <w:sz w:val="24"/>
          <w:szCs w:val="24"/>
          <w:lang w:eastAsia="pt-BR"/>
        </w:rPr>
        <w:drawing>
          <wp:inline distT="0" distB="0" distL="0" distR="0" wp14:anchorId="35FE943A" wp14:editId="14027676">
            <wp:extent cx="1257300" cy="1257300"/>
            <wp:effectExtent l="0" t="0" r="0" b="0"/>
            <wp:docPr id="908879971" name="Imagem 2" descr="Mulher de óculos sorr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79971" name="Imagem 2" descr="Mulher de óculos sorrindo&#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5F61866B" w14:textId="306B1FEC" w:rsidR="00C04A5F" w:rsidRDefault="0049150C" w:rsidP="00F850DA">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noProof/>
          <w:kern w:val="0"/>
          <w:sz w:val="24"/>
          <w:szCs w:val="24"/>
          <w:lang w:eastAsia="pt-BR"/>
        </w:rPr>
        <w:drawing>
          <wp:anchor distT="0" distB="0" distL="114300" distR="114300" simplePos="0" relativeHeight="251668480" behindDoc="0" locked="0" layoutInCell="1" allowOverlap="1" wp14:anchorId="688FACC7" wp14:editId="164E5E75">
            <wp:simplePos x="0" y="0"/>
            <wp:positionH relativeFrom="margin">
              <wp:align>left</wp:align>
            </wp:positionH>
            <wp:positionV relativeFrom="paragraph">
              <wp:posOffset>394970</wp:posOffset>
            </wp:positionV>
            <wp:extent cx="1390650" cy="1390650"/>
            <wp:effectExtent l="0" t="0" r="0" b="0"/>
            <wp:wrapThrough wrapText="bothSides">
              <wp:wrapPolygon edited="0">
                <wp:start x="0" y="0"/>
                <wp:lineTo x="0" y="21304"/>
                <wp:lineTo x="21304" y="21304"/>
                <wp:lineTo x="21304" y="0"/>
                <wp:lineTo x="0" y="0"/>
              </wp:wrapPolygon>
            </wp:wrapThrough>
            <wp:docPr id="1462753767" name="Imagem 1" descr="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3767" name="Imagem 1" descr="Pessoas posando para foto&#10;&#10;Descrição gerada automa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p>
    <w:p w14:paraId="364B2BF5" w14:textId="2AA18837" w:rsidR="0049150C" w:rsidRDefault="005E33C0" w:rsidP="00F850DA">
      <w:pPr>
        <w:rPr>
          <w:rFonts w:ascii="Times New Roman" w:hAnsi="Times New Roman" w:cs="Times New Roman"/>
          <w:noProof/>
          <w:sz w:val="16"/>
          <w:szCs w:val="16"/>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62336" behindDoc="0" locked="0" layoutInCell="1" allowOverlap="1" wp14:anchorId="1CDDEAD6" wp14:editId="0A3D9AB8">
                <wp:simplePos x="0" y="0"/>
                <wp:positionH relativeFrom="margin">
                  <wp:posOffset>1539240</wp:posOffset>
                </wp:positionH>
                <wp:positionV relativeFrom="paragraph">
                  <wp:posOffset>18415</wp:posOffset>
                </wp:positionV>
                <wp:extent cx="4400550" cy="159067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590675"/>
                        </a:xfrm>
                        <a:prstGeom prst="rect">
                          <a:avLst/>
                        </a:prstGeom>
                        <a:solidFill>
                          <a:srgbClr val="FFFFFF"/>
                        </a:solidFill>
                        <a:ln w="9525">
                          <a:solidFill>
                            <a:srgbClr val="000000"/>
                          </a:solidFill>
                          <a:miter lim="800000"/>
                          <a:headEnd/>
                          <a:tailEnd/>
                        </a:ln>
                      </wps:spPr>
                      <wps:txbx>
                        <w:txbxContent>
                          <w:p w14:paraId="6E8F7C5D" w14:textId="3630F426" w:rsidR="0049150C" w:rsidRPr="0049150C" w:rsidRDefault="0049150C" w:rsidP="005E33C0">
                            <w:pPr>
                              <w:jc w:val="both"/>
                              <w:rPr>
                                <w:rFonts w:ascii="Times New Roman" w:hAnsi="Times New Roman" w:cs="Times New Roman"/>
                                <w:b/>
                                <w:bCs/>
                                <w:sz w:val="16"/>
                                <w:szCs w:val="16"/>
                              </w:rPr>
                            </w:pPr>
                            <w:r w:rsidRPr="0049150C">
                              <w:rPr>
                                <w:rFonts w:ascii="Times New Roman" w:hAnsi="Times New Roman" w:cs="Times New Roman"/>
                                <w:b/>
                                <w:bCs/>
                                <w:sz w:val="16"/>
                                <w:szCs w:val="16"/>
                              </w:rPr>
                              <w:t>Ivanilma de Oliveira Gama</w:t>
                            </w:r>
                          </w:p>
                          <w:p w14:paraId="27D7D9B4" w14:textId="47084BD2" w:rsidR="005E33C0" w:rsidRPr="005E33C0" w:rsidRDefault="005E33C0" w:rsidP="005E33C0">
                            <w:pPr>
                              <w:jc w:val="both"/>
                              <w:rPr>
                                <w:rFonts w:ascii="Times New Roman" w:hAnsi="Times New Roman" w:cs="Times New Roman"/>
                                <w:sz w:val="16"/>
                                <w:szCs w:val="16"/>
                              </w:rPr>
                            </w:pPr>
                            <w:r w:rsidRPr="005E33C0">
                              <w:rPr>
                                <w:rFonts w:ascii="Times New Roman" w:hAnsi="Times New Roman" w:cs="Times New Roman"/>
                                <w:sz w:val="16"/>
                                <w:szCs w:val="16"/>
                              </w:rPr>
                              <w:t xml:space="preserve">Doutora em Ciência da Informação pela Universidade Federal Fluminense (UFF). Mestre em Biblioteconomia pela Universidade Federal do Estado do Rio de Janeiro (UNIRIO). Especialização em Biblioteconomia pela Faculdades Integradas de Jacarepaguá (FIJ). Bacharel em Biblioteconomia pela Universidade Federal do Estado do Rio de Janeiro (UNIRIO). Trabalha como bibliotecária na Centro Federal de Educação Tecnológica Celso S. da Fonseca (CEFET/RJ Campus Itaguaí). Atuou como tutora presencial do curso Licenciatura em Pedagogia na Universidade Estadual do Norte Fluminense (Polo Santa Maria Madalena) e tutora a distância no curso de Biblioteconomia da Universidade do Estado de Santa Catarina (UDESC). Editora de Expediente na Revista da Associação Catarinense de Bibliotecários </w:t>
                            </w:r>
                            <w:r w:rsidR="0049150C" w:rsidRPr="005E33C0">
                              <w:rPr>
                                <w:rFonts w:ascii="Times New Roman" w:hAnsi="Times New Roman" w:cs="Times New Roman"/>
                                <w:sz w:val="16"/>
                                <w:szCs w:val="16"/>
                              </w:rPr>
                              <w:t xml:space="preserve"> </w:t>
                            </w:r>
                            <w:r w:rsidRPr="005E33C0">
                              <w:rPr>
                                <w:rFonts w:ascii="Times New Roman" w:hAnsi="Times New Roman" w:cs="Times New Roman"/>
                                <w:sz w:val="16"/>
                                <w:szCs w:val="16"/>
                              </w:rPr>
                              <w:t>(ACB). Áreas de interesse: comunicação científica, ciência aberta, acesso aberto, participação cidadã na ciência, direito de autor.</w:t>
                            </w:r>
                          </w:p>
                          <w:p w14:paraId="42050D55" w14:textId="15E2921E" w:rsidR="005E33C0" w:rsidRPr="005E33C0" w:rsidRDefault="005E33C0">
                            <w:pPr>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DEAD6" id="_x0000_t202" coordsize="21600,21600" o:spt="202" path="m,l,21600r21600,l21600,xe">
                <v:stroke joinstyle="miter"/>
                <v:path gradientshapeok="t" o:connecttype="rect"/>
              </v:shapetype>
              <v:shape id="_x0000_s1027" type="#_x0000_t202" style="position:absolute;margin-left:121.2pt;margin-top:1.45pt;width:346.5pt;height:125.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">
                <v:textbox>
                  <w:txbxContent>
                    <w:p w14:paraId="6E8F7C5D" w14:textId="3630F426" w:rsidR="0049150C" w:rsidRPr="0049150C" w:rsidRDefault="0049150C" w:rsidP="005E33C0">
                      <w:pPr>
                        <w:jc w:val="both"/>
                        <w:rPr>
                          <w:rFonts w:ascii="Times New Roman" w:hAnsi="Times New Roman" w:cs="Times New Roman"/>
                          <w:b/>
                          <w:bCs/>
                          <w:sz w:val="16"/>
                          <w:szCs w:val="16"/>
                        </w:rPr>
                      </w:pPr>
                      <w:r w:rsidRPr="0049150C">
                        <w:rPr>
                          <w:rFonts w:ascii="Times New Roman" w:hAnsi="Times New Roman" w:cs="Times New Roman"/>
                          <w:b/>
                          <w:bCs/>
                          <w:sz w:val="16"/>
                          <w:szCs w:val="16"/>
                        </w:rPr>
                        <w:t>Ivanilma de Oliveira Gama</w:t>
                      </w:r>
                    </w:p>
                    <w:p w14:paraId="27D7D9B4" w14:textId="47084BD2" w:rsidR="005E33C0" w:rsidRPr="005E33C0" w:rsidRDefault="005E33C0" w:rsidP="005E33C0">
                      <w:pPr>
                        <w:jc w:val="both"/>
                        <w:rPr>
                          <w:rFonts w:ascii="Times New Roman" w:hAnsi="Times New Roman" w:cs="Times New Roman"/>
                          <w:sz w:val="16"/>
                          <w:szCs w:val="16"/>
                        </w:rPr>
                      </w:pPr>
                      <w:r w:rsidRPr="005E33C0">
                        <w:rPr>
                          <w:rFonts w:ascii="Times New Roman" w:hAnsi="Times New Roman" w:cs="Times New Roman"/>
                          <w:sz w:val="16"/>
                          <w:szCs w:val="16"/>
                        </w:rPr>
                        <w:t xml:space="preserve">Doutora em Ciência da Informação pela Universidade Federal Fluminense (UFF). Mestre em Biblioteconomia pela Universidade Federal do Estado do Rio de Janeiro (UNIRIO). Especialização em Biblioteconomia pela Faculdades Integradas de Jacarepaguá (FIJ). Bacharel em Biblioteconomia pela Universidade Federal do Estado do Rio de Janeiro (UNIRIO). Trabalha como bibliotecária na Centro Federal de Educação Tecnológica Celso S. da Fonseca (CEFET/RJ Campus Itaguaí). Atuou como tutora presencial do curso Licenciatura em Pedagogia na Universidade Estadual do Norte Fluminense (Polo Santa Maria Madalena) e tutora a distância no curso de Biblioteconomia da Universidade do Estado de Santa Catarina (UDESC). Editora de Expediente na Revista da Associação Catarinense de Bibliotecários </w:t>
                      </w:r>
                      <w:r w:rsidR="0049150C" w:rsidRPr="005E33C0">
                        <w:rPr>
                          <w:rFonts w:ascii="Times New Roman" w:hAnsi="Times New Roman" w:cs="Times New Roman"/>
                          <w:sz w:val="16"/>
                          <w:szCs w:val="16"/>
                        </w:rPr>
                        <w:t xml:space="preserve"> </w:t>
                      </w:r>
                      <w:r w:rsidRPr="005E33C0">
                        <w:rPr>
                          <w:rFonts w:ascii="Times New Roman" w:hAnsi="Times New Roman" w:cs="Times New Roman"/>
                          <w:sz w:val="16"/>
                          <w:szCs w:val="16"/>
                        </w:rPr>
                        <w:t>(ACB). Áreas de interesse: comunicação científica, ciência aberta, acesso aberto, participação cidadã na ciência, direito de autor.</w:t>
                      </w:r>
                    </w:p>
                    <w:p w14:paraId="42050D55" w14:textId="15E2921E" w:rsidR="005E33C0" w:rsidRPr="005E33C0" w:rsidRDefault="005E33C0">
                      <w:pPr>
                        <w:rPr>
                          <w:rFonts w:ascii="Times New Roman" w:hAnsi="Times New Roman" w:cs="Times New Roman"/>
                          <w:sz w:val="14"/>
                          <w:szCs w:val="14"/>
                        </w:rPr>
                      </w:pPr>
                    </w:p>
                  </w:txbxContent>
                </v:textbox>
                <w10:wrap type="square" anchorx="margin"/>
              </v:shape>
            </w:pict>
          </mc:Fallback>
        </mc:AlternateContent>
      </w:r>
    </w:p>
    <w:p w14:paraId="085F2489" w14:textId="7ECBFC85" w:rsidR="007B6871" w:rsidRDefault="007B6871"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77696" behindDoc="0" locked="0" layoutInCell="1" allowOverlap="1" wp14:anchorId="703B2F36" wp14:editId="073E3BF1">
                <wp:simplePos x="0" y="0"/>
                <wp:positionH relativeFrom="margin">
                  <wp:posOffset>1517171</wp:posOffset>
                </wp:positionH>
                <wp:positionV relativeFrom="paragraph">
                  <wp:posOffset>224359</wp:posOffset>
                </wp:positionV>
                <wp:extent cx="4400550" cy="1595755"/>
                <wp:effectExtent l="0" t="0" r="19050" b="23495"/>
                <wp:wrapSquare wrapText="bothSides"/>
                <wp:docPr id="8866162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595755"/>
                        </a:xfrm>
                        <a:prstGeom prst="rect">
                          <a:avLst/>
                        </a:prstGeom>
                        <a:solidFill>
                          <a:srgbClr val="FFFFFF"/>
                        </a:solidFill>
                        <a:ln w="9525">
                          <a:solidFill>
                            <a:srgbClr val="000000"/>
                          </a:solidFill>
                          <a:miter lim="800000"/>
                          <a:headEnd/>
                          <a:tailEnd/>
                        </a:ln>
                      </wps:spPr>
                      <wps:txbx>
                        <w:txbxContent>
                          <w:p w14:paraId="412649B4" w14:textId="77777777" w:rsidR="007B6871" w:rsidRPr="0049150C" w:rsidRDefault="007B6871" w:rsidP="007B6871">
                            <w:pPr>
                              <w:jc w:val="both"/>
                              <w:rPr>
                                <w:rFonts w:ascii="Times New Roman" w:hAnsi="Times New Roman" w:cs="Times New Roman"/>
                                <w:b/>
                                <w:bCs/>
                                <w:sz w:val="16"/>
                                <w:szCs w:val="16"/>
                              </w:rPr>
                            </w:pPr>
                            <w:r w:rsidRPr="0049150C">
                              <w:rPr>
                                <w:rFonts w:ascii="Times New Roman" w:hAnsi="Times New Roman" w:cs="Times New Roman"/>
                                <w:b/>
                                <w:bCs/>
                                <w:sz w:val="16"/>
                                <w:szCs w:val="16"/>
                              </w:rPr>
                              <w:t>Juliana Loureiro Alvim Carvalho</w:t>
                            </w:r>
                          </w:p>
                          <w:p w14:paraId="74E64472" w14:textId="77777777" w:rsidR="007B6871" w:rsidRPr="005E33C0" w:rsidRDefault="007B6871" w:rsidP="007B6871">
                            <w:pPr>
                              <w:jc w:val="both"/>
                              <w:rPr>
                                <w:rFonts w:ascii="Times New Roman" w:hAnsi="Times New Roman" w:cs="Times New Roman"/>
                                <w:sz w:val="14"/>
                                <w:szCs w:val="14"/>
                              </w:rPr>
                            </w:pPr>
                            <w:r w:rsidRPr="0049150C">
                              <w:rPr>
                                <w:rFonts w:ascii="Times New Roman" w:hAnsi="Times New Roman" w:cs="Times New Roman"/>
                                <w:sz w:val="16"/>
                                <w:szCs w:val="16"/>
                              </w:rPr>
                              <w:t>Doutora em Ciência da Informação pela Universidade Federal Fluminense - UFF, mestra em Gestão de Documentos e Arquivos pela Universidade Federal do Estado do Rio de Janeiro - Unirio, pós-graduada em Gestão de Projetos pela Universidade Candido Mendes - UCAM e em Gestão Pública Municipal pela Universidade Federal Fluminense- UFF, graduada em Arquivologia pela Universidade Federal do Estado do Rio de Janeiro - Unirio. Atualmente é servidora pública municipal de Macaé (afastada - licença sem vencimento), lotada no Solar dos Mellos - Museu da Cidade de Macaé- onde desenvolve atividades arquivísticas nos documentos permanentes pertencentes ao município de Macaé. Além disso, lecionou disciplinas acerca de noções arquivísticas em um curso técnico e em um preparatório para concurso. Possui experiência com arquivos de recursos humanos, arquivos permanentes, documentos arquivísticos custodiados em museus, arquivos públicos municipais e políticas públicas arquivísticas.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B2F36" id="_x0000_s1028" type="#_x0000_t202" style="position:absolute;margin-left:119.45pt;margin-top:17.65pt;width:346.5pt;height:125.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">
                <v:textbox>
                  <w:txbxContent>
                    <w:p w14:paraId="412649B4" w14:textId="77777777" w:rsidR="007B6871" w:rsidRPr="0049150C" w:rsidRDefault="007B6871" w:rsidP="007B6871">
                      <w:pPr>
                        <w:jc w:val="both"/>
                        <w:rPr>
                          <w:rFonts w:ascii="Times New Roman" w:hAnsi="Times New Roman" w:cs="Times New Roman"/>
                          <w:b/>
                          <w:bCs/>
                          <w:sz w:val="16"/>
                          <w:szCs w:val="16"/>
                        </w:rPr>
                      </w:pPr>
                      <w:r w:rsidRPr="0049150C">
                        <w:rPr>
                          <w:rFonts w:ascii="Times New Roman" w:hAnsi="Times New Roman" w:cs="Times New Roman"/>
                          <w:b/>
                          <w:bCs/>
                          <w:sz w:val="16"/>
                          <w:szCs w:val="16"/>
                        </w:rPr>
                        <w:t>Juliana Loureiro Alvim Carvalho</w:t>
                      </w:r>
                    </w:p>
                    <w:p w14:paraId="74E64472" w14:textId="77777777" w:rsidR="007B6871" w:rsidRPr="005E33C0" w:rsidRDefault="007B6871" w:rsidP="007B6871">
                      <w:pPr>
                        <w:jc w:val="both"/>
                        <w:rPr>
                          <w:rFonts w:ascii="Times New Roman" w:hAnsi="Times New Roman" w:cs="Times New Roman"/>
                          <w:sz w:val="14"/>
                          <w:szCs w:val="14"/>
                        </w:rPr>
                      </w:pPr>
                      <w:r w:rsidRPr="0049150C">
                        <w:rPr>
                          <w:rFonts w:ascii="Times New Roman" w:hAnsi="Times New Roman" w:cs="Times New Roman"/>
                          <w:sz w:val="16"/>
                          <w:szCs w:val="16"/>
                        </w:rPr>
                        <w:t>Doutora em Ciência da Informação pela Universidade Federal Fluminense - UFF, mestra em Gestão de Documentos e Arquivos pela Universidade Federal do Estado do Rio de Janeiro - Unirio, pós-graduada em Gestão de Projetos pela Universidade Candido Mendes - UCAM e em Gestão Pública Municipal pela Universidade Federal Fluminense- UFF, graduada em Arquivologia pela Universidade Federal do Estado do Rio de Janeiro - Unirio. Atualmente é servidora pública municipal de Macaé (afastada - licença sem vencimento), lotada no Solar dos Mellos - Museu da Cidade de Macaé- onde desenvolve atividades arquivísticas nos documentos permanentes pertencentes ao município de Macaé. Além disso, lecionou disciplinas acerca de noções arquivísticas em um curso técnico e em um preparatório para concurso. Possui experiência com arquivos de recursos humanos, arquivos permanentes, documentos arquivísticos custodiados em museus, arquivos públicos municipais e políticas públicas arquivísticas.</w:t>
                      </w:r>
                    </w:p>
                  </w:txbxContent>
                </v:textbox>
                <w10:wrap type="square" anchorx="margin"/>
              </v:shape>
            </w:pict>
          </mc:Fallback>
        </mc:AlternateContent>
      </w:r>
      <w:r>
        <w:rPr>
          <w:rFonts w:ascii="Times New Roman" w:hAnsi="Times New Roman" w:cs="Times New Roman"/>
          <w:noProof/>
          <w:sz w:val="16"/>
          <w:szCs w:val="16"/>
        </w:rPr>
        <w:drawing>
          <wp:anchor distT="0" distB="0" distL="114300" distR="114300" simplePos="0" relativeHeight="251675648" behindDoc="0" locked="0" layoutInCell="1" allowOverlap="1" wp14:anchorId="6A6E1746" wp14:editId="5EBA9F82">
            <wp:simplePos x="0" y="0"/>
            <wp:positionH relativeFrom="column">
              <wp:posOffset>138022</wp:posOffset>
            </wp:positionH>
            <wp:positionV relativeFrom="paragraph">
              <wp:posOffset>229882</wp:posOffset>
            </wp:positionV>
            <wp:extent cx="1062990" cy="1595120"/>
            <wp:effectExtent l="0" t="0" r="3810" b="5080"/>
            <wp:wrapThrough wrapText="bothSides">
              <wp:wrapPolygon edited="0">
                <wp:start x="0" y="0"/>
                <wp:lineTo x="0" y="21411"/>
                <wp:lineTo x="21290" y="21411"/>
                <wp:lineTo x="21290" y="0"/>
                <wp:lineTo x="0" y="0"/>
              </wp:wrapPolygon>
            </wp:wrapThrough>
            <wp:docPr id="2143131767" name="Imagem 3" descr="Pessoa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31767" name="Imagem 3" descr="Pessoa posando para foto&#10;&#10;Descrição gerad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2990" cy="1595120"/>
                    </a:xfrm>
                    <a:prstGeom prst="rect">
                      <a:avLst/>
                    </a:prstGeom>
                  </pic:spPr>
                </pic:pic>
              </a:graphicData>
            </a:graphic>
            <wp14:sizeRelH relativeFrom="page">
              <wp14:pctWidth>0</wp14:pctWidth>
            </wp14:sizeRelH>
            <wp14:sizeRelV relativeFrom="page">
              <wp14:pctHeight>0</wp14:pctHeight>
            </wp14:sizeRelV>
          </wp:anchor>
        </w:drawing>
      </w:r>
    </w:p>
    <w:p w14:paraId="44147F05" w14:textId="4FB0A0F2" w:rsidR="007B6871" w:rsidRDefault="007B6871" w:rsidP="00F850DA">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noProof/>
          <w:kern w:val="0"/>
          <w:sz w:val="24"/>
          <w:szCs w:val="24"/>
          <w:lang w:eastAsia="pt-BR"/>
        </w:rPr>
        <w:drawing>
          <wp:anchor distT="0" distB="0" distL="114300" distR="114300" simplePos="0" relativeHeight="251679744" behindDoc="0" locked="0" layoutInCell="1" allowOverlap="1" wp14:anchorId="2DF4A13E" wp14:editId="45A88E7C">
            <wp:simplePos x="0" y="0"/>
            <wp:positionH relativeFrom="column">
              <wp:posOffset>146050</wp:posOffset>
            </wp:positionH>
            <wp:positionV relativeFrom="paragraph">
              <wp:posOffset>2020210</wp:posOffset>
            </wp:positionV>
            <wp:extent cx="1189355" cy="1289050"/>
            <wp:effectExtent l="0" t="0" r="0" b="6350"/>
            <wp:wrapThrough wrapText="bothSides">
              <wp:wrapPolygon edited="0">
                <wp:start x="0" y="0"/>
                <wp:lineTo x="0" y="21387"/>
                <wp:lineTo x="21104" y="21387"/>
                <wp:lineTo x="21104" y="0"/>
                <wp:lineTo x="0" y="0"/>
              </wp:wrapPolygon>
            </wp:wrapThrough>
            <wp:docPr id="455030965" name="Imagem 4" descr="Homem sorrindo pou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30965" name="Imagem 4" descr="Homem sorrindo pousando para foto&#10;&#10;Descrição gerada automa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9355" cy="1289050"/>
                    </a:xfrm>
                    <a:prstGeom prst="rect">
                      <a:avLst/>
                    </a:prstGeom>
                  </pic:spPr>
                </pic:pic>
              </a:graphicData>
            </a:graphic>
            <wp14:sizeRelH relativeFrom="page">
              <wp14:pctWidth>0</wp14:pctWidth>
            </wp14:sizeRelH>
            <wp14:sizeRelV relativeFrom="page">
              <wp14:pctHeight>0</wp14:pctHeight>
            </wp14:sizeRelV>
          </wp:anchor>
        </w:drawing>
      </w: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81792" behindDoc="0" locked="0" layoutInCell="1" allowOverlap="1" wp14:anchorId="69C0EBAB" wp14:editId="77111043">
                <wp:simplePos x="0" y="0"/>
                <wp:positionH relativeFrom="margin">
                  <wp:posOffset>1525282</wp:posOffset>
                </wp:positionH>
                <wp:positionV relativeFrom="paragraph">
                  <wp:posOffset>1800920</wp:posOffset>
                </wp:positionV>
                <wp:extent cx="4400550" cy="1743075"/>
                <wp:effectExtent l="0" t="0" r="19050" b="28575"/>
                <wp:wrapSquare wrapText="bothSides"/>
                <wp:docPr id="17282313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743075"/>
                        </a:xfrm>
                        <a:prstGeom prst="rect">
                          <a:avLst/>
                        </a:prstGeom>
                        <a:solidFill>
                          <a:srgbClr val="FFFFFF"/>
                        </a:solidFill>
                        <a:ln w="9525">
                          <a:solidFill>
                            <a:srgbClr val="000000"/>
                          </a:solidFill>
                          <a:miter lim="800000"/>
                          <a:headEnd/>
                          <a:tailEnd/>
                        </a:ln>
                      </wps:spPr>
                      <wps:txbx>
                        <w:txbxContent>
                          <w:p w14:paraId="574E3392" w14:textId="77777777" w:rsidR="007B6871" w:rsidRPr="0049150C" w:rsidRDefault="007B6871" w:rsidP="007B6871">
                            <w:pPr>
                              <w:jc w:val="both"/>
                              <w:rPr>
                                <w:rFonts w:ascii="Times New Roman" w:hAnsi="Times New Roman" w:cs="Times New Roman"/>
                                <w:b/>
                                <w:bCs/>
                                <w:sz w:val="16"/>
                                <w:szCs w:val="16"/>
                              </w:rPr>
                            </w:pPr>
                            <w:r w:rsidRPr="0049150C">
                              <w:rPr>
                                <w:rFonts w:ascii="Times New Roman" w:hAnsi="Times New Roman" w:cs="Times New Roman"/>
                                <w:b/>
                                <w:bCs/>
                                <w:sz w:val="16"/>
                                <w:szCs w:val="16"/>
                              </w:rPr>
                              <w:t>Marcus Vinícius Pereira</w:t>
                            </w:r>
                            <w:r>
                              <w:rPr>
                                <w:rFonts w:ascii="Times New Roman" w:hAnsi="Times New Roman" w:cs="Times New Roman"/>
                                <w:b/>
                                <w:bCs/>
                                <w:sz w:val="16"/>
                                <w:szCs w:val="16"/>
                              </w:rPr>
                              <w:t>-</w:t>
                            </w:r>
                            <w:r w:rsidRPr="0049150C">
                              <w:rPr>
                                <w:rFonts w:ascii="Times New Roman" w:hAnsi="Times New Roman" w:cs="Times New Roman"/>
                                <w:b/>
                                <w:bCs/>
                                <w:sz w:val="16"/>
                                <w:szCs w:val="16"/>
                              </w:rPr>
                              <w:t xml:space="preserve">Silva </w:t>
                            </w:r>
                          </w:p>
                          <w:p w14:paraId="6E1D5BE0" w14:textId="77777777" w:rsidR="007B6871" w:rsidRPr="005E33C0" w:rsidRDefault="007B6871" w:rsidP="007B6871">
                            <w:pPr>
                              <w:jc w:val="both"/>
                              <w:rPr>
                                <w:rFonts w:ascii="Times New Roman" w:hAnsi="Times New Roman" w:cs="Times New Roman"/>
                                <w:sz w:val="14"/>
                                <w:szCs w:val="14"/>
                              </w:rPr>
                            </w:pPr>
                            <w:r w:rsidRPr="0049150C">
                              <w:rPr>
                                <w:rFonts w:ascii="Times New Roman" w:hAnsi="Times New Roman" w:cs="Times New Roman"/>
                                <w:sz w:val="16"/>
                                <w:szCs w:val="16"/>
                              </w:rPr>
                              <w:t>Doutor em Ciência da Informação pela Universidade Federal Fluminense (UFF), mestre em Ciências na área de Informação e Comunicação em saúde pela Fundação Oswaldo Cruz e graduado em Biblioteconomia e Documentação pela UFF. Assessor em Gestão da Casa de Oswaldo Cruz (COC/Fiocruz), atuando em projetos de ciência aberta, preservação digital, bibliotecas virtuais, gestão do conhecimento e estudos métricos da ciência. Coordenador Adjunto do Fórum de Preservação Digital da Fiocruz e coordenador executivo da BVS História e Preservação Cultural das Ciências e da Saúde. Membro do Observatório de Ciência, Tecnologia e Inovação da Fiocruz, do Comitê Gestor do Preservo - Complexo de Acervos da Fiocruz, do Fórum de Ciência Aberta da Fiocruz e do Núcleo de Ciência Aberta da COC. Professor do curso de Biblioteconomia da Universidade Salgado de Oliveira (Universo). Tem experiência na área de Ciência da Informação, atuando principalmente nos seguintes temas: análise de redes sociais, comunicação científica, estudos métricos da informação e preservação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0EBAB" id="_x0000_s1029" type="#_x0000_t202" style="position:absolute;margin-left:120.1pt;margin-top:141.8pt;width:346.5pt;height:137.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">
                <v:textbox>
                  <w:txbxContent>
                    <w:p w14:paraId="574E3392" w14:textId="77777777" w:rsidR="007B6871" w:rsidRPr="0049150C" w:rsidRDefault="007B6871" w:rsidP="007B6871">
                      <w:pPr>
                        <w:jc w:val="both"/>
                        <w:rPr>
                          <w:rFonts w:ascii="Times New Roman" w:hAnsi="Times New Roman" w:cs="Times New Roman"/>
                          <w:b/>
                          <w:bCs/>
                          <w:sz w:val="16"/>
                          <w:szCs w:val="16"/>
                        </w:rPr>
                      </w:pPr>
                      <w:r w:rsidRPr="0049150C">
                        <w:rPr>
                          <w:rFonts w:ascii="Times New Roman" w:hAnsi="Times New Roman" w:cs="Times New Roman"/>
                          <w:b/>
                          <w:bCs/>
                          <w:sz w:val="16"/>
                          <w:szCs w:val="16"/>
                        </w:rPr>
                        <w:t>Marcus Vinícius Pereira</w:t>
                      </w:r>
                      <w:r>
                        <w:rPr>
                          <w:rFonts w:ascii="Times New Roman" w:hAnsi="Times New Roman" w:cs="Times New Roman"/>
                          <w:b/>
                          <w:bCs/>
                          <w:sz w:val="16"/>
                          <w:szCs w:val="16"/>
                        </w:rPr>
                        <w:t>-</w:t>
                      </w:r>
                      <w:r w:rsidRPr="0049150C">
                        <w:rPr>
                          <w:rFonts w:ascii="Times New Roman" w:hAnsi="Times New Roman" w:cs="Times New Roman"/>
                          <w:b/>
                          <w:bCs/>
                          <w:sz w:val="16"/>
                          <w:szCs w:val="16"/>
                        </w:rPr>
                        <w:t xml:space="preserve">Silva </w:t>
                      </w:r>
                    </w:p>
                    <w:p w14:paraId="6E1D5BE0" w14:textId="77777777" w:rsidR="007B6871" w:rsidRPr="005E33C0" w:rsidRDefault="007B6871" w:rsidP="007B6871">
                      <w:pPr>
                        <w:jc w:val="both"/>
                        <w:rPr>
                          <w:rFonts w:ascii="Times New Roman" w:hAnsi="Times New Roman" w:cs="Times New Roman"/>
                          <w:sz w:val="14"/>
                          <w:szCs w:val="14"/>
                        </w:rPr>
                      </w:pPr>
                      <w:r w:rsidRPr="0049150C">
                        <w:rPr>
                          <w:rFonts w:ascii="Times New Roman" w:hAnsi="Times New Roman" w:cs="Times New Roman"/>
                          <w:sz w:val="16"/>
                          <w:szCs w:val="16"/>
                        </w:rPr>
                        <w:t>Doutor em Ciência da Informação pela Universidade Federal Fluminense (UFF), mestre em Ciências na área de Informação e Comunicação em saúde pela Fundação Oswaldo Cruz e graduado em Biblioteconomia e Documentação pela UFF. Assessor em Gestão da Casa de Oswaldo Cruz (COC/Fiocruz), atuando em projetos de ciência aberta, preservação digital, bibliotecas virtuais, gestão do conhecimento e estudos métricos da ciência. Coordenador Adjunto do Fórum de Preservação Digital da Fiocruz e coordenador executivo da BVS História e Preservação Cultural das Ciências e da Saúde. Membro do Observatório de Ciência, Tecnologia e Inovação da Fiocruz, do Comitê Gestor do Preservo - Complexo de Acervos da Fiocruz, do Fórum de Ciência Aberta da Fiocruz e do Núcleo de Ciência Aberta da COC. Professor do curso de Biblioteconomia da Universidade Salgado de Oliveira (Universo). Tem experiência na área de Ciência da Informação, atuando principalmente nos seguintes temas: análise de redes sociais, comunicação científica, estudos métricos da informação e preservação digital.</w:t>
                      </w:r>
                    </w:p>
                  </w:txbxContent>
                </v:textbox>
                <w10:wrap type="square" anchorx="margin"/>
              </v:shape>
            </w:pict>
          </mc:Fallback>
        </mc:AlternateContent>
      </w:r>
    </w:p>
    <w:p w14:paraId="4B6AC1E9" w14:textId="54E426C8" w:rsidR="007B6871" w:rsidRDefault="007B6871" w:rsidP="00F850DA">
      <w:pPr>
        <w:rPr>
          <w:rFonts w:ascii="Times New Roman" w:eastAsia="Times New Roman" w:hAnsi="Times New Roman" w:cs="Times New Roman"/>
          <w:kern w:val="0"/>
          <w:sz w:val="24"/>
          <w:szCs w:val="24"/>
          <w:lang w:eastAsia="pt-BR"/>
          <w14:ligatures w14:val="none"/>
        </w:rPr>
      </w:pPr>
    </w:p>
    <w:p w14:paraId="170E78AC" w14:textId="604D3CA2" w:rsidR="007B6871" w:rsidRDefault="007B6871" w:rsidP="00F850DA">
      <w:pPr>
        <w:rPr>
          <w:rFonts w:ascii="Times New Roman" w:eastAsia="Times New Roman" w:hAnsi="Times New Roman" w:cs="Times New Roman"/>
          <w:kern w:val="0"/>
          <w:sz w:val="24"/>
          <w:szCs w:val="24"/>
          <w:lang w:eastAsia="pt-BR"/>
          <w14:ligatures w14:val="none"/>
        </w:rPr>
      </w:pPr>
    </w:p>
    <w:p w14:paraId="0154C22E" w14:textId="29A6043A" w:rsidR="007B6871" w:rsidRDefault="007B6871" w:rsidP="00F850DA">
      <w:pPr>
        <w:rPr>
          <w:rFonts w:ascii="Times New Roman" w:eastAsia="Times New Roman" w:hAnsi="Times New Roman" w:cs="Times New Roman"/>
          <w:kern w:val="0"/>
          <w:sz w:val="24"/>
          <w:szCs w:val="24"/>
          <w:lang w:eastAsia="pt-BR"/>
          <w14:ligatures w14:val="none"/>
        </w:rPr>
      </w:pPr>
    </w:p>
    <w:p w14:paraId="33AE6DF6"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0846BF30"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3DD2965D" w14:textId="1F27B049" w:rsidR="007B6871" w:rsidRDefault="003F199D" w:rsidP="00F850DA">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noProof/>
          <w:kern w:val="0"/>
          <w:sz w:val="24"/>
          <w:szCs w:val="24"/>
          <w:lang w:eastAsia="pt-BR"/>
        </w:rPr>
        <w:drawing>
          <wp:anchor distT="0" distB="0" distL="114300" distR="114300" simplePos="0" relativeHeight="251684864" behindDoc="0" locked="0" layoutInCell="1" allowOverlap="1" wp14:anchorId="1414CFAE" wp14:editId="19D2E3EC">
            <wp:simplePos x="0" y="0"/>
            <wp:positionH relativeFrom="margin">
              <wp:posOffset>103517</wp:posOffset>
            </wp:positionH>
            <wp:positionV relativeFrom="paragraph">
              <wp:posOffset>403572</wp:posOffset>
            </wp:positionV>
            <wp:extent cx="1009015" cy="1314450"/>
            <wp:effectExtent l="0" t="0" r="635" b="0"/>
            <wp:wrapThrough wrapText="bothSides">
              <wp:wrapPolygon edited="0">
                <wp:start x="0" y="0"/>
                <wp:lineTo x="0" y="21287"/>
                <wp:lineTo x="21206" y="21287"/>
                <wp:lineTo x="21206" y="0"/>
                <wp:lineTo x="0" y="0"/>
              </wp:wrapPolygon>
            </wp:wrapThrough>
            <wp:docPr id="2054202040" name="Imagem 1" descr="Mulher de óculos sorr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02040" name="Imagem 1" descr="Mulher de óculos sorrindo&#10;&#10;Descrição gerad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1009015" cy="1314450"/>
                    </a:xfrm>
                    <a:prstGeom prst="rect">
                      <a:avLst/>
                    </a:prstGeom>
                  </pic:spPr>
                </pic:pic>
              </a:graphicData>
            </a:graphic>
            <wp14:sizeRelH relativeFrom="page">
              <wp14:pctWidth>0</wp14:pctWidth>
            </wp14:sizeRelH>
            <wp14:sizeRelV relativeFrom="page">
              <wp14:pctHeight>0</wp14:pctHeight>
            </wp14:sizeRelV>
          </wp:anchor>
        </w:drawing>
      </w:r>
      <w:r w:rsidR="003C3824"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83840" behindDoc="0" locked="0" layoutInCell="1" allowOverlap="1" wp14:anchorId="4B0931F8" wp14:editId="320AB22F">
                <wp:simplePos x="0" y="0"/>
                <wp:positionH relativeFrom="margin">
                  <wp:posOffset>1481455</wp:posOffset>
                </wp:positionH>
                <wp:positionV relativeFrom="paragraph">
                  <wp:posOffset>0</wp:posOffset>
                </wp:positionV>
                <wp:extent cx="4400550" cy="2363470"/>
                <wp:effectExtent l="0" t="0" r="19050" b="17780"/>
                <wp:wrapSquare wrapText="bothSides"/>
                <wp:docPr id="9521370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63470"/>
                        </a:xfrm>
                        <a:prstGeom prst="rect">
                          <a:avLst/>
                        </a:prstGeom>
                        <a:solidFill>
                          <a:srgbClr val="FFFFFF"/>
                        </a:solidFill>
                        <a:ln w="9525">
                          <a:solidFill>
                            <a:srgbClr val="000000"/>
                          </a:solidFill>
                          <a:miter lim="800000"/>
                          <a:headEnd/>
                          <a:tailEnd/>
                        </a:ln>
                      </wps:spPr>
                      <wps:txbx>
                        <w:txbxContent>
                          <w:p w14:paraId="1A7C03A1" w14:textId="77777777" w:rsidR="003C3824" w:rsidRDefault="003C3824" w:rsidP="003C3824">
                            <w:pPr>
                              <w:jc w:val="both"/>
                              <w:rPr>
                                <w:rFonts w:ascii="Times New Roman" w:hAnsi="Times New Roman" w:cs="Times New Roman"/>
                                <w:b/>
                                <w:bCs/>
                                <w:sz w:val="16"/>
                                <w:szCs w:val="16"/>
                              </w:rPr>
                            </w:pPr>
                            <w:r w:rsidRPr="003C3824">
                              <w:rPr>
                                <w:rFonts w:ascii="Times New Roman" w:hAnsi="Times New Roman" w:cs="Times New Roman"/>
                                <w:b/>
                                <w:bCs/>
                                <w:sz w:val="16"/>
                                <w:szCs w:val="16"/>
                              </w:rPr>
                              <w:t>Lídia Silva de Freitas</w:t>
                            </w:r>
                          </w:p>
                          <w:p w14:paraId="32CA2AB2" w14:textId="7232C0A6" w:rsidR="003C3824" w:rsidRPr="005E33C0" w:rsidRDefault="003F199D" w:rsidP="003F199D">
                            <w:pPr>
                              <w:jc w:val="both"/>
                              <w:rPr>
                                <w:rFonts w:ascii="Times New Roman" w:hAnsi="Times New Roman" w:cs="Times New Roman"/>
                                <w:sz w:val="14"/>
                                <w:szCs w:val="14"/>
                              </w:rPr>
                            </w:pPr>
                            <w:r w:rsidRPr="003F199D">
                              <w:rPr>
                                <w:rFonts w:ascii="Times New Roman" w:hAnsi="Times New Roman" w:cs="Times New Roman"/>
                                <w:sz w:val="16"/>
                                <w:szCs w:val="16"/>
                              </w:rPr>
                              <w:t>Possui Bacharelado e Licenciatura em Ciências Sociais pela Universidade Federal do Rio de Janeiro (1978), Mestrado em Ciência da Informação pelo Convênio UFRJ-IBICT (1990) e Doutorado em Ciências da Comunicação, Área de Ciência da Informação, pela Universidade de São Paulo (2001). Realizou Estágios Pós-doutorais junto ao Programa de Pós-graduação em Antropologia Social, Setor de Linguística, do Museu Nacional (UFRJ, 2008/2009) e junto ao Programa de Pós-graduação em Filosofia da UERJ (2014). Ao lado de atividades como Documentalista em instituições públicas e organizações não governamentais, desenvolveu atividades docentes no ensino superior, ingressando no Departamento de Ciência da Informação da Universidade Federal Fluminense em 1992, do qual é Professora Titular aposentada, onde ministrou disciplinas para os Cursos de Arquivologia e Biblioteconomia e Documentação até 2018. Foi Docente Permanente do Programa de Pós-graduação em Ciência da Informação da UFF até 2022, orientando Mestrandos e Doutorandos. Bolsista de Produtividade do CNPq de 2013 a 2016 e Vice-coordenadora do Grupo de Trabalho Estudos Históricos e Epistemológicos da Ciência da Informação da Associação Nacional de Pesquisa e Pós-graduação em Ciência da Informação (ANCIB) no biênio 2013-2014. Seus temas de interesse e produção atuais são: epistemologia, história e arqueologia foucaultiana do campo informacional; Informação, memória e cultura; informação, escrita, documento e leitura; e informação e discurso.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31F8" id="_x0000_s1030" type="#_x0000_t202" style="position:absolute;margin-left:116.65pt;margin-top:0;width:346.5pt;height:186.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">
                <v:textbox>
                  <w:txbxContent>
                    <w:p w14:paraId="1A7C03A1" w14:textId="77777777" w:rsidR="003C3824" w:rsidRDefault="003C3824" w:rsidP="003C3824">
                      <w:pPr>
                        <w:jc w:val="both"/>
                        <w:rPr>
                          <w:rFonts w:ascii="Times New Roman" w:hAnsi="Times New Roman" w:cs="Times New Roman"/>
                          <w:b/>
                          <w:bCs/>
                          <w:sz w:val="16"/>
                          <w:szCs w:val="16"/>
                        </w:rPr>
                      </w:pPr>
                      <w:r w:rsidRPr="003C3824">
                        <w:rPr>
                          <w:rFonts w:ascii="Times New Roman" w:hAnsi="Times New Roman" w:cs="Times New Roman"/>
                          <w:b/>
                          <w:bCs/>
                          <w:sz w:val="16"/>
                          <w:szCs w:val="16"/>
                        </w:rPr>
                        <w:t>Lídia Silva de Freitas</w:t>
                      </w:r>
                    </w:p>
                    <w:p w14:paraId="32CA2AB2" w14:textId="7232C0A6" w:rsidR="003C3824" w:rsidRPr="005E33C0" w:rsidRDefault="003F199D" w:rsidP="003F199D">
                      <w:pPr>
                        <w:jc w:val="both"/>
                        <w:rPr>
                          <w:rFonts w:ascii="Times New Roman" w:hAnsi="Times New Roman" w:cs="Times New Roman"/>
                          <w:sz w:val="14"/>
                          <w:szCs w:val="14"/>
                        </w:rPr>
                      </w:pPr>
                      <w:r w:rsidRPr="003F199D">
                        <w:rPr>
                          <w:rFonts w:ascii="Times New Roman" w:hAnsi="Times New Roman" w:cs="Times New Roman"/>
                          <w:sz w:val="16"/>
                          <w:szCs w:val="16"/>
                        </w:rPr>
                        <w:t>Possui Bacharelado e Licenciatura em Ciências Sociais pela Universidade Federal do Rio de Janeiro (1978), Mestrado em Ciência da Informação pelo Convênio UFRJ-IBICT (1990) e Doutorado em Ciências da Comunicação, Área de Ciência da Informação, pela Universidade de São Paulo (2001). Realizou Estágios Pós-doutorais junto ao Programa de Pós-graduação em Antropologia Social, Setor de Linguística, do Museu Nacional (UFRJ, 2008/2009) e junto ao Programa de Pós-graduação em Filosofia da UERJ (2014). Ao lado de atividades como Documentalista em instituições públicas e organizações não governamentais, desenvolveu atividades docentes no ensino superior, ingressando no Departamento de Ciência da Informação da Universidade Federal Fluminense em 1992, do qual é Professora Titular aposentada, onde ministrou disciplinas para os Cursos de Arquivologia e Biblioteconomia e Documentação até 2018. Foi Docente Permanente do Programa de Pós-graduação em Ciência da Informação da UFF até 2022, orientando Mestrandos e Doutorandos. Bolsista de Produtividade do CNPq de 2013 a 2016 e Vice-coordenadora do Grupo de Trabalho Estudos Históricos e Epistemológicos da Ciência da Informação da Associação Nacional de Pesquisa e Pós-graduação em Ciência da Informação (ANCIB) no biênio 2013-2014. Seus temas de interesse e produção atuais são: epistemologia, história e arqueologia foucaultiana do campo informacional; Informação, memória e cultura; informação, escrita, documento e leitura; e informação e discurso.</w:t>
                      </w:r>
                    </w:p>
                  </w:txbxContent>
                </v:textbox>
                <w10:wrap type="square" anchorx="margin"/>
              </v:shape>
            </w:pict>
          </mc:Fallback>
        </mc:AlternateContent>
      </w:r>
    </w:p>
    <w:p w14:paraId="5989A548" w14:textId="107339C9" w:rsidR="007B6871" w:rsidRDefault="007B6871" w:rsidP="00F850DA">
      <w:pPr>
        <w:rPr>
          <w:rFonts w:ascii="Times New Roman" w:eastAsia="Times New Roman" w:hAnsi="Times New Roman" w:cs="Times New Roman"/>
          <w:kern w:val="0"/>
          <w:sz w:val="24"/>
          <w:szCs w:val="24"/>
          <w:lang w:eastAsia="pt-BR"/>
          <w14:ligatures w14:val="none"/>
        </w:rPr>
      </w:pPr>
    </w:p>
    <w:p w14:paraId="7BFB8B03" w14:textId="100C2977" w:rsidR="007B6871" w:rsidRDefault="007B6871" w:rsidP="00F850DA">
      <w:pPr>
        <w:rPr>
          <w:rFonts w:ascii="Times New Roman" w:eastAsia="Times New Roman" w:hAnsi="Times New Roman" w:cs="Times New Roman"/>
          <w:kern w:val="0"/>
          <w:sz w:val="24"/>
          <w:szCs w:val="24"/>
          <w:lang w:eastAsia="pt-BR"/>
          <w14:ligatures w14:val="none"/>
        </w:rPr>
      </w:pPr>
    </w:p>
    <w:p w14:paraId="30AD7EAF" w14:textId="7FFA67FE" w:rsidR="007B6871" w:rsidRDefault="003F199D" w:rsidP="00F850DA">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noProof/>
          <w:kern w:val="0"/>
          <w:sz w:val="24"/>
          <w:szCs w:val="24"/>
          <w:lang w:eastAsia="pt-BR"/>
        </w:rPr>
        <w:drawing>
          <wp:anchor distT="0" distB="0" distL="114300" distR="114300" simplePos="0" relativeHeight="251687936" behindDoc="0" locked="0" layoutInCell="1" allowOverlap="1" wp14:anchorId="041E98C6" wp14:editId="352D3B7A">
            <wp:simplePos x="0" y="0"/>
            <wp:positionH relativeFrom="column">
              <wp:posOffset>153035</wp:posOffset>
            </wp:positionH>
            <wp:positionV relativeFrom="paragraph">
              <wp:posOffset>196850</wp:posOffset>
            </wp:positionV>
            <wp:extent cx="1026795" cy="1664335"/>
            <wp:effectExtent l="0" t="0" r="1905" b="0"/>
            <wp:wrapThrough wrapText="bothSides">
              <wp:wrapPolygon edited="0">
                <wp:start x="0" y="0"/>
                <wp:lineTo x="0" y="21262"/>
                <wp:lineTo x="21239" y="21262"/>
                <wp:lineTo x="21239" y="0"/>
                <wp:lineTo x="0" y="0"/>
              </wp:wrapPolygon>
            </wp:wrapThrough>
            <wp:docPr id="576126749" name="Imagem 2" descr="Homem com óculos de gra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26749" name="Imagem 2" descr="Homem com óculos de grau&#10;&#10;Descrição gerad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6795" cy="1664335"/>
                    </a:xfrm>
                    <a:prstGeom prst="rect">
                      <a:avLst/>
                    </a:prstGeom>
                  </pic:spPr>
                </pic:pic>
              </a:graphicData>
            </a:graphic>
            <wp14:sizeRelH relativeFrom="page">
              <wp14:pctWidth>0</wp14:pctWidth>
            </wp14:sizeRelH>
            <wp14:sizeRelV relativeFrom="page">
              <wp14:pctHeight>0</wp14:pctHeight>
            </wp14:sizeRelV>
          </wp:anchor>
        </w:drawing>
      </w: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86912" behindDoc="0" locked="0" layoutInCell="1" allowOverlap="1" wp14:anchorId="303C4FF6" wp14:editId="73106122">
                <wp:simplePos x="0" y="0"/>
                <wp:positionH relativeFrom="margin">
                  <wp:posOffset>1490345</wp:posOffset>
                </wp:positionH>
                <wp:positionV relativeFrom="paragraph">
                  <wp:posOffset>67310</wp:posOffset>
                </wp:positionV>
                <wp:extent cx="4400550" cy="2225040"/>
                <wp:effectExtent l="0" t="0" r="19050" b="22860"/>
                <wp:wrapSquare wrapText="bothSides"/>
                <wp:docPr id="16901833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225040"/>
                        </a:xfrm>
                        <a:prstGeom prst="rect">
                          <a:avLst/>
                        </a:prstGeom>
                        <a:solidFill>
                          <a:srgbClr val="FFFFFF"/>
                        </a:solidFill>
                        <a:ln w="9525">
                          <a:solidFill>
                            <a:srgbClr val="000000"/>
                          </a:solidFill>
                          <a:miter lim="800000"/>
                          <a:headEnd/>
                          <a:tailEnd/>
                        </a:ln>
                      </wps:spPr>
                      <wps:txbx>
                        <w:txbxContent>
                          <w:p w14:paraId="3A89FB89" w14:textId="77777777" w:rsidR="003F199D" w:rsidRDefault="003F199D" w:rsidP="003F199D">
                            <w:pPr>
                              <w:jc w:val="both"/>
                              <w:rPr>
                                <w:rFonts w:ascii="Times New Roman" w:hAnsi="Times New Roman" w:cs="Times New Roman"/>
                                <w:b/>
                                <w:bCs/>
                                <w:sz w:val="16"/>
                                <w:szCs w:val="16"/>
                              </w:rPr>
                            </w:pPr>
                            <w:r w:rsidRPr="003F199D">
                              <w:rPr>
                                <w:rFonts w:ascii="Times New Roman" w:hAnsi="Times New Roman" w:cs="Times New Roman"/>
                                <w:b/>
                                <w:bCs/>
                                <w:sz w:val="16"/>
                                <w:szCs w:val="16"/>
                              </w:rPr>
                              <w:t>Tiago Ribeiro</w:t>
                            </w:r>
                          </w:p>
                          <w:p w14:paraId="7C243D24" w14:textId="5C559935" w:rsidR="003F199D" w:rsidRPr="005E33C0" w:rsidRDefault="003F199D" w:rsidP="003F199D">
                            <w:pPr>
                              <w:jc w:val="both"/>
                              <w:rPr>
                                <w:rFonts w:ascii="Times New Roman" w:hAnsi="Times New Roman" w:cs="Times New Roman"/>
                                <w:sz w:val="14"/>
                                <w:szCs w:val="14"/>
                              </w:rPr>
                            </w:pPr>
                            <w:r w:rsidRPr="003F199D">
                              <w:rPr>
                                <w:rFonts w:ascii="Times New Roman" w:hAnsi="Times New Roman" w:cs="Times New Roman"/>
                                <w:sz w:val="16"/>
                                <w:szCs w:val="16"/>
                              </w:rPr>
                              <w:t>Tiago (Jac) Ribeiro [ele/elu] é professore transmasculine contrabinárie. Atua nos cursos de graduação em Arquivologia e Biblioteconomia Documentação no Departamento de Ciência da Informação da Universidade Federal Fluminense (UFF). Realizou estágio pós-doutoral em Sociologia no IUPERJ/UCAM como bolsiste da CAPES (2014-2015), e obteve os títulos de doutorado em História das Ciências e da Saúde pela Fiocruz (2012), mestrado em História pela UERJ (2003), especialização em História do Brasil pela UFF (2001), bacharelado e licenciatura em História também pela UFF (1999), e bacharelado em Arquivologia pela UNIRIO (2015). Tem experiência profissional nos arquivos da Casa de Rui Barbosa, Casa de Oswaldo Cruz, Museu de Astronomia e Ciências Afins e Instituto Moreira Salles, entre outras instituições. Seus interesses dentro do campo infodocumentário são: arquivos e direitos humanos, epistemologias decoloniais, estudos de gênero e sexualidade, história dos arquivos e da arquivologia e memória social. Coordena o grupo de estudos, pesquisas e extensão Nómadas - Informação, Memória, Documento (UFF), e é pesquisadore do Flores Raras - Grupo de Estudos e Pesquisas Educação, Comunicação e Feminismos (UFJF/UFSCar) e do Degenera - Núcleo de Pesquisa e Desconstrução de Gêneros (UERJ), todos cadastrados no Diretório do CNPq. Filiade à Articulação Brasileira Não Binárie (ABRANB) e ao Instituto Brasileiro de Transmasculinidades (IBRAT).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C4FF6" id="_x0000_s1031" type="#_x0000_t202" style="position:absolute;margin-left:117.35pt;margin-top:5.3pt;width:346.5pt;height:175.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">
                <v:textbox>
                  <w:txbxContent>
                    <w:p w14:paraId="3A89FB89" w14:textId="77777777" w:rsidR="003F199D" w:rsidRDefault="003F199D" w:rsidP="003F199D">
                      <w:pPr>
                        <w:jc w:val="both"/>
                        <w:rPr>
                          <w:rFonts w:ascii="Times New Roman" w:hAnsi="Times New Roman" w:cs="Times New Roman"/>
                          <w:b/>
                          <w:bCs/>
                          <w:sz w:val="16"/>
                          <w:szCs w:val="16"/>
                        </w:rPr>
                      </w:pPr>
                      <w:r w:rsidRPr="003F199D">
                        <w:rPr>
                          <w:rFonts w:ascii="Times New Roman" w:hAnsi="Times New Roman" w:cs="Times New Roman"/>
                          <w:b/>
                          <w:bCs/>
                          <w:sz w:val="16"/>
                          <w:szCs w:val="16"/>
                        </w:rPr>
                        <w:t>Tiago Ribeiro</w:t>
                      </w:r>
                    </w:p>
                    <w:p w14:paraId="7C243D24" w14:textId="5C559935" w:rsidR="003F199D" w:rsidRPr="005E33C0" w:rsidRDefault="003F199D" w:rsidP="003F199D">
                      <w:pPr>
                        <w:jc w:val="both"/>
                        <w:rPr>
                          <w:rFonts w:ascii="Times New Roman" w:hAnsi="Times New Roman" w:cs="Times New Roman"/>
                          <w:sz w:val="14"/>
                          <w:szCs w:val="14"/>
                        </w:rPr>
                      </w:pPr>
                      <w:r w:rsidRPr="003F199D">
                        <w:rPr>
                          <w:rFonts w:ascii="Times New Roman" w:hAnsi="Times New Roman" w:cs="Times New Roman"/>
                          <w:sz w:val="16"/>
                          <w:szCs w:val="16"/>
                        </w:rPr>
                        <w:t>Tiago (Jac) Ribeiro [ele/elu] é professore transmasculine contrabinárie. Atua nos cursos de graduação em Arquivologia e Biblioteconomia Documentação no Departamento de Ciência da Informação da Universidade Federal Fluminense (UFF). Realizou estágio pós-doutoral em Sociologia no IUPERJ/UCAM como bolsiste da CAPES (2014-2015), e obteve os títulos de doutorado em História das Ciências e da Saúde pela Fiocruz (2012), mestrado em História pela UERJ (2003), especialização em História do Brasil pela UFF (2001), bacharelado e licenciatura em História também pela UFF (1999), e bacharelado em Arquivologia pela UNIRIO (2015). Tem experiência profissional nos arquivos da Casa de Rui Barbosa, Casa de Oswaldo Cruz, Museu de Astronomia e Ciências Afins e Instituto Moreira Salles, entre outras instituições. Seus interesses dentro do campo infodocumentário são: arquivos e direitos humanos, epistemologias decoloniais, estudos de gênero e sexualidade, história dos arquivos e da arquivologia e memória social. Coordena o grupo de estudos, pesquisas e extensão Nómadas - Informação, Memória, Documento (UFF), e é pesquisadore do Flores Raras - Grupo de Estudos e Pesquisas Educação, Comunicação e Feminismos (UFJF/UFSCar) e do Degenera - Núcleo de Pesquisa e Desconstrução de Gêneros (UERJ), todos cadastrados no Diretório do CNPq. Filiade à Articulação Brasileira Não Binárie (ABRANB) e ao Instituto Brasileiro de Transmasculinidades (IBRAT).</w:t>
                      </w:r>
                    </w:p>
                  </w:txbxContent>
                </v:textbox>
                <w10:wrap type="square" anchorx="margin"/>
              </v:shape>
            </w:pict>
          </mc:Fallback>
        </mc:AlternateContent>
      </w:r>
    </w:p>
    <w:p w14:paraId="14C90FE8" w14:textId="33C04CFB" w:rsidR="007B6871" w:rsidRDefault="007B6871" w:rsidP="00F850DA">
      <w:pPr>
        <w:rPr>
          <w:rFonts w:ascii="Times New Roman" w:eastAsia="Times New Roman" w:hAnsi="Times New Roman" w:cs="Times New Roman"/>
          <w:kern w:val="0"/>
          <w:sz w:val="24"/>
          <w:szCs w:val="24"/>
          <w:lang w:eastAsia="pt-BR"/>
          <w14:ligatures w14:val="none"/>
        </w:rPr>
      </w:pPr>
    </w:p>
    <w:p w14:paraId="7D4F0020" w14:textId="550F1114" w:rsidR="007B6871" w:rsidRDefault="007B6871" w:rsidP="00F850DA">
      <w:pPr>
        <w:rPr>
          <w:rFonts w:ascii="Times New Roman" w:eastAsia="Times New Roman" w:hAnsi="Times New Roman" w:cs="Times New Roman"/>
          <w:kern w:val="0"/>
          <w:sz w:val="24"/>
          <w:szCs w:val="24"/>
          <w:lang w:eastAsia="pt-BR"/>
          <w14:ligatures w14:val="none"/>
        </w:rPr>
      </w:pPr>
    </w:p>
    <w:p w14:paraId="0790E966" w14:textId="47162635" w:rsidR="007B6871" w:rsidRDefault="00BB7CE0"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25824" behindDoc="0" locked="0" layoutInCell="1" allowOverlap="1" wp14:anchorId="28C85687" wp14:editId="44215D1A">
                <wp:simplePos x="0" y="0"/>
                <wp:positionH relativeFrom="margin">
                  <wp:posOffset>1461255</wp:posOffset>
                </wp:positionH>
                <wp:positionV relativeFrom="paragraph">
                  <wp:posOffset>4445</wp:posOffset>
                </wp:positionV>
                <wp:extent cx="4400550" cy="2225040"/>
                <wp:effectExtent l="0" t="0" r="19050" b="22860"/>
                <wp:wrapSquare wrapText="bothSides"/>
                <wp:docPr id="16060225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225040"/>
                        </a:xfrm>
                        <a:prstGeom prst="rect">
                          <a:avLst/>
                        </a:prstGeom>
                        <a:solidFill>
                          <a:srgbClr val="FFFFFF"/>
                        </a:solidFill>
                        <a:ln w="9525">
                          <a:solidFill>
                            <a:srgbClr val="000000"/>
                          </a:solidFill>
                          <a:miter lim="800000"/>
                          <a:headEnd/>
                          <a:tailEnd/>
                        </a:ln>
                      </wps:spPr>
                      <wps:txbx>
                        <w:txbxContent>
                          <w:p w14:paraId="49AE41E9" w14:textId="77777777" w:rsidR="00BB7CE0" w:rsidRDefault="00BB7CE0" w:rsidP="00BB7CE0">
                            <w:pPr>
                              <w:jc w:val="both"/>
                              <w:rPr>
                                <w:rFonts w:ascii="Times New Roman" w:hAnsi="Times New Roman" w:cs="Times New Roman"/>
                                <w:b/>
                                <w:bCs/>
                                <w:sz w:val="16"/>
                                <w:szCs w:val="16"/>
                              </w:rPr>
                            </w:pPr>
                            <w:r w:rsidRPr="00EA4E74">
                              <w:rPr>
                                <w:rFonts w:ascii="Times New Roman" w:hAnsi="Times New Roman" w:cs="Times New Roman"/>
                                <w:b/>
                                <w:bCs/>
                                <w:sz w:val="16"/>
                                <w:szCs w:val="16"/>
                              </w:rPr>
                              <w:t>Fernanda Bouth Pinto</w:t>
                            </w:r>
                          </w:p>
                          <w:p w14:paraId="3D23556C" w14:textId="77777777" w:rsidR="00BB7CE0" w:rsidRPr="005E33C0" w:rsidRDefault="00BB7CE0" w:rsidP="00BB7CE0">
                            <w:pPr>
                              <w:jc w:val="both"/>
                              <w:rPr>
                                <w:rFonts w:ascii="Times New Roman" w:hAnsi="Times New Roman" w:cs="Times New Roman"/>
                                <w:sz w:val="14"/>
                                <w:szCs w:val="14"/>
                              </w:rPr>
                            </w:pPr>
                            <w:r w:rsidRPr="00282442">
                              <w:rPr>
                                <w:rFonts w:ascii="Times New Roman" w:hAnsi="Times New Roman" w:cs="Times New Roman"/>
                                <w:sz w:val="16"/>
                                <w:szCs w:val="16"/>
                              </w:rPr>
                              <w:t>Doutora em Ciência da Informação (2023) pelo Programa de Pós-Graduação em Ciência da Informação da Universidade Federal Fluminense. Mestre (2017) pelo Programa de Pós-Graduação em Gestão de Documentos e Arquivos da UNIRIO, pós-graduada em Gestão de Documentos e Informações e graduada em Arquivologia pela Universidade Federal Fluminense. Possui graduação em História pela Universidade do Estado do Rio de Janeiro. Tem experiência na área de História e Arquivos, possui pós-graduação lato sensu em História do Brasil. Experiência na área da pesquisa, Gestão de documentos, Identificação arquivística, Classificação de documentos de arquivo e História dos Arquivos e da Arquivologia. Atuou na elaboração de instrumentos de gestão documental como Plano de Classificação, Tabela de Temporalidade de Documentos e Manual de Gestão Documental, assim como na produção de Vocabulário Controlado. Trabalha atualmente no Núcleo de Arquivo e Documentação Institucional do Instituto Nacional de Infectologia Evandro Chagas/INI Fiocruz, atuando na organização e arquivamento de prontuários do paciente, gestão de documentos do Hospital, implementação do prontuário eletrônico e revisão do prontuário do paciente. Colabora com as atividades do SIGDA - Sistema Integrado de Gestão de Documentos e Arquivos da Fiocruz. Associada à ALA - Asociación Latinoamericana de Archivos, é membro do Grupo de Trabajo para la Historia de la Archivistica en Iberoamérica (GTHAI).</w:t>
                            </w:r>
                            <w:r>
                              <w:rPr>
                                <w:rFonts w:ascii="Times New Roman" w:hAnsi="Times New Roman" w:cs="Times New Roman"/>
                                <w:noProof/>
                                <w:sz w:val="14"/>
                                <w:szCs w:val="14"/>
                              </w:rPr>
                              <w:drawing>
                                <wp:inline distT="0" distB="0" distL="0" distR="0" wp14:anchorId="0F90D88B" wp14:editId="42D00AD6">
                                  <wp:extent cx="1138687" cy="1138687"/>
                                  <wp:effectExtent l="0" t="0" r="4445" b="4445"/>
                                  <wp:docPr id="1059425535" name="Imagem 3" descr="Mulher sorrindo pou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5535" name="Imagem 3" descr="Mulher sorrindo pousando para foto&#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1141635" cy="11416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85687" id="_x0000_s1032" type="#_x0000_t202" style="position:absolute;margin-left:115.05pt;margin-top:.35pt;width:346.5pt;height:175.2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">
                <v:textbox>
                  <w:txbxContent>
                    <w:p w14:paraId="49AE41E9" w14:textId="77777777" w:rsidR="00BB7CE0" w:rsidRDefault="00BB7CE0" w:rsidP="00BB7CE0">
                      <w:pPr>
                        <w:jc w:val="both"/>
                        <w:rPr>
                          <w:rFonts w:ascii="Times New Roman" w:hAnsi="Times New Roman" w:cs="Times New Roman"/>
                          <w:b/>
                          <w:bCs/>
                          <w:sz w:val="16"/>
                          <w:szCs w:val="16"/>
                        </w:rPr>
                      </w:pPr>
                      <w:r w:rsidRPr="00EA4E74">
                        <w:rPr>
                          <w:rFonts w:ascii="Times New Roman" w:hAnsi="Times New Roman" w:cs="Times New Roman"/>
                          <w:b/>
                          <w:bCs/>
                          <w:sz w:val="16"/>
                          <w:szCs w:val="16"/>
                        </w:rPr>
                        <w:t>Fernanda Bouth Pinto</w:t>
                      </w:r>
                    </w:p>
                    <w:p w14:paraId="3D23556C" w14:textId="77777777" w:rsidR="00BB7CE0" w:rsidRPr="005E33C0" w:rsidRDefault="00BB7CE0" w:rsidP="00BB7CE0">
                      <w:pPr>
                        <w:jc w:val="both"/>
                        <w:rPr>
                          <w:rFonts w:ascii="Times New Roman" w:hAnsi="Times New Roman" w:cs="Times New Roman"/>
                          <w:sz w:val="14"/>
                          <w:szCs w:val="14"/>
                        </w:rPr>
                      </w:pPr>
                      <w:r w:rsidRPr="00282442">
                        <w:rPr>
                          <w:rFonts w:ascii="Times New Roman" w:hAnsi="Times New Roman" w:cs="Times New Roman"/>
                          <w:sz w:val="16"/>
                          <w:szCs w:val="16"/>
                        </w:rPr>
                        <w:t>Doutora em Ciência da Informação (2023) pelo Programa de Pós-Graduação em Ciência da Informação da Universidade Federal Fluminense. Mestre (2017) pelo Programa de Pós-Graduação em Gestão de Documentos e Arquivos da UNIRIO, pós-graduada em Gestão de Documentos e Informações e graduada em Arquivologia pela Universidade Federal Fluminense. Possui graduação em História pela Universidade do Estado do Rio de Janeiro. Tem experiência na área de História e Arquivos, possui pós-graduação lato sensu em História do Brasil. Experiência na área da pesquisa, Gestão de documentos, Identificação arquivística, Classificação de documentos de arquivo e História dos Arquivos e da Arquivologia. Atuou na elaboração de instrumentos de gestão documental como Plano de Classificação, Tabela de Temporalidade de Documentos e Manual de Gestão Documental, assim como na produção de Vocabulário Controlado. Trabalha atualmente no Núcleo de Arquivo e Documentação Institucional do Instituto Nacional de Infectologia Evandro Chagas/INI Fiocruz, atuando na organização e arquivamento de prontuários do paciente, gestão de documentos do Hospital, implementação do prontuário eletrônico e revisão do prontuário do paciente. Colabora com as atividades do SIGDA - Sistema Integrado de Gestão de Documentos e Arquivos da Fiocruz. Associada à ALA - Asociación Latinoamericana de Archivos, é membro do Grupo de Trabajo para la Historia de la Archivistica en Iberoamérica (GTHAI).</w:t>
                      </w:r>
                      <w:r>
                        <w:rPr>
                          <w:rFonts w:ascii="Times New Roman" w:hAnsi="Times New Roman" w:cs="Times New Roman"/>
                          <w:noProof/>
                          <w:sz w:val="14"/>
                          <w:szCs w:val="14"/>
                        </w:rPr>
                        <w:drawing>
                          <wp:inline distT="0" distB="0" distL="0" distR="0" wp14:anchorId="0F90D88B" wp14:editId="42D00AD6">
                            <wp:extent cx="1138687" cy="1138687"/>
                            <wp:effectExtent l="0" t="0" r="4445" b="4445"/>
                            <wp:docPr id="1059425535" name="Imagem 3" descr="Mulher sorrindo pou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5535" name="Imagem 3" descr="Mulher sorrindo pousando para foto&#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1141635" cy="1141635"/>
                                    </a:xfrm>
                                    <a:prstGeom prst="rect">
                                      <a:avLst/>
                                    </a:prstGeom>
                                  </pic:spPr>
                                </pic:pic>
                              </a:graphicData>
                            </a:graphic>
                          </wp:inline>
                        </w:drawing>
                      </w:r>
                    </w:p>
                  </w:txbxContent>
                </v:textbox>
                <w10:wrap type="square" anchorx="margin"/>
              </v:shape>
            </w:pict>
          </mc:Fallback>
        </mc:AlternateContent>
      </w:r>
    </w:p>
    <w:p w14:paraId="6003EA21" w14:textId="63441CEA" w:rsidR="007B6871" w:rsidRDefault="00BB7CE0" w:rsidP="00F850DA">
      <w:pPr>
        <w:rPr>
          <w:rFonts w:ascii="Times New Roman" w:eastAsia="Times New Roman" w:hAnsi="Times New Roman" w:cs="Times New Roman"/>
          <w:kern w:val="0"/>
          <w:sz w:val="24"/>
          <w:szCs w:val="24"/>
          <w:lang w:eastAsia="pt-BR"/>
          <w14:ligatures w14:val="none"/>
        </w:rPr>
      </w:pPr>
      <w:r>
        <w:rPr>
          <w:noProof/>
        </w:rPr>
        <w:drawing>
          <wp:inline distT="0" distB="0" distL="0" distR="0" wp14:anchorId="6C9F126B" wp14:editId="5C61B7B3">
            <wp:extent cx="1207698" cy="1207698"/>
            <wp:effectExtent l="0" t="0" r="0" b="0"/>
            <wp:docPr id="1465485949" name="Imagem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6953" cy="1216953"/>
                    </a:xfrm>
                    <a:prstGeom prst="rect">
                      <a:avLst/>
                    </a:prstGeom>
                    <a:noFill/>
                    <a:ln>
                      <a:noFill/>
                    </a:ln>
                  </pic:spPr>
                </pic:pic>
              </a:graphicData>
            </a:graphic>
          </wp:inline>
        </w:drawing>
      </w:r>
    </w:p>
    <w:p w14:paraId="71DF0C95"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39FF65AF" w14:textId="39BA5FB2" w:rsidR="007B6871" w:rsidRDefault="007B6871" w:rsidP="00F850DA">
      <w:pPr>
        <w:rPr>
          <w:rFonts w:ascii="Times New Roman" w:eastAsia="Times New Roman" w:hAnsi="Times New Roman" w:cs="Times New Roman"/>
          <w:kern w:val="0"/>
          <w:sz w:val="24"/>
          <w:szCs w:val="24"/>
          <w:lang w:eastAsia="pt-BR"/>
          <w14:ligatures w14:val="none"/>
        </w:rPr>
      </w:pPr>
    </w:p>
    <w:p w14:paraId="34FBE1EB"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084B8953" w14:textId="1665EA1D" w:rsidR="007B6871" w:rsidRDefault="007B6871" w:rsidP="00F850DA">
      <w:pPr>
        <w:rPr>
          <w:rFonts w:ascii="Times New Roman" w:eastAsia="Times New Roman" w:hAnsi="Times New Roman" w:cs="Times New Roman"/>
          <w:kern w:val="0"/>
          <w:sz w:val="24"/>
          <w:szCs w:val="24"/>
          <w:lang w:eastAsia="pt-BR"/>
          <w14:ligatures w14:val="none"/>
        </w:rPr>
      </w:pPr>
    </w:p>
    <w:p w14:paraId="2C59A0C2" w14:textId="1B458791" w:rsidR="007B6871" w:rsidRDefault="007B6871" w:rsidP="00F850DA">
      <w:pPr>
        <w:rPr>
          <w:rFonts w:ascii="Times New Roman" w:eastAsia="Times New Roman" w:hAnsi="Times New Roman" w:cs="Times New Roman"/>
          <w:kern w:val="0"/>
          <w:sz w:val="24"/>
          <w:szCs w:val="24"/>
          <w:lang w:eastAsia="pt-BR"/>
          <w14:ligatures w14:val="none"/>
        </w:rPr>
      </w:pPr>
    </w:p>
    <w:p w14:paraId="0CC99468"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718B39D3" w14:textId="209D32B0" w:rsidR="007B6871" w:rsidRDefault="007B6871" w:rsidP="00F850DA">
      <w:pPr>
        <w:rPr>
          <w:rFonts w:ascii="Times New Roman" w:eastAsia="Times New Roman" w:hAnsi="Times New Roman" w:cs="Times New Roman"/>
          <w:kern w:val="0"/>
          <w:sz w:val="24"/>
          <w:szCs w:val="24"/>
          <w:lang w:eastAsia="pt-BR"/>
          <w14:ligatures w14:val="none"/>
        </w:rPr>
      </w:pPr>
    </w:p>
    <w:p w14:paraId="3FADD04C" w14:textId="3723B858" w:rsidR="007B6871" w:rsidRDefault="009C76D4"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w:lastRenderedPageBreak/>
        <mc:AlternateContent>
          <mc:Choice Requires="wps">
            <w:drawing>
              <wp:anchor distT="45720" distB="45720" distL="114300" distR="114300" simplePos="0" relativeHeight="251694080" behindDoc="0" locked="0" layoutInCell="1" allowOverlap="1" wp14:anchorId="74F2194F" wp14:editId="00471D5E">
                <wp:simplePos x="0" y="0"/>
                <wp:positionH relativeFrom="margin">
                  <wp:align>right</wp:align>
                </wp:positionH>
                <wp:positionV relativeFrom="paragraph">
                  <wp:posOffset>2863</wp:posOffset>
                </wp:positionV>
                <wp:extent cx="4400550" cy="2070100"/>
                <wp:effectExtent l="0" t="0" r="19050" b="25400"/>
                <wp:wrapSquare wrapText="bothSides"/>
                <wp:docPr id="10753937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70339"/>
                        </a:xfrm>
                        <a:prstGeom prst="rect">
                          <a:avLst/>
                        </a:prstGeom>
                        <a:solidFill>
                          <a:srgbClr val="FFFFFF"/>
                        </a:solidFill>
                        <a:ln w="9525">
                          <a:solidFill>
                            <a:srgbClr val="000000"/>
                          </a:solidFill>
                          <a:miter lim="800000"/>
                          <a:headEnd/>
                          <a:tailEnd/>
                        </a:ln>
                      </wps:spPr>
                      <wps:txbx>
                        <w:txbxContent>
                          <w:p w14:paraId="2A84A831" w14:textId="77777777" w:rsid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Clarissa Moreira dos Santos Schmidt</w:t>
                            </w:r>
                            <w:r w:rsidRPr="009C76D4">
                              <w:rPr>
                                <w:rFonts w:ascii="Times New Roman" w:hAnsi="Times New Roman" w:cs="Times New Roman"/>
                                <w:b/>
                                <w:bCs/>
                                <w:sz w:val="16"/>
                                <w:szCs w:val="16"/>
                              </w:rPr>
                              <w:t xml:space="preserve"> </w:t>
                            </w:r>
                          </w:p>
                          <w:p w14:paraId="262A9E10" w14:textId="6EC22EA7" w:rsidR="009C76D4" w:rsidRPr="005E33C0"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Professora do Departamento de Ciência da Informação da Universidade Federal Fluminense - UFF. Doutora em Ciência da Informação (2012) pelo Programa de Pós-graduação em Ciência da Informação da Escola de Comunicações e Artes da Universidade de São Paulo (ECA-USP). Sua Tese intitulada Arquivologia e a construção de seu objeto científico: trajetórias, concepções, contextualizações, foi a vencedora do II Prêmio Maria Odila Fonseca, oferecido pela AAB - Associação dos Arquivistas Brasileiros. Graduada em Arquivologia (2015) pela Universidade Federal do Estado do Rio de Janeiro (UNIRIO). Mestre em História Social (2005) sendo bolsista CAPES, e bacharel em Ciências Sociais (2001), ambos pela Pontifícia Universidade Católica de São Paulo (PUC-SP). É professora no Programa de Pós-graduação em Ciência da Informação da Universidade Federal Fluminense - PPGCI/UFF, além de pertencer ao quadro diretivo da Associação de Arquivistas de São Paulo (ARQ-SP) a partir de 2008, ocupando desde 2015 o cargo de Vice-presidente. Está coordenadora do Curso de Graduação em Arquivologia desde 06/2017 e Vice-Diretora do Instituto de Arte e Comunicação Social a partir de 01/2020. Temas de interesse: classificação em arquivos, história dos arquivos e da Arquivologia, gestão de documentos, epistemologia arquivística.</w:t>
                            </w:r>
                            <w:r w:rsidRPr="009C76D4">
                              <w:rPr>
                                <w:rFonts w:ascii="Times New Roman" w:hAnsi="Times New Roman" w:cs="Times New Roman"/>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194F" id="_x0000_s1033" type="#_x0000_t202" style="position:absolute;margin-left:295.3pt;margin-top:.25pt;width:346.5pt;height:163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">
                <v:textbox>
                  <w:txbxContent>
                    <w:p w14:paraId="2A84A831" w14:textId="77777777" w:rsid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Clarissa Moreira dos Santos Schmidt</w:t>
                      </w:r>
                      <w:r w:rsidRPr="009C76D4">
                        <w:rPr>
                          <w:rFonts w:ascii="Times New Roman" w:hAnsi="Times New Roman" w:cs="Times New Roman"/>
                          <w:b/>
                          <w:bCs/>
                          <w:sz w:val="16"/>
                          <w:szCs w:val="16"/>
                        </w:rPr>
                        <w:t xml:space="preserve"> </w:t>
                      </w:r>
                    </w:p>
                    <w:p w14:paraId="262A9E10" w14:textId="6EC22EA7" w:rsidR="009C76D4" w:rsidRPr="005E33C0"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Professora do Departamento de Ciência da Informação da Universidade Federal Fluminense - UFF. Doutora em Ciência da Informação (2012) pelo Programa de Pós-graduação em Ciência da Informação da Escola de Comunicações e Artes da Universidade de São Paulo (ECA-USP). Sua Tese intitulada Arquivologia e a construção de seu objeto científico: trajetórias, concepções, contextualizações, foi a vencedora do II Prêmio Maria Odila Fonseca, oferecido pela AAB - Associação dos Arquivistas Brasileiros. Graduada em Arquivologia (2015) pela Universidade Federal do Estado do Rio de Janeiro (UNIRIO). Mestre em História Social (2005) sendo bolsista CAPES, e bacharel em Ciências Sociais (2001), ambos pela Pontifícia Universidade Católica de São Paulo (PUC-SP). É professora no Programa de Pós-graduação em Ciência da Informação da Universidade Federal Fluminense - PPGCI/UFF, além de pertencer ao quadro diretivo da Associação de Arquivistas de São Paulo (ARQ-SP) a partir de 2008, ocupando desde 2015 o cargo de Vice-presidente. Está coordenadora do Curso de Graduação em Arquivologia desde 06/2017 e Vice-Diretora do Instituto de Arte e Comunicação Social a partir de 01/2020. Temas de interesse: classificação em arquivos, história dos arquivos e da Arquivologia, gestão de documentos, epistemologia arquivística.</w:t>
                      </w:r>
                      <w:r w:rsidRPr="009C76D4">
                        <w:rPr>
                          <w:rFonts w:ascii="Times New Roman" w:hAnsi="Times New Roman" w:cs="Times New Roman"/>
                          <w:sz w:val="16"/>
                          <w:szCs w:val="16"/>
                        </w:rPr>
                        <w:t xml:space="preserve"> </w:t>
                      </w:r>
                    </w:p>
                  </w:txbxContent>
                </v:textbox>
                <w10:wrap type="square" anchorx="margin"/>
              </v:shape>
            </w:pict>
          </mc:Fallback>
        </mc:AlternateContent>
      </w:r>
    </w:p>
    <w:p w14:paraId="0F139A2B" w14:textId="1648CBCD" w:rsidR="007B6871" w:rsidRDefault="009C76D4" w:rsidP="00F850DA">
      <w:pPr>
        <w:rPr>
          <w:rFonts w:ascii="Times New Roman" w:eastAsia="Times New Roman" w:hAnsi="Times New Roman" w:cs="Times New Roman"/>
          <w:kern w:val="0"/>
          <w:sz w:val="24"/>
          <w:szCs w:val="24"/>
          <w:lang w:eastAsia="pt-BR"/>
          <w14:ligatures w14:val="none"/>
        </w:rPr>
      </w:pPr>
      <w:r>
        <w:rPr>
          <w:noProof/>
        </w:rPr>
        <w:drawing>
          <wp:inline distT="0" distB="0" distL="0" distR="0" wp14:anchorId="67511389" wp14:editId="2B9B2BF1">
            <wp:extent cx="1121434" cy="1492196"/>
            <wp:effectExtent l="0" t="0" r="2540" b="0"/>
            <wp:docPr id="414143904" name="Imagem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0678" cy="1504497"/>
                    </a:xfrm>
                    <a:prstGeom prst="rect">
                      <a:avLst/>
                    </a:prstGeom>
                    <a:noFill/>
                    <a:ln>
                      <a:noFill/>
                    </a:ln>
                  </pic:spPr>
                </pic:pic>
              </a:graphicData>
            </a:graphic>
          </wp:inline>
        </w:drawing>
      </w:r>
    </w:p>
    <w:p w14:paraId="7C59DA1B" w14:textId="49CF75A0" w:rsidR="007B6871" w:rsidRDefault="009C76D4" w:rsidP="00F850DA">
      <w:pPr>
        <w:rPr>
          <w:rFonts w:ascii="Times New Roman" w:eastAsia="Times New Roman" w:hAnsi="Times New Roman" w:cs="Times New Roman"/>
          <w:kern w:val="0"/>
          <w:sz w:val="24"/>
          <w:szCs w:val="24"/>
          <w:lang w:eastAsia="pt-BR"/>
          <w14:ligatures w14:val="none"/>
        </w:rPr>
      </w:pPr>
      <w:r>
        <w:rPr>
          <w:noProof/>
        </w:rPr>
        <w:drawing>
          <wp:anchor distT="0" distB="0" distL="114300" distR="114300" simplePos="0" relativeHeight="251697152" behindDoc="0" locked="0" layoutInCell="1" allowOverlap="1" wp14:anchorId="64F3CF22" wp14:editId="21CF5FCE">
            <wp:simplePos x="0" y="0"/>
            <wp:positionH relativeFrom="margin">
              <wp:align>left</wp:align>
            </wp:positionH>
            <wp:positionV relativeFrom="paragraph">
              <wp:posOffset>385445</wp:posOffset>
            </wp:positionV>
            <wp:extent cx="982980" cy="1308735"/>
            <wp:effectExtent l="0" t="0" r="7620" b="5715"/>
            <wp:wrapThrough wrapText="bothSides">
              <wp:wrapPolygon edited="0">
                <wp:start x="0" y="0"/>
                <wp:lineTo x="0" y="21380"/>
                <wp:lineTo x="21349" y="21380"/>
                <wp:lineTo x="21349" y="0"/>
                <wp:lineTo x="0" y="0"/>
              </wp:wrapPolygon>
            </wp:wrapThrough>
            <wp:docPr id="2028947098" name="Imagem 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298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65088" w14:textId="396937AB" w:rsidR="007B6871" w:rsidRDefault="009C76D4"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99200" behindDoc="0" locked="0" layoutInCell="1" allowOverlap="1" wp14:anchorId="6E203D46" wp14:editId="4EAF0144">
                <wp:simplePos x="0" y="0"/>
                <wp:positionH relativeFrom="margin">
                  <wp:posOffset>1292117</wp:posOffset>
                </wp:positionH>
                <wp:positionV relativeFrom="paragraph">
                  <wp:posOffset>1906917</wp:posOffset>
                </wp:positionV>
                <wp:extent cx="4400550" cy="1129665"/>
                <wp:effectExtent l="0" t="0" r="19050" b="13335"/>
                <wp:wrapSquare wrapText="bothSides"/>
                <wp:docPr id="14786448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29665"/>
                        </a:xfrm>
                        <a:prstGeom prst="rect">
                          <a:avLst/>
                        </a:prstGeom>
                        <a:solidFill>
                          <a:srgbClr val="FFFFFF"/>
                        </a:solidFill>
                        <a:ln w="9525">
                          <a:solidFill>
                            <a:srgbClr val="000000"/>
                          </a:solidFill>
                          <a:miter lim="800000"/>
                          <a:headEnd/>
                          <a:tailEnd/>
                        </a:ln>
                      </wps:spPr>
                      <wps:txbx>
                        <w:txbxContent>
                          <w:p w14:paraId="24FC849E" w14:textId="77777777" w:rsid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Durval Vieira Pereira</w:t>
                            </w:r>
                            <w:r w:rsidRPr="009C76D4">
                              <w:rPr>
                                <w:rFonts w:ascii="Times New Roman" w:hAnsi="Times New Roman" w:cs="Times New Roman"/>
                                <w:b/>
                                <w:bCs/>
                                <w:sz w:val="16"/>
                                <w:szCs w:val="16"/>
                              </w:rPr>
                              <w:t xml:space="preserve"> </w:t>
                            </w:r>
                          </w:p>
                          <w:p w14:paraId="3AF75626" w14:textId="2F6EBB94" w:rsidR="009C76D4" w:rsidRPr="005E33C0"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Possui graduação em Biblioteconomia e Documentação pela Universidade Federal Fluminense (2005), mestrado em Ciência da Informação pela Universidade Federal Fluminense (2014) e doutorado em Ciências da Informação pela Universidade Federal Fluminense (2022). Atualmente é bibliotecário da Universidade Federal do Estado do Rio de Janeiro. Tem experiência na área de Ciência da Informação, com ênfase em Biblioteconomia, atuando principalmente nos seguintes temas: arquivo privado, previdência social, dados governamentais abertos, coleção especial e desenvolvimento de coleções.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03D46" id="_x0000_s1034" type="#_x0000_t202" style="position:absolute;margin-left:101.75pt;margin-top:150.15pt;width:346.5pt;height:88.9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">
                <v:textbox>
                  <w:txbxContent>
                    <w:p w14:paraId="24FC849E" w14:textId="77777777" w:rsid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Durval Vieira Pereira</w:t>
                      </w:r>
                      <w:r w:rsidRPr="009C76D4">
                        <w:rPr>
                          <w:rFonts w:ascii="Times New Roman" w:hAnsi="Times New Roman" w:cs="Times New Roman"/>
                          <w:b/>
                          <w:bCs/>
                          <w:sz w:val="16"/>
                          <w:szCs w:val="16"/>
                        </w:rPr>
                        <w:t xml:space="preserve"> </w:t>
                      </w:r>
                    </w:p>
                    <w:p w14:paraId="3AF75626" w14:textId="2F6EBB94" w:rsidR="009C76D4" w:rsidRPr="005E33C0"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Possui graduação em Biblioteconomia e Documentação pela Universidade Federal Fluminense (2005), mestrado em Ciência da Informação pela Universidade Federal Fluminense (2014) e doutorado em Ciências da Informação pela Universidade Federal Fluminense (2022). Atualmente é bibliotecário da Universidade Federal do Estado do Rio de Janeiro. Tem experiência na área de Ciência da Informação, com ênfase em Biblioteconomia, atuando principalmente nos seguintes temas: arquivo privado, previdência social, dados governamentais abertos, coleção especial e desenvolvimento de coleções.</w:t>
                      </w:r>
                    </w:p>
                  </w:txbxContent>
                </v:textbox>
                <w10:wrap type="square" anchorx="margin"/>
              </v:shape>
            </w:pict>
          </mc:Fallback>
        </mc:AlternateContent>
      </w:r>
      <w:r>
        <w:rPr>
          <w:noProof/>
        </w:rPr>
        <w:drawing>
          <wp:anchor distT="0" distB="0" distL="114300" distR="114300" simplePos="0" relativeHeight="251700224" behindDoc="0" locked="0" layoutInCell="1" allowOverlap="1" wp14:anchorId="5375652C" wp14:editId="595B621A">
            <wp:simplePos x="0" y="0"/>
            <wp:positionH relativeFrom="margin">
              <wp:posOffset>-88516</wp:posOffset>
            </wp:positionH>
            <wp:positionV relativeFrom="paragraph">
              <wp:posOffset>1803352</wp:posOffset>
            </wp:positionV>
            <wp:extent cx="1233170" cy="1233170"/>
            <wp:effectExtent l="0" t="0" r="5080" b="5080"/>
            <wp:wrapThrough wrapText="bothSides">
              <wp:wrapPolygon edited="0">
                <wp:start x="0" y="0"/>
                <wp:lineTo x="0" y="21355"/>
                <wp:lineTo x="21355" y="21355"/>
                <wp:lineTo x="21355" y="0"/>
                <wp:lineTo x="0" y="0"/>
              </wp:wrapPolygon>
            </wp:wrapThrough>
            <wp:docPr id="1292458283" name="Imagem 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696128" behindDoc="0" locked="0" layoutInCell="1" allowOverlap="1" wp14:anchorId="5084EAED" wp14:editId="2151BF37">
                <wp:simplePos x="0" y="0"/>
                <wp:positionH relativeFrom="margin">
                  <wp:posOffset>1334770</wp:posOffset>
                </wp:positionH>
                <wp:positionV relativeFrom="paragraph">
                  <wp:posOffset>69215</wp:posOffset>
                </wp:positionV>
                <wp:extent cx="4400550" cy="1379855"/>
                <wp:effectExtent l="0" t="0" r="19050" b="10795"/>
                <wp:wrapSquare wrapText="bothSides"/>
                <wp:docPr id="17000497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379855"/>
                        </a:xfrm>
                        <a:prstGeom prst="rect">
                          <a:avLst/>
                        </a:prstGeom>
                        <a:solidFill>
                          <a:srgbClr val="FFFFFF"/>
                        </a:solidFill>
                        <a:ln w="9525">
                          <a:solidFill>
                            <a:srgbClr val="000000"/>
                          </a:solidFill>
                          <a:miter lim="800000"/>
                          <a:headEnd/>
                          <a:tailEnd/>
                        </a:ln>
                      </wps:spPr>
                      <wps:txbx>
                        <w:txbxContent>
                          <w:p w14:paraId="21965E17" w14:textId="77777777" w:rsid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Fabiana Costa Dias</w:t>
                            </w:r>
                            <w:r w:rsidRPr="009C76D4">
                              <w:rPr>
                                <w:rFonts w:ascii="Times New Roman" w:hAnsi="Times New Roman" w:cs="Times New Roman"/>
                                <w:b/>
                                <w:bCs/>
                                <w:sz w:val="16"/>
                                <w:szCs w:val="16"/>
                              </w:rPr>
                              <w:t xml:space="preserve"> </w:t>
                            </w:r>
                          </w:p>
                          <w:p w14:paraId="658C4C89" w14:textId="58D29476" w:rsidR="009C76D4" w:rsidRPr="005E33C0"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Doutora em Ciência da Informação pela Universidade Federal Fluminense. Mestre em Gestão de Documentos e Arquivos pela Universidade Federal do Estado do Rio de Janeiro (2017). Especialização em Planejamento, Organização e Direção de Arquivos pela Universidade Federal Fluminense (2007), graduação em História pela Universidade Federal do Rio de Janeiro (2007) e em Arquivologia pela Universidade Federal do Estado do Rio de Janeiro (2015). Atualmente sou arquivista da coordenadoria de gestão de acervo do Instituto Moreira Salles. Atuei no Museu Aeroespacial como responsável pelo Arquivo Histórico e foi assistente da área de Memória Empresarial da empresa de moda OSKLEN. Integro a Rede Arquivos de Mulheres (RAM - https://linktr.ee/redearquivosdemulheres)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EAED" id="_x0000_s1035" type="#_x0000_t202" style="position:absolute;margin-left:105.1pt;margin-top:5.45pt;width:346.5pt;height:108.6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">
                <v:textbox>
                  <w:txbxContent>
                    <w:p w14:paraId="21965E17" w14:textId="77777777" w:rsid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Fabiana Costa Dias</w:t>
                      </w:r>
                      <w:r w:rsidRPr="009C76D4">
                        <w:rPr>
                          <w:rFonts w:ascii="Times New Roman" w:hAnsi="Times New Roman" w:cs="Times New Roman"/>
                          <w:b/>
                          <w:bCs/>
                          <w:sz w:val="16"/>
                          <w:szCs w:val="16"/>
                        </w:rPr>
                        <w:t xml:space="preserve"> </w:t>
                      </w:r>
                    </w:p>
                    <w:p w14:paraId="658C4C89" w14:textId="58D29476" w:rsidR="009C76D4" w:rsidRPr="005E33C0"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Doutora em Ciência da Informação pela Universidade Federal Fluminense. Mestre em Gestão de Documentos e Arquivos pela Universidade Federal do Estado do Rio de Janeiro (2017). Especialização em Planejamento, Organização e Direção de Arquivos pela Universidade Federal Fluminense (2007), graduação em História pela Universidade Federal do Rio de Janeiro (2007) e em Arquivologia pela Universidade Federal do Estado do Rio de Janeiro (2015). Atualmente sou arquivista da coordenadoria de gestão de acervo do Instituto Moreira Salles. Atuei no Museu Aeroespacial como responsável pelo Arquivo Histórico e foi assistente da área de Memória Empresarial da empresa de moda OSKLEN. Integro a Rede Arquivos de Mulheres (RAM - https://linktr.ee/redearquivosdemulheres)</w:t>
                      </w:r>
                    </w:p>
                  </w:txbxContent>
                </v:textbox>
                <w10:wrap type="square" anchorx="margin"/>
              </v:shape>
            </w:pict>
          </mc:Fallback>
        </mc:AlternateContent>
      </w:r>
    </w:p>
    <w:p w14:paraId="02976AA2" w14:textId="2B617F8D" w:rsidR="007B6871" w:rsidRDefault="00BB7CE0"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27872" behindDoc="0" locked="0" layoutInCell="1" allowOverlap="1" wp14:anchorId="0C329A83" wp14:editId="3F2D9BDD">
                <wp:simplePos x="0" y="0"/>
                <wp:positionH relativeFrom="margin">
                  <wp:posOffset>1285300</wp:posOffset>
                </wp:positionH>
                <wp:positionV relativeFrom="paragraph">
                  <wp:posOffset>1598738</wp:posOffset>
                </wp:positionV>
                <wp:extent cx="4400550" cy="3105150"/>
                <wp:effectExtent l="0" t="0" r="19050" b="19050"/>
                <wp:wrapSquare wrapText="bothSides"/>
                <wp:docPr id="10547641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105150"/>
                        </a:xfrm>
                        <a:prstGeom prst="rect">
                          <a:avLst/>
                        </a:prstGeom>
                        <a:solidFill>
                          <a:srgbClr val="FFFFFF"/>
                        </a:solidFill>
                        <a:ln w="9525">
                          <a:solidFill>
                            <a:srgbClr val="000000"/>
                          </a:solidFill>
                          <a:miter lim="800000"/>
                          <a:headEnd/>
                          <a:tailEnd/>
                        </a:ln>
                      </wps:spPr>
                      <wps:txbx>
                        <w:txbxContent>
                          <w:p w14:paraId="5E143D20" w14:textId="77777777" w:rsidR="00BB7CE0" w:rsidRDefault="00BB7CE0" w:rsidP="00BB7CE0">
                            <w:pPr>
                              <w:jc w:val="both"/>
                              <w:rPr>
                                <w:rFonts w:ascii="Times New Roman" w:hAnsi="Times New Roman" w:cs="Times New Roman"/>
                                <w:b/>
                                <w:bCs/>
                                <w:sz w:val="16"/>
                                <w:szCs w:val="16"/>
                              </w:rPr>
                            </w:pPr>
                            <w:r w:rsidRPr="009C76D4">
                              <w:rPr>
                                <w:rFonts w:ascii="Times New Roman" w:hAnsi="Times New Roman" w:cs="Times New Roman"/>
                                <w:b/>
                                <w:bCs/>
                                <w:sz w:val="16"/>
                                <w:szCs w:val="16"/>
                              </w:rPr>
                              <w:t xml:space="preserve">Carlos Henrique Marcondes de Almeida </w:t>
                            </w:r>
                          </w:p>
                          <w:p w14:paraId="4979E4F1" w14:textId="77777777" w:rsidR="00BB7CE0" w:rsidRPr="005E33C0" w:rsidRDefault="00BB7CE0" w:rsidP="00BB7CE0">
                            <w:pPr>
                              <w:jc w:val="both"/>
                              <w:rPr>
                                <w:rFonts w:ascii="Times New Roman" w:hAnsi="Times New Roman" w:cs="Times New Roman"/>
                                <w:sz w:val="14"/>
                                <w:szCs w:val="14"/>
                              </w:rPr>
                            </w:pPr>
                            <w:r w:rsidRPr="009C76D4">
                              <w:rPr>
                                <w:rFonts w:ascii="Times New Roman" w:hAnsi="Times New Roman" w:cs="Times New Roman"/>
                                <w:sz w:val="16"/>
                                <w:szCs w:val="16"/>
                              </w:rPr>
                              <w:t>Possui graduação em Arquitetura e Urbanismo pela Universidade Federal Fluminense (1978), mestrado em Ciência da Informação pela Universidade Federal do Rio de Janeiro (1992) e doutorado em Ciência da Informação pela Universidade Federal do Rio de Janeiro (1998). Realizou estágio pós-doutoral na Universidade Carlos III de Madrid, 2011. Professor Titular do Departamento de Ciência da Informação e do PPGCI da Universidade Federal Fluminense e pesquisador 1D do Conselho Nacional de Desenvolvimento Científico e Tecnológico e Investigador Colaborador da Universidade Complutense de Madrid. Foi professor visitante da ECI/UFMG de 2019 a 2021. Atualmente é professor credenciado no PPGCI/UFF e no PPG-GOC/ECI/UFMG. Trabalhou em consultorias para o IBICT (Projeto BDTD, 2001), BIREME/OPAS (SCIELO OAI, 2002), CNPq (Programa Prossiga, 2001), IPHAN (Cadastro Nacional de Museus, 2008). É instrutor certificado do Comitê para Documentação Museológica do ICOM. Foi consultor da Rede Web de Museus do Estado do Rio de Janeiro, http://www.museusdoestado.rj.gov.br/rede-web-de-museus/. Foi membro do CTC do IBICT, 2003-2005, É membro do grupo Wikipedia Wiki Educação Brasil, http://www.wikibrasil.org/ e membro do grupo GO FAIR BRASIL SAÚDE, https://portal.fiocruz.br/go-fair-brasil-saude e colaborador do Projeto VODAN-Br, grupo de trabalho sobre proveniência de metadados de pesquisa, https://portal.fiocruz.br/en/vodan-brazil. É autor do livro Datos abiertos enlazados de archivos, bibliotecas y museos en la Web. Barcelona: Editorial UOC, 2018. (EPI scholar). ISBN 978-84-9180-307-2, ver: https://www.e-buc.com/fitxa.php?isbn=978-84-9180-307-2. Tem experiência na área de Ciência da Informação, com ênfase em Organização e representação do Conhecimento em ambientes digitais, atuando principalmente nos seguintes temas: fundamentos teóricos da CI e OC, publicações semânticas, ontologias, tecnologias semânticas e de dados abertos interligados, bibliotecas e museus digitais e interoperabilidade.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29A83" id="_x0000_s1036" type="#_x0000_t202" style="position:absolute;margin-left:101.2pt;margin-top:125.9pt;width:346.5pt;height:244.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">
                <v:textbox>
                  <w:txbxContent>
                    <w:p w14:paraId="5E143D20" w14:textId="77777777" w:rsidR="00BB7CE0" w:rsidRDefault="00BB7CE0" w:rsidP="00BB7CE0">
                      <w:pPr>
                        <w:jc w:val="both"/>
                        <w:rPr>
                          <w:rFonts w:ascii="Times New Roman" w:hAnsi="Times New Roman" w:cs="Times New Roman"/>
                          <w:b/>
                          <w:bCs/>
                          <w:sz w:val="16"/>
                          <w:szCs w:val="16"/>
                        </w:rPr>
                      </w:pPr>
                      <w:r w:rsidRPr="009C76D4">
                        <w:rPr>
                          <w:rFonts w:ascii="Times New Roman" w:hAnsi="Times New Roman" w:cs="Times New Roman"/>
                          <w:b/>
                          <w:bCs/>
                          <w:sz w:val="16"/>
                          <w:szCs w:val="16"/>
                        </w:rPr>
                        <w:t xml:space="preserve">Carlos Henrique Marcondes de Almeida </w:t>
                      </w:r>
                    </w:p>
                    <w:p w14:paraId="4979E4F1" w14:textId="77777777" w:rsidR="00BB7CE0" w:rsidRPr="005E33C0" w:rsidRDefault="00BB7CE0" w:rsidP="00BB7CE0">
                      <w:pPr>
                        <w:jc w:val="both"/>
                        <w:rPr>
                          <w:rFonts w:ascii="Times New Roman" w:hAnsi="Times New Roman" w:cs="Times New Roman"/>
                          <w:sz w:val="14"/>
                          <w:szCs w:val="14"/>
                        </w:rPr>
                      </w:pPr>
                      <w:r w:rsidRPr="009C76D4">
                        <w:rPr>
                          <w:rFonts w:ascii="Times New Roman" w:hAnsi="Times New Roman" w:cs="Times New Roman"/>
                          <w:sz w:val="16"/>
                          <w:szCs w:val="16"/>
                        </w:rPr>
                        <w:t>Possui graduação em Arquitetura e Urbanismo pela Universidade Federal Fluminense (1978), mestrado em Ciência da Informação pela Universidade Federal do Rio de Janeiro (1992) e doutorado em Ciência da Informação pela Universidade Federal do Rio de Janeiro (1998). Realizou estágio pós-doutoral na Universidade Carlos III de Madrid, 2011. Professor Titular do Departamento de Ciência da Informação e do PPGCI da Universidade Federal Fluminense e pesquisador 1D do Conselho Nacional de Desenvolvimento Científico e Tecnológico e Investigador Colaborador da Universidade Complutense de Madrid. Foi professor visitante da ECI/UFMG de 2019 a 2021. Atualmente é professor credenciado no PPGCI/UFF e no PPG-GOC/ECI/UFMG. Trabalhou em consultorias para o IBICT (Projeto BDTD, 2001), BIREME/OPAS (SCIELO OAI, 2002), CNPq (Programa Prossiga, 2001), IPHAN (Cadastro Nacional de Museus, 2008). É instrutor certificado do Comitê para Documentação Museológica do ICOM. Foi consultor da Rede Web de Museus do Estado do Rio de Janeiro, http://www.museusdoestado.rj.gov.br/rede-web-de-museus/. Foi membro do CTC do IBICT, 2003-2005, É membro do grupo Wikipedia Wiki Educação Brasil, http://www.wikibrasil.org/ e membro do grupo GO FAIR BRASIL SAÚDE, https://portal.fiocruz.br/go-fair-brasil-saude e colaborador do Projeto VODAN-Br, grupo de trabalho sobre proveniência de metadados de pesquisa, https://portal.fiocruz.br/en/vodan-brazil. É autor do livro Datos abiertos enlazados de archivos, bibliotecas y museos en la Web. Barcelona: Editorial UOC, 2018. (EPI scholar). ISBN 978-84-9180-307-2, ver: https://www.e-buc.com/fitxa.php?isbn=978-84-9180-307-2. Tem experiência na área de Ciência da Informação, com ênfase em Organização e representação do Conhecimento em ambientes digitais, atuando principalmente nos seguintes temas: fundamentos teóricos da CI e OC, publicações semânticas, ontologias, tecnologias semânticas e de dados abertos interligados, bibliotecas e museus digitais e interoperabilidade.</w:t>
                      </w:r>
                    </w:p>
                  </w:txbxContent>
                </v:textbox>
                <w10:wrap type="square" anchorx="margin"/>
              </v:shape>
            </w:pict>
          </mc:Fallback>
        </mc:AlternateContent>
      </w:r>
    </w:p>
    <w:p w14:paraId="5AF3E945" w14:textId="7B2E684F" w:rsidR="007B6871" w:rsidRDefault="007B6871" w:rsidP="00F850DA">
      <w:pPr>
        <w:rPr>
          <w:rFonts w:ascii="Times New Roman" w:eastAsia="Times New Roman" w:hAnsi="Times New Roman" w:cs="Times New Roman"/>
          <w:kern w:val="0"/>
          <w:sz w:val="24"/>
          <w:szCs w:val="24"/>
          <w:lang w:eastAsia="pt-BR"/>
          <w14:ligatures w14:val="none"/>
        </w:rPr>
      </w:pPr>
    </w:p>
    <w:p w14:paraId="37D2547A" w14:textId="352CC1A3" w:rsidR="007B6871" w:rsidRDefault="00BB7CE0" w:rsidP="00F850DA">
      <w:pPr>
        <w:rPr>
          <w:rFonts w:ascii="Times New Roman" w:eastAsia="Times New Roman" w:hAnsi="Times New Roman" w:cs="Times New Roman"/>
          <w:kern w:val="0"/>
          <w:sz w:val="24"/>
          <w:szCs w:val="24"/>
          <w:lang w:eastAsia="pt-BR"/>
          <w14:ligatures w14:val="none"/>
        </w:rPr>
      </w:pPr>
      <w:r>
        <w:rPr>
          <w:noProof/>
        </w:rPr>
        <w:drawing>
          <wp:anchor distT="0" distB="0" distL="114300" distR="114300" simplePos="0" relativeHeight="251728896" behindDoc="1" locked="0" layoutInCell="1" allowOverlap="1" wp14:anchorId="15B4218D" wp14:editId="110D5718">
            <wp:simplePos x="0" y="0"/>
            <wp:positionH relativeFrom="margin">
              <wp:align>left</wp:align>
            </wp:positionH>
            <wp:positionV relativeFrom="paragraph">
              <wp:posOffset>416428</wp:posOffset>
            </wp:positionV>
            <wp:extent cx="1102995" cy="1172845"/>
            <wp:effectExtent l="0" t="0" r="1905" b="8255"/>
            <wp:wrapThrough wrapText="bothSides">
              <wp:wrapPolygon edited="0">
                <wp:start x="0" y="0"/>
                <wp:lineTo x="0" y="21401"/>
                <wp:lineTo x="21264" y="21401"/>
                <wp:lineTo x="21264" y="0"/>
                <wp:lineTo x="0" y="0"/>
              </wp:wrapPolygon>
            </wp:wrapThrough>
            <wp:docPr id="537033840" name="Imagem 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299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26189" w14:textId="5852AB2A" w:rsidR="007B6871" w:rsidRDefault="007B6871" w:rsidP="00F850DA">
      <w:pPr>
        <w:rPr>
          <w:rFonts w:ascii="Times New Roman" w:eastAsia="Times New Roman" w:hAnsi="Times New Roman" w:cs="Times New Roman"/>
          <w:kern w:val="0"/>
          <w:sz w:val="24"/>
          <w:szCs w:val="24"/>
          <w:lang w:eastAsia="pt-BR"/>
          <w14:ligatures w14:val="none"/>
        </w:rPr>
      </w:pPr>
    </w:p>
    <w:p w14:paraId="140054FC" w14:textId="3D1A4982" w:rsidR="007B6871" w:rsidRDefault="007B6871" w:rsidP="00F850DA">
      <w:pPr>
        <w:rPr>
          <w:rFonts w:ascii="Times New Roman" w:eastAsia="Times New Roman" w:hAnsi="Times New Roman" w:cs="Times New Roman"/>
          <w:kern w:val="0"/>
          <w:sz w:val="24"/>
          <w:szCs w:val="24"/>
          <w:lang w:eastAsia="pt-BR"/>
          <w14:ligatures w14:val="none"/>
        </w:rPr>
      </w:pPr>
    </w:p>
    <w:p w14:paraId="197259EC" w14:textId="1F73B67E" w:rsidR="007B6871" w:rsidRDefault="007B6871" w:rsidP="00F850DA">
      <w:pPr>
        <w:rPr>
          <w:rFonts w:ascii="Times New Roman" w:eastAsia="Times New Roman" w:hAnsi="Times New Roman" w:cs="Times New Roman"/>
          <w:kern w:val="0"/>
          <w:sz w:val="24"/>
          <w:szCs w:val="24"/>
          <w:lang w:eastAsia="pt-BR"/>
          <w14:ligatures w14:val="none"/>
        </w:rPr>
      </w:pPr>
    </w:p>
    <w:p w14:paraId="6CFDE6BC" w14:textId="5A9FDF98" w:rsidR="007B6871" w:rsidRDefault="007B6871" w:rsidP="00F850DA">
      <w:pPr>
        <w:rPr>
          <w:rFonts w:ascii="Times New Roman" w:eastAsia="Times New Roman" w:hAnsi="Times New Roman" w:cs="Times New Roman"/>
          <w:kern w:val="0"/>
          <w:sz w:val="24"/>
          <w:szCs w:val="24"/>
          <w:lang w:eastAsia="pt-BR"/>
          <w14:ligatures w14:val="none"/>
        </w:rPr>
      </w:pPr>
    </w:p>
    <w:p w14:paraId="62B9B896" w14:textId="2483584D" w:rsidR="007B6871" w:rsidRDefault="009C76D4"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w:lastRenderedPageBreak/>
        <mc:AlternateContent>
          <mc:Choice Requires="wps">
            <w:drawing>
              <wp:anchor distT="45720" distB="45720" distL="114300" distR="114300" simplePos="0" relativeHeight="251705344" behindDoc="0" locked="0" layoutInCell="1" allowOverlap="1" wp14:anchorId="6C12C480" wp14:editId="30A4E156">
                <wp:simplePos x="0" y="0"/>
                <wp:positionH relativeFrom="margin">
                  <wp:posOffset>1170940</wp:posOffset>
                </wp:positionH>
                <wp:positionV relativeFrom="paragraph">
                  <wp:posOffset>5080</wp:posOffset>
                </wp:positionV>
                <wp:extent cx="4400550" cy="1699260"/>
                <wp:effectExtent l="0" t="0" r="19050" b="15240"/>
                <wp:wrapSquare wrapText="bothSides"/>
                <wp:docPr id="16626747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699260"/>
                        </a:xfrm>
                        <a:prstGeom prst="rect">
                          <a:avLst/>
                        </a:prstGeom>
                        <a:solidFill>
                          <a:srgbClr val="FFFFFF"/>
                        </a:solidFill>
                        <a:ln w="9525">
                          <a:solidFill>
                            <a:srgbClr val="000000"/>
                          </a:solidFill>
                          <a:miter lim="800000"/>
                          <a:headEnd/>
                          <a:tailEnd/>
                        </a:ln>
                      </wps:spPr>
                      <wps:txbx>
                        <w:txbxContent>
                          <w:p w14:paraId="70380F2C" w14:textId="77777777" w:rsidR="009C76D4" w:rsidRP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Vera Lucia Punzi Barcelos Capone</w:t>
                            </w:r>
                          </w:p>
                          <w:p w14:paraId="1A1B8474" w14:textId="67F2D160" w:rsidR="009C76D4" w:rsidRPr="009C76D4"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Doutorado em Ciência da Informação pelo Programa de Pós-Graduação em Ciência da Informação da Universidade Federal Fluminense (PPGCI/UFF), na área de organização e representação do conhecimento (2020). Mestrado em Ciência da Informação (PPGCI/UFF) (2013). Bacharel em Biblioteconomia pela Universidade Federal Fluminense (1994), licenciatura em Letras (1983) e especialização em Língua Portuguesa (1987) pela Universidade Federal Fluminense. Tem experiência em processamento técnico de materiais de diversas naturezas, entre os quais textos, imagens e audiovisuais. Compõe o corpo técnico administrativo do Instituto Brasileiro de Geografia e Estatística (IBGE), na função de bibliotecária. Atuou como professora substituta no curso de graduação em Biblioteconomia e Documentação da Universidade Federal Fluminense, em 2014. Áreas de interesse: organização e representação do conhecimento; análise e representação do conteúdo de documentos de diversas naturezas.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2C480" id="_x0000_s1037" type="#_x0000_t202" style="position:absolute;margin-left:92.2pt;margin-top:.4pt;width:346.5pt;height:133.8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">
                <v:textbox>
                  <w:txbxContent>
                    <w:p w14:paraId="70380F2C" w14:textId="77777777" w:rsidR="009C76D4" w:rsidRPr="009C76D4" w:rsidRDefault="009C76D4" w:rsidP="009C76D4">
                      <w:pPr>
                        <w:jc w:val="both"/>
                        <w:rPr>
                          <w:rFonts w:ascii="Times New Roman" w:hAnsi="Times New Roman" w:cs="Times New Roman"/>
                          <w:b/>
                          <w:bCs/>
                          <w:sz w:val="16"/>
                          <w:szCs w:val="16"/>
                        </w:rPr>
                      </w:pPr>
                      <w:r w:rsidRPr="009C76D4">
                        <w:rPr>
                          <w:rFonts w:ascii="Times New Roman" w:hAnsi="Times New Roman" w:cs="Times New Roman"/>
                          <w:b/>
                          <w:bCs/>
                          <w:sz w:val="16"/>
                          <w:szCs w:val="16"/>
                        </w:rPr>
                        <w:t>Vera Lucia Punzi Barcelos Capone</w:t>
                      </w:r>
                    </w:p>
                    <w:p w14:paraId="1A1B8474" w14:textId="67F2D160" w:rsidR="009C76D4" w:rsidRPr="009C76D4" w:rsidRDefault="009C76D4" w:rsidP="009C76D4">
                      <w:pPr>
                        <w:jc w:val="both"/>
                        <w:rPr>
                          <w:rFonts w:ascii="Times New Roman" w:hAnsi="Times New Roman" w:cs="Times New Roman"/>
                          <w:sz w:val="14"/>
                          <w:szCs w:val="14"/>
                        </w:rPr>
                      </w:pPr>
                      <w:r w:rsidRPr="009C76D4">
                        <w:rPr>
                          <w:rFonts w:ascii="Times New Roman" w:hAnsi="Times New Roman" w:cs="Times New Roman"/>
                          <w:sz w:val="16"/>
                          <w:szCs w:val="16"/>
                        </w:rPr>
                        <w:t>Doutorado em Ciência da Informação pelo Programa de Pós-Graduação em Ciência da Informação da Universidade Federal Fluminense (PPGCI/UFF), na área de organização e representação do conhecimento (2020). Mestrado em Ciência da Informação (PPGCI/UFF) (2013). Bacharel em Biblioteconomia pela Universidade Federal Fluminense (1994), licenciatura em Letras (1983) e especialização em Língua Portuguesa (1987) pela Universidade Federal Fluminense. Tem experiência em processamento técnico de materiais de diversas naturezas, entre os quais textos, imagens e audiovisuais. Compõe o corpo técnico administrativo do Instituto Brasileiro de Geografia e Estatística (IBGE), na função de bibliotecária. Atuou como professora substituta no curso de graduação em Biblioteconomia e Documentação da Universidade Federal Fluminense, em 2014. Áreas de interesse: organização e representação do conhecimento; análise e representação do conteúdo de documentos de diversas naturezas.</w:t>
                      </w:r>
                    </w:p>
                  </w:txbxContent>
                </v:textbox>
                <w10:wrap type="square" anchorx="margin"/>
              </v:shape>
            </w:pict>
          </mc:Fallback>
        </mc:AlternateContent>
      </w:r>
    </w:p>
    <w:p w14:paraId="1F583BCF" w14:textId="28559D35" w:rsidR="007B6871" w:rsidRDefault="007B6871" w:rsidP="00F850DA">
      <w:pPr>
        <w:rPr>
          <w:rFonts w:ascii="Times New Roman" w:eastAsia="Times New Roman" w:hAnsi="Times New Roman" w:cs="Times New Roman"/>
          <w:kern w:val="0"/>
          <w:sz w:val="24"/>
          <w:szCs w:val="24"/>
          <w:lang w:eastAsia="pt-BR"/>
          <w14:ligatures w14:val="none"/>
        </w:rPr>
      </w:pPr>
    </w:p>
    <w:p w14:paraId="40723860" w14:textId="6F23C82F" w:rsidR="007B6871" w:rsidRDefault="007B6871" w:rsidP="00F850DA">
      <w:pPr>
        <w:rPr>
          <w:rFonts w:ascii="Times New Roman" w:eastAsia="Times New Roman" w:hAnsi="Times New Roman" w:cs="Times New Roman"/>
          <w:kern w:val="0"/>
          <w:sz w:val="24"/>
          <w:szCs w:val="24"/>
          <w:lang w:eastAsia="pt-BR"/>
          <w14:ligatures w14:val="none"/>
        </w:rPr>
      </w:pPr>
    </w:p>
    <w:p w14:paraId="34F23708" w14:textId="7DBCF1D1" w:rsidR="007B6871" w:rsidRDefault="007B6871" w:rsidP="00F850DA">
      <w:pPr>
        <w:rPr>
          <w:rFonts w:ascii="Times New Roman" w:eastAsia="Times New Roman" w:hAnsi="Times New Roman" w:cs="Times New Roman"/>
          <w:kern w:val="0"/>
          <w:sz w:val="24"/>
          <w:szCs w:val="24"/>
          <w:lang w:eastAsia="pt-BR"/>
          <w14:ligatures w14:val="none"/>
        </w:rPr>
      </w:pPr>
    </w:p>
    <w:p w14:paraId="71640C9C" w14:textId="6557CAB6" w:rsidR="007B6871" w:rsidRDefault="007B6871" w:rsidP="00F850DA">
      <w:pPr>
        <w:rPr>
          <w:rFonts w:ascii="Times New Roman" w:eastAsia="Times New Roman" w:hAnsi="Times New Roman" w:cs="Times New Roman"/>
          <w:kern w:val="0"/>
          <w:sz w:val="24"/>
          <w:szCs w:val="24"/>
          <w:lang w:eastAsia="pt-BR"/>
          <w14:ligatures w14:val="none"/>
        </w:rPr>
      </w:pPr>
    </w:p>
    <w:p w14:paraId="348D8074" w14:textId="360958DF" w:rsidR="007B6871" w:rsidRDefault="007B6871" w:rsidP="00F850DA">
      <w:pPr>
        <w:rPr>
          <w:rFonts w:ascii="Times New Roman" w:eastAsia="Times New Roman" w:hAnsi="Times New Roman" w:cs="Times New Roman"/>
          <w:kern w:val="0"/>
          <w:sz w:val="24"/>
          <w:szCs w:val="24"/>
          <w:lang w:eastAsia="pt-BR"/>
          <w14:ligatures w14:val="none"/>
        </w:rPr>
      </w:pPr>
    </w:p>
    <w:p w14:paraId="2A085AB2" w14:textId="5DDF46D5" w:rsidR="007B6871" w:rsidRDefault="000F045D"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07392" behindDoc="0" locked="0" layoutInCell="1" allowOverlap="1" wp14:anchorId="7DBBD761" wp14:editId="74C2D382">
                <wp:simplePos x="0" y="0"/>
                <wp:positionH relativeFrom="margin">
                  <wp:posOffset>1179830</wp:posOffset>
                </wp:positionH>
                <wp:positionV relativeFrom="paragraph">
                  <wp:posOffset>149860</wp:posOffset>
                </wp:positionV>
                <wp:extent cx="4400550" cy="2820670"/>
                <wp:effectExtent l="0" t="0" r="19050" b="17780"/>
                <wp:wrapSquare wrapText="bothSides"/>
                <wp:docPr id="10492532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820670"/>
                        </a:xfrm>
                        <a:prstGeom prst="rect">
                          <a:avLst/>
                        </a:prstGeom>
                        <a:solidFill>
                          <a:srgbClr val="FFFFFF"/>
                        </a:solidFill>
                        <a:ln w="9525">
                          <a:solidFill>
                            <a:srgbClr val="000000"/>
                          </a:solidFill>
                          <a:miter lim="800000"/>
                          <a:headEnd/>
                          <a:tailEnd/>
                        </a:ln>
                      </wps:spPr>
                      <wps:txbx>
                        <w:txbxContent>
                          <w:p w14:paraId="1D1B41B1"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Rosa Inês de Novais Cordeiro</w:t>
                            </w:r>
                          </w:p>
                          <w:p w14:paraId="426613F7" w14:textId="5FCEF09B" w:rsidR="000F045D" w:rsidRPr="009C76D4" w:rsidRDefault="000F045D" w:rsidP="000F045D">
                            <w:pPr>
                              <w:jc w:val="both"/>
                              <w:rPr>
                                <w:rFonts w:ascii="Times New Roman" w:hAnsi="Times New Roman" w:cs="Times New Roman"/>
                                <w:sz w:val="14"/>
                                <w:szCs w:val="14"/>
                              </w:rPr>
                            </w:pPr>
                            <w:r w:rsidRPr="000F045D">
                              <w:rPr>
                                <w:rFonts w:ascii="Times New Roman" w:hAnsi="Times New Roman" w:cs="Times New Roman"/>
                                <w:sz w:val="16"/>
                                <w:szCs w:val="16"/>
                              </w:rPr>
                              <w:t>Professora titular da Universidade Federal Fluminense (UFF), onde desenvolve atividades de ensino, pesquisa e extensão no Instituto de Arte e Comunicação Social, Departamento de Ciência da Informação. É doutora em Comunicação e Cultura (UFRJ/1998). Realizou o scholar-in-residence (estágio sênior-CNPq) na University of Illinois at Urbana-Champaign (2010/2011) e o pós-doutorado no Instituto de Psicologia da UFRJ (2003). Mestre em Comunicação (UFRJ/1990). Especializações em Documentação Científica (CDC/IBICT, 1979) e em Planejamento, Organização e Direção de Arquivos (UFF/1985). Possui graduação em Biblioteconomia e Documentação pela UFF (1978) e em Arquivologia pela UNIRIO (1982). Leciona, desde 1983, nas graduações de Arquivologia; Biblioteconomia e Documentação da UFF. A partir de 2000, passou a integrar a pós-graduação stricto sensu da UFF. No período de 2000/maio 2004, participou do Mestrado em Ciência da Arte e, com início em 2004, do Mestrado e Doutorado do Programa de Pós-Graduação em Ciência da Informação (Convênio UFF e IBICT). É professora do Mestrado (criado em 2008) e Doutorado em Ciência da Informação da UFF e do Mestrado Profissional em Justiça Administrativa da UFF, iniciado em 2009, na subárea Ciência da Informação e Justiça Administrativa. Na especialização, participa do curso em Planejamento, Organização e Direção de Arquivos (UFF). É autora do livro Informação e Movimento: uma ciência da arte fílmica (2000) e também publicou e apresentou vários trabalhos. Principais domínios de atuação: organização do conhecimento e da informação, análise e representação (indexação) do conteúdo dos documentos de diversas naturezas (textos, imagens e audiovisuais) em vários cenários sociais e culturais. Cinema de arquivo. Somam-se a isso as atividades no âmbito da geração e gestão da informação em Direito.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BD761" id="_x0000_s1038" type="#_x0000_t202" style="position:absolute;margin-left:92.9pt;margin-top:11.8pt;width:346.5pt;height:222.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">
                <v:textbox>
                  <w:txbxContent>
                    <w:p w14:paraId="1D1B41B1"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Rosa Inês de Novais Cordeiro</w:t>
                      </w:r>
                    </w:p>
                    <w:p w14:paraId="426613F7" w14:textId="5FCEF09B" w:rsidR="000F045D" w:rsidRPr="009C76D4" w:rsidRDefault="000F045D" w:rsidP="000F045D">
                      <w:pPr>
                        <w:jc w:val="both"/>
                        <w:rPr>
                          <w:rFonts w:ascii="Times New Roman" w:hAnsi="Times New Roman" w:cs="Times New Roman"/>
                          <w:sz w:val="14"/>
                          <w:szCs w:val="14"/>
                        </w:rPr>
                      </w:pPr>
                      <w:r w:rsidRPr="000F045D">
                        <w:rPr>
                          <w:rFonts w:ascii="Times New Roman" w:hAnsi="Times New Roman" w:cs="Times New Roman"/>
                          <w:sz w:val="16"/>
                          <w:szCs w:val="16"/>
                        </w:rPr>
                        <w:t>Professora titular da Universidade Federal Fluminense (UFF), onde desenvolve atividades de ensino, pesquisa e extensão no Instituto de Arte e Comunicação Social, Departamento de Ciência da Informação. É doutora em Comunicação e Cultura (UFRJ/1998). Realizou o scholar-in-residence (estágio sênior-CNPq) na University of Illinois at Urbana-Champaign (2010/2011) e o pós-doutorado no Instituto de Psicologia da UFRJ (2003). Mestre em Comunicação (UFRJ/1990). Especializações em Documentação Científica (CDC/IBICT, 1979) e em Planejamento, Organização e Direção de Arquivos (UFF/1985). Possui graduação em Biblioteconomia e Documentação pela UFF (1978) e em Arquivologia pela UNIRIO (1982). Leciona, desde 1983, nas graduações de Arquivologia; Biblioteconomia e Documentação da UFF. A partir de 2000, passou a integrar a pós-graduação stricto sensu da UFF. No período de 2000/maio 2004, participou do Mestrado em Ciência da Arte e, com início em 2004, do Mestrado e Doutorado do Programa de Pós-Graduação em Ciência da Informação (Convênio UFF e IBICT). É professora do Mestrado (criado em 2008) e Doutorado em Ciência da Informação da UFF e do Mestrado Profissional em Justiça Administrativa da UFF, iniciado em 2009, na subárea Ciência da Informação e Justiça Administrativa. Na especialização, participa do curso em Planejamento, Organização e Direção de Arquivos (UFF). É autora do livro Informação e Movimento: uma ciência da arte fílmica (2000) e também publicou e apresentou vários trabalhos. Principais domínios de atuação: organização do conhecimento e da informação, análise e representação (indexação) do conteúdo dos documentos de diversas naturezas (textos, imagens e audiovisuais) em vários cenários sociais e culturais. Cinema de arquivo. Somam-se a isso as atividades no âmbito da geração e gestão da informação em Direito.</w:t>
                      </w:r>
                    </w:p>
                  </w:txbxContent>
                </v:textbox>
                <w10:wrap type="square" anchorx="margin"/>
              </v:shape>
            </w:pict>
          </mc:Fallback>
        </mc:AlternateContent>
      </w:r>
    </w:p>
    <w:p w14:paraId="270D224A"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34BD083E"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26C36C25"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749A0837"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54875A07"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708DDE93"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64B2ED33"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7AFD4890"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60B93999"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7E262D08"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42EF0958" w14:textId="310D4FBD" w:rsidR="007B6871" w:rsidRDefault="000F045D"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09440" behindDoc="0" locked="0" layoutInCell="1" allowOverlap="1" wp14:anchorId="486F5801" wp14:editId="0F2B2560">
                <wp:simplePos x="0" y="0"/>
                <wp:positionH relativeFrom="margin">
                  <wp:posOffset>1153795</wp:posOffset>
                </wp:positionH>
                <wp:positionV relativeFrom="paragraph">
                  <wp:posOffset>6350</wp:posOffset>
                </wp:positionV>
                <wp:extent cx="4400550" cy="2009775"/>
                <wp:effectExtent l="0" t="0" r="19050" b="28575"/>
                <wp:wrapSquare wrapText="bothSides"/>
                <wp:docPr id="14511847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09775"/>
                        </a:xfrm>
                        <a:prstGeom prst="rect">
                          <a:avLst/>
                        </a:prstGeom>
                        <a:solidFill>
                          <a:srgbClr val="FFFFFF"/>
                        </a:solidFill>
                        <a:ln w="9525">
                          <a:solidFill>
                            <a:srgbClr val="000000"/>
                          </a:solidFill>
                          <a:miter lim="800000"/>
                          <a:headEnd/>
                          <a:tailEnd/>
                        </a:ln>
                      </wps:spPr>
                      <wps:txbx>
                        <w:txbxContent>
                          <w:p w14:paraId="35262531"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Fabrícia Carla Ferreira Sobral</w:t>
                            </w:r>
                            <w:r w:rsidRPr="000F045D">
                              <w:rPr>
                                <w:rFonts w:ascii="Times New Roman" w:hAnsi="Times New Roman" w:cs="Times New Roman"/>
                                <w:b/>
                                <w:bCs/>
                                <w:sz w:val="16"/>
                                <w:szCs w:val="16"/>
                              </w:rPr>
                              <w:t xml:space="preserve"> </w:t>
                            </w:r>
                          </w:p>
                          <w:p w14:paraId="7F9FB684" w14:textId="3D4AADE8" w:rsidR="000F045D" w:rsidRPr="009C76D4" w:rsidRDefault="000F045D" w:rsidP="000F045D">
                            <w:pPr>
                              <w:jc w:val="both"/>
                              <w:rPr>
                                <w:rFonts w:ascii="Times New Roman" w:hAnsi="Times New Roman" w:cs="Times New Roman"/>
                                <w:sz w:val="14"/>
                                <w:szCs w:val="14"/>
                              </w:rPr>
                            </w:pPr>
                            <w:r w:rsidRPr="000F045D">
                              <w:rPr>
                                <w:rFonts w:ascii="Times New Roman" w:hAnsi="Times New Roman" w:cs="Times New Roman"/>
                                <w:sz w:val="16"/>
                                <w:szCs w:val="16"/>
                              </w:rPr>
                              <w:t>Doutorado em Ciência da Informação pelo Programa de Pós-Graduação em Ciência da Informação da Universidade Federal Fluminense (2022). Mestrado em Ciência da Informação pelo Programa de Pós-Graduação em Ciência da Informação da Universidade Federal Fluminense (2013). Especialização em Sistemas de Informação com ênfase na Internet pelo Núcleo de Computação Eletrônica da Universidade Federal do Rio de Janeiro (2010</w:t>
                            </w:r>
                            <w:r w:rsidRPr="000F045D">
                              <w:rPr>
                                <w:rFonts w:ascii="Times New Roman" w:hAnsi="Times New Roman" w:cs="Times New Roman"/>
                                <w:sz w:val="16"/>
                                <w:szCs w:val="16"/>
                              </w:rPr>
                              <w:t>). Graduação</w:t>
                            </w:r>
                            <w:r w:rsidRPr="000F045D">
                              <w:rPr>
                                <w:rFonts w:ascii="Times New Roman" w:hAnsi="Times New Roman" w:cs="Times New Roman"/>
                                <w:sz w:val="16"/>
                                <w:szCs w:val="16"/>
                              </w:rPr>
                              <w:t xml:space="preserve"> em Redes de Computadores pela Universidade Estácio de Sá (2009). Atualmente faz parte do quadro técnico-administrativo da Universidade Federal do Rio de Janeiro, lotada na Superintendência de Tecnologia da Informação e Comunicação, onde atua no Grupo de Trabalho para implantação de um Repositório Arquivístico Confiável para toda a UFRJ (GT-RDCArq). Desenvolve pesquisa sobre elaboração de modelos de representação de domínio sociocultural com ênfase na cultura imaterial brasileira - culturas populares; estudo do domínio das oficinas de percussão popular brasileira com vistas a representação do conhecimento. Tem experiência de uso no software VIVO para implantação de sistema de descoberta de conhecimento; e experiência de administração em softwares básicos e de gestão de conteúdo WEB.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F5801" id="_x0000_s1039" type="#_x0000_t202" style="position:absolute;margin-left:90.85pt;margin-top:.5pt;width:346.5pt;height:158.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">
                <v:textbox>
                  <w:txbxContent>
                    <w:p w14:paraId="35262531"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Fabrícia Carla Ferreira Sobral</w:t>
                      </w:r>
                      <w:r w:rsidRPr="000F045D">
                        <w:rPr>
                          <w:rFonts w:ascii="Times New Roman" w:hAnsi="Times New Roman" w:cs="Times New Roman"/>
                          <w:b/>
                          <w:bCs/>
                          <w:sz w:val="16"/>
                          <w:szCs w:val="16"/>
                        </w:rPr>
                        <w:t xml:space="preserve"> </w:t>
                      </w:r>
                    </w:p>
                    <w:p w14:paraId="7F9FB684" w14:textId="3D4AADE8" w:rsidR="000F045D" w:rsidRPr="009C76D4" w:rsidRDefault="000F045D" w:rsidP="000F045D">
                      <w:pPr>
                        <w:jc w:val="both"/>
                        <w:rPr>
                          <w:rFonts w:ascii="Times New Roman" w:hAnsi="Times New Roman" w:cs="Times New Roman"/>
                          <w:sz w:val="14"/>
                          <w:szCs w:val="14"/>
                        </w:rPr>
                      </w:pPr>
                      <w:r w:rsidRPr="000F045D">
                        <w:rPr>
                          <w:rFonts w:ascii="Times New Roman" w:hAnsi="Times New Roman" w:cs="Times New Roman"/>
                          <w:sz w:val="16"/>
                          <w:szCs w:val="16"/>
                        </w:rPr>
                        <w:t>Doutorado em Ciência da Informação pelo Programa de Pós-Graduação em Ciência da Informação da Universidade Federal Fluminense (2022). Mestrado em Ciência da Informação pelo Programa de Pós-Graduação em Ciência da Informação da Universidade Federal Fluminense (2013). Especialização em Sistemas de Informação com ênfase na Internet pelo Núcleo de Computação Eletrônica da Universidade Federal do Rio de Janeiro (2010</w:t>
                      </w:r>
                      <w:r w:rsidRPr="000F045D">
                        <w:rPr>
                          <w:rFonts w:ascii="Times New Roman" w:hAnsi="Times New Roman" w:cs="Times New Roman"/>
                          <w:sz w:val="16"/>
                          <w:szCs w:val="16"/>
                        </w:rPr>
                        <w:t>). Graduação</w:t>
                      </w:r>
                      <w:r w:rsidRPr="000F045D">
                        <w:rPr>
                          <w:rFonts w:ascii="Times New Roman" w:hAnsi="Times New Roman" w:cs="Times New Roman"/>
                          <w:sz w:val="16"/>
                          <w:szCs w:val="16"/>
                        </w:rPr>
                        <w:t xml:space="preserve"> em Redes de Computadores pela Universidade Estácio de Sá (2009). Atualmente faz parte do quadro técnico-administrativo da Universidade Federal do Rio de Janeiro, lotada na Superintendência de Tecnologia da Informação e Comunicação, onde atua no Grupo de Trabalho para implantação de um Repositório Arquivístico Confiável para toda a UFRJ (GT-RDCArq). Desenvolve pesquisa sobre elaboração de modelos de representação de domínio sociocultural com ênfase na cultura imaterial brasileira - culturas populares; estudo do domínio das oficinas de percussão popular brasileira com vistas a representação do conhecimento. Tem experiência de uso no software VIVO para implantação de sistema de descoberta de conhecimento; e experiência de administração em softwares básicos e de gestão de conteúdo WEB.</w:t>
                      </w:r>
                    </w:p>
                  </w:txbxContent>
                </v:textbox>
                <w10:wrap type="square" anchorx="margin"/>
              </v:shape>
            </w:pict>
          </mc:Fallback>
        </mc:AlternateContent>
      </w:r>
    </w:p>
    <w:p w14:paraId="0F02501C" w14:textId="142FAB32" w:rsidR="007B6871" w:rsidRDefault="007B6871" w:rsidP="00F850DA">
      <w:pPr>
        <w:rPr>
          <w:rFonts w:ascii="Times New Roman" w:eastAsia="Times New Roman" w:hAnsi="Times New Roman" w:cs="Times New Roman"/>
          <w:kern w:val="0"/>
          <w:sz w:val="24"/>
          <w:szCs w:val="24"/>
          <w:lang w:eastAsia="pt-BR"/>
          <w14:ligatures w14:val="none"/>
        </w:rPr>
      </w:pPr>
    </w:p>
    <w:p w14:paraId="1E47A894" w14:textId="092DEA5F" w:rsidR="007B6871" w:rsidRDefault="007B6871" w:rsidP="00F850DA">
      <w:pPr>
        <w:rPr>
          <w:rFonts w:ascii="Times New Roman" w:eastAsia="Times New Roman" w:hAnsi="Times New Roman" w:cs="Times New Roman"/>
          <w:kern w:val="0"/>
          <w:sz w:val="24"/>
          <w:szCs w:val="24"/>
          <w:lang w:eastAsia="pt-BR"/>
          <w14:ligatures w14:val="none"/>
        </w:rPr>
      </w:pPr>
    </w:p>
    <w:p w14:paraId="290865FB" w14:textId="682F6ED5" w:rsidR="007B6871" w:rsidRDefault="007B6871" w:rsidP="00F850DA">
      <w:pPr>
        <w:rPr>
          <w:rFonts w:ascii="Times New Roman" w:eastAsia="Times New Roman" w:hAnsi="Times New Roman" w:cs="Times New Roman"/>
          <w:kern w:val="0"/>
          <w:sz w:val="24"/>
          <w:szCs w:val="24"/>
          <w:lang w:eastAsia="pt-BR"/>
          <w14:ligatures w14:val="none"/>
        </w:rPr>
      </w:pPr>
    </w:p>
    <w:p w14:paraId="3EFEA24F" w14:textId="4A888217" w:rsidR="007B6871" w:rsidRDefault="007B6871" w:rsidP="00F850DA">
      <w:pPr>
        <w:rPr>
          <w:rFonts w:ascii="Times New Roman" w:eastAsia="Times New Roman" w:hAnsi="Times New Roman" w:cs="Times New Roman"/>
          <w:kern w:val="0"/>
          <w:sz w:val="24"/>
          <w:szCs w:val="24"/>
          <w:lang w:eastAsia="pt-BR"/>
          <w14:ligatures w14:val="none"/>
        </w:rPr>
      </w:pPr>
    </w:p>
    <w:p w14:paraId="6EEBBFDD" w14:textId="1A46E71A" w:rsidR="007B6871" w:rsidRDefault="007B6871" w:rsidP="00F850DA">
      <w:pPr>
        <w:rPr>
          <w:rFonts w:ascii="Times New Roman" w:eastAsia="Times New Roman" w:hAnsi="Times New Roman" w:cs="Times New Roman"/>
          <w:kern w:val="0"/>
          <w:sz w:val="24"/>
          <w:szCs w:val="24"/>
          <w:lang w:eastAsia="pt-BR"/>
          <w14:ligatures w14:val="none"/>
        </w:rPr>
      </w:pPr>
    </w:p>
    <w:p w14:paraId="73DB7356" w14:textId="04D09BAC" w:rsidR="007B6871" w:rsidRDefault="00BB7CE0"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30944" behindDoc="0" locked="0" layoutInCell="1" allowOverlap="1" wp14:anchorId="51F0BDCC" wp14:editId="28DB2E9B">
                <wp:simplePos x="0" y="0"/>
                <wp:positionH relativeFrom="margin">
                  <wp:posOffset>1147313</wp:posOffset>
                </wp:positionH>
                <wp:positionV relativeFrom="paragraph">
                  <wp:posOffset>425354</wp:posOffset>
                </wp:positionV>
                <wp:extent cx="4400550" cy="1207135"/>
                <wp:effectExtent l="0" t="0" r="19050" b="12065"/>
                <wp:wrapSquare wrapText="bothSides"/>
                <wp:docPr id="15953332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207135"/>
                        </a:xfrm>
                        <a:prstGeom prst="rect">
                          <a:avLst/>
                        </a:prstGeom>
                        <a:solidFill>
                          <a:srgbClr val="FFFFFF"/>
                        </a:solidFill>
                        <a:ln w="9525">
                          <a:solidFill>
                            <a:srgbClr val="000000"/>
                          </a:solidFill>
                          <a:miter lim="800000"/>
                          <a:headEnd/>
                          <a:tailEnd/>
                        </a:ln>
                      </wps:spPr>
                      <wps:txbx>
                        <w:txbxContent>
                          <w:p w14:paraId="72B972B7" w14:textId="77777777" w:rsidR="00BB7CE0" w:rsidRDefault="00BB7CE0" w:rsidP="00BB7CE0">
                            <w:pPr>
                              <w:jc w:val="both"/>
                              <w:rPr>
                                <w:rFonts w:ascii="Times New Roman" w:hAnsi="Times New Roman" w:cs="Times New Roman"/>
                                <w:b/>
                                <w:bCs/>
                                <w:sz w:val="16"/>
                                <w:szCs w:val="16"/>
                              </w:rPr>
                            </w:pPr>
                            <w:r w:rsidRPr="000F045D">
                              <w:rPr>
                                <w:rFonts w:ascii="Times New Roman" w:hAnsi="Times New Roman" w:cs="Times New Roman"/>
                                <w:b/>
                                <w:bCs/>
                                <w:sz w:val="16"/>
                                <w:szCs w:val="16"/>
                              </w:rPr>
                              <w:t>Linair Maria Campos</w:t>
                            </w:r>
                          </w:p>
                          <w:p w14:paraId="4F72DE8D" w14:textId="77777777" w:rsidR="00BB7CE0" w:rsidRPr="000F045D" w:rsidRDefault="00BB7CE0" w:rsidP="00BB7CE0">
                            <w:pPr>
                              <w:jc w:val="both"/>
                              <w:rPr>
                                <w:rFonts w:ascii="Times New Roman" w:hAnsi="Times New Roman" w:cs="Times New Roman"/>
                                <w:sz w:val="16"/>
                                <w:szCs w:val="16"/>
                              </w:rPr>
                            </w:pPr>
                            <w:r w:rsidRPr="000F045D">
                              <w:rPr>
                                <w:rFonts w:ascii="Times New Roman" w:hAnsi="Times New Roman" w:cs="Times New Roman"/>
                                <w:sz w:val="16"/>
                                <w:szCs w:val="16"/>
                              </w:rPr>
                              <w:t>Possui graduação em Informática, mestrado em Informática pela Universidade Federal do Rio de Janeiro (2004) e Doutorado em Ciência da Informação pelo convênio UFF/IBICT. Professora adjunta do departamento de Ciência da Informação e do PPGCI da Universidade Federal Fluminense. Analista de TI aposentada da UFRJ, tem experiência de mais de 20 anos na área de Ciência da Computação. Tem interesse nos seguintes temas: ontologias, objetos de fronteira, tecnologias web, web semântica, dados interligados abertos, modelagem conceitual, modelagem ontológica. Vem atuando em diversas Instituições como consultora em atividades de elaboração de linguagens documentárias.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BDCC" id="_x0000_s1040" type="#_x0000_t202" style="position:absolute;margin-left:90.35pt;margin-top:33.5pt;width:346.5pt;height:95.0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">
                <v:textbox>
                  <w:txbxContent>
                    <w:p w14:paraId="72B972B7" w14:textId="77777777" w:rsidR="00BB7CE0" w:rsidRDefault="00BB7CE0" w:rsidP="00BB7CE0">
                      <w:pPr>
                        <w:jc w:val="both"/>
                        <w:rPr>
                          <w:rFonts w:ascii="Times New Roman" w:hAnsi="Times New Roman" w:cs="Times New Roman"/>
                          <w:b/>
                          <w:bCs/>
                          <w:sz w:val="16"/>
                          <w:szCs w:val="16"/>
                        </w:rPr>
                      </w:pPr>
                      <w:r w:rsidRPr="000F045D">
                        <w:rPr>
                          <w:rFonts w:ascii="Times New Roman" w:hAnsi="Times New Roman" w:cs="Times New Roman"/>
                          <w:b/>
                          <w:bCs/>
                          <w:sz w:val="16"/>
                          <w:szCs w:val="16"/>
                        </w:rPr>
                        <w:t>Linair Maria Campos</w:t>
                      </w:r>
                    </w:p>
                    <w:p w14:paraId="4F72DE8D" w14:textId="77777777" w:rsidR="00BB7CE0" w:rsidRPr="000F045D" w:rsidRDefault="00BB7CE0" w:rsidP="00BB7CE0">
                      <w:pPr>
                        <w:jc w:val="both"/>
                        <w:rPr>
                          <w:rFonts w:ascii="Times New Roman" w:hAnsi="Times New Roman" w:cs="Times New Roman"/>
                          <w:sz w:val="16"/>
                          <w:szCs w:val="16"/>
                        </w:rPr>
                      </w:pPr>
                      <w:r w:rsidRPr="000F045D">
                        <w:rPr>
                          <w:rFonts w:ascii="Times New Roman" w:hAnsi="Times New Roman" w:cs="Times New Roman"/>
                          <w:sz w:val="16"/>
                          <w:szCs w:val="16"/>
                        </w:rPr>
                        <w:t>Possui graduação em Informática, mestrado em Informática pela Universidade Federal do Rio de Janeiro (2004) e Doutorado em Ciência da Informação pelo convênio UFF/IBICT. Professora adjunta do departamento de Ciência da Informação e do PPGCI da Universidade Federal Fluminense. Analista de TI aposentada da UFRJ, tem experiência de mais de 20 anos na área de Ciência da Computação. Tem interesse nos seguintes temas: ontologias, objetos de fronteira, tecnologias web, web semântica, dados interligados abertos, modelagem conceitual, modelagem ontológica. Vem atuando em diversas Instituições como consultora em atividades de elaboração de linguagens documentárias.</w:t>
                      </w:r>
                    </w:p>
                  </w:txbxContent>
                </v:textbox>
                <w10:wrap type="square" anchorx="margin"/>
              </v:shape>
            </w:pict>
          </mc:Fallback>
        </mc:AlternateContent>
      </w:r>
    </w:p>
    <w:p w14:paraId="0F247A83" w14:textId="0F846B05" w:rsidR="007B6871" w:rsidRDefault="000F045D"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w:lastRenderedPageBreak/>
        <mc:AlternateContent>
          <mc:Choice Requires="wps">
            <w:drawing>
              <wp:anchor distT="45720" distB="45720" distL="114300" distR="114300" simplePos="0" relativeHeight="251711488" behindDoc="0" locked="0" layoutInCell="1" allowOverlap="1" wp14:anchorId="68E97B79" wp14:editId="73A0B62C">
                <wp:simplePos x="0" y="0"/>
                <wp:positionH relativeFrom="margin">
                  <wp:posOffset>1153795</wp:posOffset>
                </wp:positionH>
                <wp:positionV relativeFrom="paragraph">
                  <wp:posOffset>136525</wp:posOffset>
                </wp:positionV>
                <wp:extent cx="4400550" cy="2087245"/>
                <wp:effectExtent l="0" t="0" r="19050" b="27305"/>
                <wp:wrapSquare wrapText="bothSides"/>
                <wp:docPr id="17980121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87245"/>
                        </a:xfrm>
                        <a:prstGeom prst="rect">
                          <a:avLst/>
                        </a:prstGeom>
                        <a:solidFill>
                          <a:srgbClr val="FFFFFF"/>
                        </a:solidFill>
                        <a:ln w="9525">
                          <a:solidFill>
                            <a:srgbClr val="000000"/>
                          </a:solidFill>
                          <a:miter lim="800000"/>
                          <a:headEnd/>
                          <a:tailEnd/>
                        </a:ln>
                      </wps:spPr>
                      <wps:txbx>
                        <w:txbxContent>
                          <w:p w14:paraId="6D1A9FA7"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Maria Luiza de Almeida Campos</w:t>
                            </w:r>
                            <w:r w:rsidRPr="000F045D">
                              <w:rPr>
                                <w:rFonts w:ascii="Times New Roman" w:hAnsi="Times New Roman" w:cs="Times New Roman"/>
                                <w:b/>
                                <w:bCs/>
                                <w:sz w:val="16"/>
                                <w:szCs w:val="16"/>
                              </w:rPr>
                              <w:t xml:space="preserve"> </w:t>
                            </w:r>
                          </w:p>
                          <w:p w14:paraId="7994B4A5" w14:textId="159572BF" w:rsidR="000F045D" w:rsidRPr="000F045D" w:rsidRDefault="000F045D" w:rsidP="000F045D">
                            <w:pPr>
                              <w:jc w:val="both"/>
                              <w:rPr>
                                <w:rFonts w:ascii="Times New Roman" w:hAnsi="Times New Roman" w:cs="Times New Roman"/>
                                <w:sz w:val="16"/>
                                <w:szCs w:val="16"/>
                              </w:rPr>
                            </w:pPr>
                            <w:r w:rsidRPr="000F045D">
                              <w:rPr>
                                <w:rFonts w:ascii="Times New Roman" w:hAnsi="Times New Roman" w:cs="Times New Roman"/>
                                <w:sz w:val="16"/>
                                <w:szCs w:val="16"/>
                              </w:rPr>
                              <w:t xml:space="preserve">Graduada em Biblioteconomia e Documentação. Doutora em Ciência da Informação pelo Instituto Brasileiro em Informação Científica e Tecnológica - IBICT/UFRJ. No ano de 2008 obteve Pós-Doutorado no Laboratório de Biologia Molecular de Tripanosamatídeos e Flebotomídeos do Instituto Oswaldo Cruz </w:t>
                            </w:r>
                            <w:r>
                              <w:rPr>
                                <w:rFonts w:ascii="Times New Roman" w:hAnsi="Times New Roman" w:cs="Times New Roman"/>
                                <w:sz w:val="16"/>
                                <w:szCs w:val="16"/>
                              </w:rPr>
                              <w:t>-</w:t>
                            </w:r>
                            <w:r w:rsidRPr="000F045D">
                              <w:rPr>
                                <w:rFonts w:ascii="Times New Roman" w:hAnsi="Times New Roman" w:cs="Times New Roman"/>
                                <w:sz w:val="16"/>
                                <w:szCs w:val="16"/>
                              </w:rPr>
                              <w:t xml:space="preserve"> FIOCRUZ na área de Ontologias genômicas,e no ano de 2014 obteve seu segundo Pós Doutorado na USP no Programa de Pós-Doutorado do Departamento de Biblioteconomia e Documentação da USP na área de Teorias de Representação/Ontologia de Fundamentação.Professora do Programa de Pós-Graduação em Ciência da Informação da Universidade Federal da Bahia. Desenvolve a pesquisa</w:t>
                            </w:r>
                            <w:r>
                              <w:rPr>
                                <w:rFonts w:ascii="Times New Roman" w:hAnsi="Times New Roman" w:cs="Times New Roman"/>
                                <w:sz w:val="16"/>
                                <w:szCs w:val="16"/>
                              </w:rPr>
                              <w:t xml:space="preserve">. </w:t>
                            </w:r>
                            <w:r w:rsidRPr="000F045D">
                              <w:rPr>
                                <w:rFonts w:ascii="Times New Roman" w:hAnsi="Times New Roman" w:cs="Times New Roman"/>
                                <w:sz w:val="16"/>
                                <w:szCs w:val="16"/>
                              </w:rPr>
                              <w:t>A Interoperabilidade Semântica em Ambientes Heterogêneos. Pesquisadora do grupo de pesquisa EOOCI</w:t>
                            </w:r>
                            <w:r>
                              <w:rPr>
                                <w:rFonts w:ascii="Times New Roman" w:hAnsi="Times New Roman" w:cs="Times New Roman"/>
                                <w:sz w:val="16"/>
                                <w:szCs w:val="16"/>
                              </w:rPr>
                              <w:t xml:space="preserve">: </w:t>
                            </w:r>
                            <w:r w:rsidRPr="000F045D">
                              <w:rPr>
                                <w:rFonts w:ascii="Times New Roman" w:hAnsi="Times New Roman" w:cs="Times New Roman"/>
                                <w:sz w:val="16"/>
                                <w:szCs w:val="16"/>
                              </w:rPr>
                              <w:t>Estudos Ônticos e Ontológicos em Contextos Informacionais: representação, recuperação e métricas. Possui atividades de ensino e pesquisa na área de Organização e Recuperação da Informação, com especialidades nas seguintes temáticas: Teorias de Representação, Modelagem de Domínio, Construção de Tesauros e Taxonomias; Teoria da Classificação; Terminologia; Ontologia e Gestão de Conteúdos. Vêm atuando em diversas Instituições como consultora em atividades de elaboração de linguagens documentárias, taxonomias e de política de indexação.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7B79" id="_x0000_s1041" type="#_x0000_t202" style="position:absolute;margin-left:90.85pt;margin-top:10.75pt;width:346.5pt;height:164.3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">
                <v:textbox>
                  <w:txbxContent>
                    <w:p w14:paraId="6D1A9FA7"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Maria Luiza de Almeida Campos</w:t>
                      </w:r>
                      <w:r w:rsidRPr="000F045D">
                        <w:rPr>
                          <w:rFonts w:ascii="Times New Roman" w:hAnsi="Times New Roman" w:cs="Times New Roman"/>
                          <w:b/>
                          <w:bCs/>
                          <w:sz w:val="16"/>
                          <w:szCs w:val="16"/>
                        </w:rPr>
                        <w:t xml:space="preserve"> </w:t>
                      </w:r>
                    </w:p>
                    <w:p w14:paraId="7994B4A5" w14:textId="159572BF" w:rsidR="000F045D" w:rsidRPr="000F045D" w:rsidRDefault="000F045D" w:rsidP="000F045D">
                      <w:pPr>
                        <w:jc w:val="both"/>
                        <w:rPr>
                          <w:rFonts w:ascii="Times New Roman" w:hAnsi="Times New Roman" w:cs="Times New Roman"/>
                          <w:sz w:val="16"/>
                          <w:szCs w:val="16"/>
                        </w:rPr>
                      </w:pPr>
                      <w:r w:rsidRPr="000F045D">
                        <w:rPr>
                          <w:rFonts w:ascii="Times New Roman" w:hAnsi="Times New Roman" w:cs="Times New Roman"/>
                          <w:sz w:val="16"/>
                          <w:szCs w:val="16"/>
                        </w:rPr>
                        <w:t xml:space="preserve">Graduada em Biblioteconomia e Documentação. Doutora em Ciência da Informação pelo Instituto Brasileiro em Informação Científica e Tecnológica - IBICT/UFRJ. No ano de 2008 obteve Pós-Doutorado no Laboratório de Biologia Molecular de Tripanosamatídeos e Flebotomídeos do Instituto Oswaldo Cruz </w:t>
                      </w:r>
                      <w:r>
                        <w:rPr>
                          <w:rFonts w:ascii="Times New Roman" w:hAnsi="Times New Roman" w:cs="Times New Roman"/>
                          <w:sz w:val="16"/>
                          <w:szCs w:val="16"/>
                        </w:rPr>
                        <w:t>-</w:t>
                      </w:r>
                      <w:r w:rsidRPr="000F045D">
                        <w:rPr>
                          <w:rFonts w:ascii="Times New Roman" w:hAnsi="Times New Roman" w:cs="Times New Roman"/>
                          <w:sz w:val="16"/>
                          <w:szCs w:val="16"/>
                        </w:rPr>
                        <w:t xml:space="preserve"> FIOCRUZ na área de Ontologias genômicas,e no ano de 2014 obteve seu segundo Pós Doutorado na USP no Programa de Pós-Doutorado do Departamento de Biblioteconomia e Documentação da USP na área de Teorias de Representação/Ontologia de Fundamentação.Professora do Programa de Pós-Graduação em Ciência da Informação da Universidade Federal da Bahia. Desenvolve a pesquisa</w:t>
                      </w:r>
                      <w:r>
                        <w:rPr>
                          <w:rFonts w:ascii="Times New Roman" w:hAnsi="Times New Roman" w:cs="Times New Roman"/>
                          <w:sz w:val="16"/>
                          <w:szCs w:val="16"/>
                        </w:rPr>
                        <w:t xml:space="preserve">. </w:t>
                      </w:r>
                      <w:r w:rsidRPr="000F045D">
                        <w:rPr>
                          <w:rFonts w:ascii="Times New Roman" w:hAnsi="Times New Roman" w:cs="Times New Roman"/>
                          <w:sz w:val="16"/>
                          <w:szCs w:val="16"/>
                        </w:rPr>
                        <w:t>A Interoperabilidade Semântica em Ambientes Heterogêneos. Pesquisadora do grupo de pesquisa EOOCI</w:t>
                      </w:r>
                      <w:r>
                        <w:rPr>
                          <w:rFonts w:ascii="Times New Roman" w:hAnsi="Times New Roman" w:cs="Times New Roman"/>
                          <w:sz w:val="16"/>
                          <w:szCs w:val="16"/>
                        </w:rPr>
                        <w:t xml:space="preserve">: </w:t>
                      </w:r>
                      <w:r w:rsidRPr="000F045D">
                        <w:rPr>
                          <w:rFonts w:ascii="Times New Roman" w:hAnsi="Times New Roman" w:cs="Times New Roman"/>
                          <w:sz w:val="16"/>
                          <w:szCs w:val="16"/>
                        </w:rPr>
                        <w:t>Estudos Ônticos e Ontológicos em Contextos Informacionais: representação, recuperação e métricas. Possui atividades de ensino e pesquisa na área de Organização e Recuperação da Informação, com especialidades nas seguintes temáticas: Teorias de Representação, Modelagem de Domínio, Construção de Tesauros e Taxonomias; Teoria da Classificação; Terminologia; Ontologia e Gestão de Conteúdos. Vêm atuando em diversas Instituições como consultora em atividades de elaboração de linguagens documentárias, taxonomias e de política de indexação.</w:t>
                      </w:r>
                    </w:p>
                  </w:txbxContent>
                </v:textbox>
                <w10:wrap type="square" anchorx="margin"/>
              </v:shape>
            </w:pict>
          </mc:Fallback>
        </mc:AlternateContent>
      </w:r>
      <w:r>
        <w:rPr>
          <w:rFonts w:ascii="Times New Roman" w:eastAsia="Times New Roman" w:hAnsi="Times New Roman" w:cs="Times New Roman"/>
          <w:noProof/>
          <w:kern w:val="0"/>
          <w:sz w:val="24"/>
          <w:szCs w:val="24"/>
          <w:lang w:eastAsia="pt-BR"/>
          <w14:ligatures w14:val="none"/>
        </w:rPr>
        <w:drawing>
          <wp:anchor distT="0" distB="0" distL="114300" distR="114300" simplePos="0" relativeHeight="251712512" behindDoc="0" locked="0" layoutInCell="1" allowOverlap="1" wp14:anchorId="77EB9B7A" wp14:editId="1FC40A8A">
            <wp:simplePos x="0" y="0"/>
            <wp:positionH relativeFrom="margin">
              <wp:posOffset>-252622</wp:posOffset>
            </wp:positionH>
            <wp:positionV relativeFrom="paragraph">
              <wp:posOffset>326473</wp:posOffset>
            </wp:positionV>
            <wp:extent cx="1267460" cy="1655445"/>
            <wp:effectExtent l="0" t="0" r="8890" b="1905"/>
            <wp:wrapThrough wrapText="bothSides">
              <wp:wrapPolygon edited="0">
                <wp:start x="0" y="0"/>
                <wp:lineTo x="0" y="21376"/>
                <wp:lineTo x="21427" y="21376"/>
                <wp:lineTo x="21427" y="0"/>
                <wp:lineTo x="0" y="0"/>
              </wp:wrapPolygon>
            </wp:wrapThrough>
            <wp:docPr id="5196399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7460" cy="1655445"/>
                    </a:xfrm>
                    <a:prstGeom prst="rect">
                      <a:avLst/>
                    </a:prstGeom>
                    <a:noFill/>
                  </pic:spPr>
                </pic:pic>
              </a:graphicData>
            </a:graphic>
            <wp14:sizeRelH relativeFrom="page">
              <wp14:pctWidth>0</wp14:pctWidth>
            </wp14:sizeRelH>
            <wp14:sizeRelV relativeFrom="page">
              <wp14:pctHeight>0</wp14:pctHeight>
            </wp14:sizeRelV>
          </wp:anchor>
        </w:drawing>
      </w:r>
    </w:p>
    <w:p w14:paraId="1BBD165B" w14:textId="485F2380" w:rsidR="007B6871" w:rsidRDefault="007B6871" w:rsidP="00F850DA">
      <w:pPr>
        <w:rPr>
          <w:rFonts w:ascii="Times New Roman" w:eastAsia="Times New Roman" w:hAnsi="Times New Roman" w:cs="Times New Roman"/>
          <w:kern w:val="0"/>
          <w:sz w:val="24"/>
          <w:szCs w:val="24"/>
          <w:lang w:eastAsia="pt-BR"/>
          <w14:ligatures w14:val="none"/>
        </w:rPr>
      </w:pPr>
    </w:p>
    <w:p w14:paraId="2AC593EE" w14:textId="1DF8F41B" w:rsidR="007B6871" w:rsidRDefault="007B6871" w:rsidP="00F850DA">
      <w:pPr>
        <w:rPr>
          <w:rFonts w:ascii="Times New Roman" w:eastAsia="Times New Roman" w:hAnsi="Times New Roman" w:cs="Times New Roman"/>
          <w:kern w:val="0"/>
          <w:sz w:val="24"/>
          <w:szCs w:val="24"/>
          <w:lang w:eastAsia="pt-BR"/>
          <w14:ligatures w14:val="none"/>
        </w:rPr>
      </w:pPr>
    </w:p>
    <w:p w14:paraId="1075614A" w14:textId="0155015B" w:rsidR="007B6871" w:rsidRDefault="008A11F3" w:rsidP="00F850DA">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noProof/>
          <w:kern w:val="0"/>
          <w:sz w:val="24"/>
          <w:szCs w:val="24"/>
          <w:lang w:eastAsia="pt-BR"/>
          <w14:ligatures w14:val="none"/>
        </w:rPr>
        <w:drawing>
          <wp:anchor distT="0" distB="0" distL="114300" distR="114300" simplePos="0" relativeHeight="251717632" behindDoc="0" locked="0" layoutInCell="1" allowOverlap="1" wp14:anchorId="3792EBF0" wp14:editId="184CE9F2">
            <wp:simplePos x="0" y="0"/>
            <wp:positionH relativeFrom="margin">
              <wp:align>left</wp:align>
            </wp:positionH>
            <wp:positionV relativeFrom="paragraph">
              <wp:posOffset>469074</wp:posOffset>
            </wp:positionV>
            <wp:extent cx="885825" cy="1181735"/>
            <wp:effectExtent l="0" t="0" r="9525" b="0"/>
            <wp:wrapThrough wrapText="bothSides">
              <wp:wrapPolygon edited="0">
                <wp:start x="0" y="0"/>
                <wp:lineTo x="0" y="21240"/>
                <wp:lineTo x="21368" y="21240"/>
                <wp:lineTo x="21368" y="0"/>
                <wp:lineTo x="0" y="0"/>
              </wp:wrapPolygon>
            </wp:wrapThrough>
            <wp:docPr id="164335963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5825" cy="1181735"/>
                    </a:xfrm>
                    <a:prstGeom prst="rect">
                      <a:avLst/>
                    </a:prstGeom>
                    <a:noFill/>
                  </pic:spPr>
                </pic:pic>
              </a:graphicData>
            </a:graphic>
            <wp14:sizeRelH relativeFrom="page">
              <wp14:pctWidth>0</wp14:pctWidth>
            </wp14:sizeRelH>
            <wp14:sizeRelV relativeFrom="page">
              <wp14:pctHeight>0</wp14:pctHeight>
            </wp14:sizeRelV>
          </wp:anchor>
        </w:drawing>
      </w:r>
      <w:r w:rsidR="000F045D"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16608" behindDoc="0" locked="0" layoutInCell="1" allowOverlap="1" wp14:anchorId="63321340" wp14:editId="1A5AD89F">
                <wp:simplePos x="0" y="0"/>
                <wp:positionH relativeFrom="margin">
                  <wp:posOffset>1179830</wp:posOffset>
                </wp:positionH>
                <wp:positionV relativeFrom="paragraph">
                  <wp:posOffset>297180</wp:posOffset>
                </wp:positionV>
                <wp:extent cx="4400550" cy="1630045"/>
                <wp:effectExtent l="0" t="0" r="19050" b="27305"/>
                <wp:wrapSquare wrapText="bothSides"/>
                <wp:docPr id="8006501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630045"/>
                        </a:xfrm>
                        <a:prstGeom prst="rect">
                          <a:avLst/>
                        </a:prstGeom>
                        <a:solidFill>
                          <a:srgbClr val="FFFFFF"/>
                        </a:solidFill>
                        <a:ln w="9525">
                          <a:solidFill>
                            <a:srgbClr val="000000"/>
                          </a:solidFill>
                          <a:miter lim="800000"/>
                          <a:headEnd/>
                          <a:tailEnd/>
                        </a:ln>
                      </wps:spPr>
                      <wps:txbx>
                        <w:txbxContent>
                          <w:p w14:paraId="64C17E0E"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Asy Pepe Sanches Neto</w:t>
                            </w:r>
                            <w:r w:rsidRPr="000F045D">
                              <w:rPr>
                                <w:rFonts w:ascii="Times New Roman" w:hAnsi="Times New Roman" w:cs="Times New Roman"/>
                                <w:b/>
                                <w:bCs/>
                                <w:sz w:val="16"/>
                                <w:szCs w:val="16"/>
                              </w:rPr>
                              <w:t xml:space="preserve"> </w:t>
                            </w:r>
                          </w:p>
                          <w:p w14:paraId="69756BD8" w14:textId="78B52BAF" w:rsidR="000F045D" w:rsidRPr="000F045D" w:rsidRDefault="008A11F3" w:rsidP="008A11F3">
                            <w:pPr>
                              <w:jc w:val="both"/>
                              <w:rPr>
                                <w:rFonts w:ascii="Times New Roman" w:hAnsi="Times New Roman" w:cs="Times New Roman"/>
                                <w:sz w:val="16"/>
                                <w:szCs w:val="16"/>
                              </w:rPr>
                            </w:pPr>
                            <w:r w:rsidRPr="008A11F3">
                              <w:rPr>
                                <w:rFonts w:ascii="Times New Roman" w:hAnsi="Times New Roman" w:cs="Times New Roman"/>
                                <w:sz w:val="16"/>
                                <w:szCs w:val="16"/>
                              </w:rPr>
                              <w:t>Bacharel em Biblioteconomia e Documentação (2013), mestre (2016) e doutor (2022) em Ciência da Informação pela Universidade Federal Fluminense. Atuou como professor substituto do departamento de Ciência da Informação da Universidade Federal Fluminense (2017). Foi conselheiro titular do Conselho Municipal de Políticas Culturais de Niterói, RJ -- representante da Câmara de Teatro e Circo (2020-2022). Desenvolve atividades artísticas, com ênfase na linguagem teatral, como ator, diretor e dramaturgo na Campanhia Graco de Teatro, localizada na Zona Norte de NIterói/RJ. Centra suas atividades acadêmicas na compreensão do valor político, performático e cultural do documento, da Documentação e das unidades de Arquivamento, sobretudo quanto à construção social e política de minorias políticas e marginais. Como bibliotecário e artista, é engajado na luta pela ampliação dos espaços culturais às pluralidades de linguagens e corpos.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21340" id="_x0000_s1042" type="#_x0000_t202" style="position:absolute;margin-left:92.9pt;margin-top:23.4pt;width:346.5pt;height:128.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">
                <v:textbox>
                  <w:txbxContent>
                    <w:p w14:paraId="64C17E0E" w14:textId="77777777" w:rsidR="000F045D" w:rsidRDefault="000F045D" w:rsidP="000F045D">
                      <w:pPr>
                        <w:jc w:val="both"/>
                        <w:rPr>
                          <w:rFonts w:ascii="Times New Roman" w:hAnsi="Times New Roman" w:cs="Times New Roman"/>
                          <w:b/>
                          <w:bCs/>
                          <w:sz w:val="16"/>
                          <w:szCs w:val="16"/>
                        </w:rPr>
                      </w:pPr>
                      <w:r w:rsidRPr="000F045D">
                        <w:rPr>
                          <w:rFonts w:ascii="Times New Roman" w:hAnsi="Times New Roman" w:cs="Times New Roman"/>
                          <w:b/>
                          <w:bCs/>
                          <w:sz w:val="16"/>
                          <w:szCs w:val="16"/>
                        </w:rPr>
                        <w:t>Asy Pepe Sanches Neto</w:t>
                      </w:r>
                      <w:r w:rsidRPr="000F045D">
                        <w:rPr>
                          <w:rFonts w:ascii="Times New Roman" w:hAnsi="Times New Roman" w:cs="Times New Roman"/>
                          <w:b/>
                          <w:bCs/>
                          <w:sz w:val="16"/>
                          <w:szCs w:val="16"/>
                        </w:rPr>
                        <w:t xml:space="preserve"> </w:t>
                      </w:r>
                    </w:p>
                    <w:p w14:paraId="69756BD8" w14:textId="78B52BAF" w:rsidR="000F045D" w:rsidRPr="000F045D" w:rsidRDefault="008A11F3" w:rsidP="008A11F3">
                      <w:pPr>
                        <w:jc w:val="both"/>
                        <w:rPr>
                          <w:rFonts w:ascii="Times New Roman" w:hAnsi="Times New Roman" w:cs="Times New Roman"/>
                          <w:sz w:val="16"/>
                          <w:szCs w:val="16"/>
                        </w:rPr>
                      </w:pPr>
                      <w:r w:rsidRPr="008A11F3">
                        <w:rPr>
                          <w:rFonts w:ascii="Times New Roman" w:hAnsi="Times New Roman" w:cs="Times New Roman"/>
                          <w:sz w:val="16"/>
                          <w:szCs w:val="16"/>
                        </w:rPr>
                        <w:t>Bacharel em Biblioteconomia e Documentação (2013), mestre (2016) e doutor (2022) em Ciência da Informação pela Universidade Federal Fluminense. Atuou como professor substituto do departamento de Ciência da Informação da Universidade Federal Fluminense (2017). Foi conselheiro titular do Conselho Municipal de Políticas Culturais de Niterói, RJ -- representante da Câmara de Teatro e Circo (2020-2022). Desenvolve atividades artísticas, com ênfase na linguagem teatral, como ator, diretor e dramaturgo na Campanhia Graco de Teatro, localizada na Zona Norte de NIterói/RJ. Centra suas atividades acadêmicas na compreensão do valor político, performático e cultural do documento, da Documentação e das unidades de Arquivamento, sobretudo quanto à construção social e política de minorias políticas e marginais. Como bibliotecário e artista, é engajado na luta pela ampliação dos espaços culturais às pluralidades de linguagens e corpos.</w:t>
                      </w:r>
                    </w:p>
                  </w:txbxContent>
                </v:textbox>
                <w10:wrap type="square" anchorx="margin"/>
              </v:shape>
            </w:pict>
          </mc:Fallback>
        </mc:AlternateContent>
      </w:r>
    </w:p>
    <w:p w14:paraId="70CB8BB5" w14:textId="1AB6455A" w:rsidR="007B6871" w:rsidRDefault="007B6871" w:rsidP="00F850DA">
      <w:pPr>
        <w:rPr>
          <w:rFonts w:ascii="Times New Roman" w:eastAsia="Times New Roman" w:hAnsi="Times New Roman" w:cs="Times New Roman"/>
          <w:kern w:val="0"/>
          <w:sz w:val="24"/>
          <w:szCs w:val="24"/>
          <w:lang w:eastAsia="pt-BR"/>
          <w14:ligatures w14:val="none"/>
        </w:rPr>
      </w:pPr>
    </w:p>
    <w:p w14:paraId="783B40C3" w14:textId="1AFF8BEF" w:rsidR="007B6871" w:rsidRDefault="007B6871" w:rsidP="00F850DA">
      <w:pPr>
        <w:rPr>
          <w:rFonts w:ascii="Times New Roman" w:eastAsia="Times New Roman" w:hAnsi="Times New Roman" w:cs="Times New Roman"/>
          <w:kern w:val="0"/>
          <w:sz w:val="24"/>
          <w:szCs w:val="24"/>
          <w:lang w:eastAsia="pt-BR"/>
          <w14:ligatures w14:val="none"/>
        </w:rPr>
      </w:pPr>
    </w:p>
    <w:p w14:paraId="20BAA2AD" w14:textId="00CFFD5A" w:rsidR="007B6871" w:rsidRDefault="007B6871" w:rsidP="00F850DA">
      <w:pPr>
        <w:rPr>
          <w:rFonts w:ascii="Times New Roman" w:eastAsia="Times New Roman" w:hAnsi="Times New Roman" w:cs="Times New Roman"/>
          <w:kern w:val="0"/>
          <w:sz w:val="24"/>
          <w:szCs w:val="24"/>
          <w:lang w:eastAsia="pt-BR"/>
          <w14:ligatures w14:val="none"/>
        </w:rPr>
      </w:pPr>
    </w:p>
    <w:p w14:paraId="36966043" w14:textId="6644F8AC" w:rsidR="007B6871" w:rsidRDefault="008A11F3"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mc:AlternateContent>
          <mc:Choice Requires="wps">
            <w:drawing>
              <wp:anchor distT="45720" distB="45720" distL="114300" distR="114300" simplePos="0" relativeHeight="251719680" behindDoc="0" locked="0" layoutInCell="1" allowOverlap="1" wp14:anchorId="5DF11C78" wp14:editId="626BA484">
                <wp:simplePos x="0" y="0"/>
                <wp:positionH relativeFrom="margin">
                  <wp:posOffset>1179794</wp:posOffset>
                </wp:positionH>
                <wp:positionV relativeFrom="paragraph">
                  <wp:posOffset>6350</wp:posOffset>
                </wp:positionV>
                <wp:extent cx="4400550" cy="2621915"/>
                <wp:effectExtent l="0" t="0" r="19050" b="26035"/>
                <wp:wrapSquare wrapText="bothSides"/>
                <wp:docPr id="1965619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21915"/>
                        </a:xfrm>
                        <a:prstGeom prst="rect">
                          <a:avLst/>
                        </a:prstGeom>
                        <a:solidFill>
                          <a:srgbClr val="FFFFFF"/>
                        </a:solidFill>
                        <a:ln w="9525">
                          <a:solidFill>
                            <a:srgbClr val="000000"/>
                          </a:solidFill>
                          <a:miter lim="800000"/>
                          <a:headEnd/>
                          <a:tailEnd/>
                        </a:ln>
                      </wps:spPr>
                      <wps:txbx>
                        <w:txbxContent>
                          <w:p w14:paraId="1AF93E86" w14:textId="77777777" w:rsidR="008A11F3" w:rsidRDefault="008A11F3" w:rsidP="008A11F3">
                            <w:pPr>
                              <w:jc w:val="both"/>
                              <w:rPr>
                                <w:rFonts w:ascii="Times New Roman" w:hAnsi="Times New Roman" w:cs="Times New Roman"/>
                                <w:b/>
                                <w:bCs/>
                                <w:sz w:val="16"/>
                                <w:szCs w:val="16"/>
                              </w:rPr>
                            </w:pPr>
                            <w:r w:rsidRPr="008A11F3">
                              <w:rPr>
                                <w:rFonts w:ascii="Times New Roman" w:hAnsi="Times New Roman" w:cs="Times New Roman"/>
                                <w:b/>
                                <w:bCs/>
                                <w:sz w:val="16"/>
                                <w:szCs w:val="16"/>
                              </w:rPr>
                              <w:t>Elisabete Gonçalves de Souza</w:t>
                            </w:r>
                            <w:r w:rsidRPr="008A11F3">
                              <w:rPr>
                                <w:rFonts w:ascii="Times New Roman" w:hAnsi="Times New Roman" w:cs="Times New Roman"/>
                                <w:b/>
                                <w:bCs/>
                                <w:sz w:val="16"/>
                                <w:szCs w:val="16"/>
                              </w:rPr>
                              <w:t xml:space="preserve"> </w:t>
                            </w:r>
                          </w:p>
                          <w:p w14:paraId="076BD3FD" w14:textId="1C1DEA75" w:rsidR="008A11F3" w:rsidRPr="000F045D" w:rsidRDefault="008A11F3" w:rsidP="008A11F3">
                            <w:pPr>
                              <w:jc w:val="both"/>
                              <w:rPr>
                                <w:rFonts w:ascii="Times New Roman" w:hAnsi="Times New Roman" w:cs="Times New Roman"/>
                                <w:sz w:val="16"/>
                                <w:szCs w:val="16"/>
                              </w:rPr>
                            </w:pPr>
                            <w:r w:rsidRPr="008A11F3">
                              <w:rPr>
                                <w:rFonts w:ascii="Times New Roman" w:hAnsi="Times New Roman" w:cs="Times New Roman"/>
                                <w:sz w:val="16"/>
                                <w:szCs w:val="16"/>
                              </w:rPr>
                              <w:t xml:space="preserve">Graduada em Biblioteconomia e Documentação (1987) e em História (1992) pela Universidade Federal Fluminense; mestrado em Educação (1997) pela Universidade Federal Fluminense e doutorado (2012) em História e Filosofia da Educação Brasileira pela Universidade Estadual de Campinas. No campo da Documentação, atuou como bolsista de aperfeiçoamento do Centro de informações Nucleares (1987-1989); bibliotecária do SESC (1989-2004), sendo responsável pela organização do acervo bibliográfico e pelas atividades de leitura da unidade da Tijuca, onde coordenou o projeto Palavra em Cena; bibliotecária da Universidade Federal Fluminense(1993-2008), trabalhou no Núcleo de Documentação e no Centro e Memória Fluminense, atuou nas áreas de referência, planejamento de exposições e na organização de bases de dados bibliográficas; foi professora dos cursos de Pedagogia e Letras da Universidade Estácio de Sá e do Curso de Pedagogia do Instituto Educação do Rio de Janeiro. Desde 2009 é professora do Departamento de Ciência da Informação da Universidade Federal Fluminense, cursos de Arquivologia e Biblioteconomia, onde ministra disciplinas na área de organização da informação, com ênfase em descrição, análise e estrutura de bases de dados bibliográficas. Em 2013 foi credenciada como professora do Programa de Pós-Graduação em Ciência da Informação. Coordena projeto pesquisa sobre a função Informacional e pedagógica dos arquivos históricos </w:t>
                            </w:r>
                            <w:r w:rsidRPr="008A11F3">
                              <w:rPr>
                                <w:rFonts w:ascii="Times New Roman" w:hAnsi="Times New Roman" w:cs="Times New Roman"/>
                                <w:sz w:val="16"/>
                                <w:szCs w:val="16"/>
                              </w:rPr>
                              <w:t>escolares. Participa</w:t>
                            </w:r>
                            <w:r w:rsidRPr="008A11F3">
                              <w:rPr>
                                <w:rFonts w:ascii="Times New Roman" w:hAnsi="Times New Roman" w:cs="Times New Roman"/>
                                <w:sz w:val="16"/>
                                <w:szCs w:val="16"/>
                              </w:rPr>
                              <w:t xml:space="preserve"> dos seguintes grupos de pesquisa: Arquivos e bibliotecas: apropriações teóricas e aplicações metodológicas e Bibliotecas públicas no Brasil: reflexão e práticas, Organização e Representação do Conhecimento em ambientes digitais.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1C78" id="_x0000_s1043" type="#_x0000_t202" style="position:absolute;margin-left:92.9pt;margin-top:.5pt;width:346.5pt;height:206.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">
                <v:textbox>
                  <w:txbxContent>
                    <w:p w14:paraId="1AF93E86" w14:textId="77777777" w:rsidR="008A11F3" w:rsidRDefault="008A11F3" w:rsidP="008A11F3">
                      <w:pPr>
                        <w:jc w:val="both"/>
                        <w:rPr>
                          <w:rFonts w:ascii="Times New Roman" w:hAnsi="Times New Roman" w:cs="Times New Roman"/>
                          <w:b/>
                          <w:bCs/>
                          <w:sz w:val="16"/>
                          <w:szCs w:val="16"/>
                        </w:rPr>
                      </w:pPr>
                      <w:r w:rsidRPr="008A11F3">
                        <w:rPr>
                          <w:rFonts w:ascii="Times New Roman" w:hAnsi="Times New Roman" w:cs="Times New Roman"/>
                          <w:b/>
                          <w:bCs/>
                          <w:sz w:val="16"/>
                          <w:szCs w:val="16"/>
                        </w:rPr>
                        <w:t>Elisabete Gonçalves de Souza</w:t>
                      </w:r>
                      <w:r w:rsidRPr="008A11F3">
                        <w:rPr>
                          <w:rFonts w:ascii="Times New Roman" w:hAnsi="Times New Roman" w:cs="Times New Roman"/>
                          <w:b/>
                          <w:bCs/>
                          <w:sz w:val="16"/>
                          <w:szCs w:val="16"/>
                        </w:rPr>
                        <w:t xml:space="preserve"> </w:t>
                      </w:r>
                    </w:p>
                    <w:p w14:paraId="076BD3FD" w14:textId="1C1DEA75" w:rsidR="008A11F3" w:rsidRPr="000F045D" w:rsidRDefault="008A11F3" w:rsidP="008A11F3">
                      <w:pPr>
                        <w:jc w:val="both"/>
                        <w:rPr>
                          <w:rFonts w:ascii="Times New Roman" w:hAnsi="Times New Roman" w:cs="Times New Roman"/>
                          <w:sz w:val="16"/>
                          <w:szCs w:val="16"/>
                        </w:rPr>
                      </w:pPr>
                      <w:r w:rsidRPr="008A11F3">
                        <w:rPr>
                          <w:rFonts w:ascii="Times New Roman" w:hAnsi="Times New Roman" w:cs="Times New Roman"/>
                          <w:sz w:val="16"/>
                          <w:szCs w:val="16"/>
                        </w:rPr>
                        <w:t xml:space="preserve">Graduada em Biblioteconomia e Documentação (1987) e em História (1992) pela Universidade Federal Fluminense; mestrado em Educação (1997) pela Universidade Federal Fluminense e doutorado (2012) em História e Filosofia da Educação Brasileira pela Universidade Estadual de Campinas. No campo da Documentação, atuou como bolsista de aperfeiçoamento do Centro de informações Nucleares (1987-1989); bibliotecária do SESC (1989-2004), sendo responsável pela organização do acervo bibliográfico e pelas atividades de leitura da unidade da Tijuca, onde coordenou o projeto Palavra em Cena; bibliotecária da Universidade Federal Fluminense(1993-2008), trabalhou no Núcleo de Documentação e no Centro e Memória Fluminense, atuou nas áreas de referência, planejamento de exposições e na organização de bases de dados bibliográficas; foi professora dos cursos de Pedagogia e Letras da Universidade Estácio de Sá e do Curso de Pedagogia do Instituto Educação do Rio de Janeiro. Desde 2009 é professora do Departamento de Ciência da Informação da Universidade Federal Fluminense, cursos de Arquivologia e Biblioteconomia, onde ministra disciplinas na área de organização da informação, com ênfase em descrição, análise e estrutura de bases de dados bibliográficas. Em 2013 foi credenciada como professora do Programa de Pós-Graduação em Ciência da Informação. Coordena projeto pesquisa sobre a função Informacional e pedagógica dos arquivos históricos </w:t>
                      </w:r>
                      <w:r w:rsidRPr="008A11F3">
                        <w:rPr>
                          <w:rFonts w:ascii="Times New Roman" w:hAnsi="Times New Roman" w:cs="Times New Roman"/>
                          <w:sz w:val="16"/>
                          <w:szCs w:val="16"/>
                        </w:rPr>
                        <w:t>escolares. Participa</w:t>
                      </w:r>
                      <w:r w:rsidRPr="008A11F3">
                        <w:rPr>
                          <w:rFonts w:ascii="Times New Roman" w:hAnsi="Times New Roman" w:cs="Times New Roman"/>
                          <w:sz w:val="16"/>
                          <w:szCs w:val="16"/>
                        </w:rPr>
                        <w:t xml:space="preserve"> dos seguintes grupos de pesquisa: Arquivos e bibliotecas: apropriações teóricas e aplicações metodológicas e Bibliotecas públicas no Brasil: reflexão e práticas, Organização e Representação do Conhecimento em ambientes digitais.</w:t>
                      </w:r>
                    </w:p>
                  </w:txbxContent>
                </v:textbox>
                <w10:wrap type="square" anchorx="margin"/>
              </v:shape>
            </w:pict>
          </mc:Fallback>
        </mc:AlternateContent>
      </w:r>
    </w:p>
    <w:p w14:paraId="5A02A0D0" w14:textId="681C148A" w:rsidR="007B6871" w:rsidRDefault="008A11F3" w:rsidP="00F850DA">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noProof/>
          <w:kern w:val="0"/>
          <w:sz w:val="24"/>
          <w:szCs w:val="24"/>
          <w:lang w:eastAsia="pt-BR"/>
          <w14:ligatures w14:val="none"/>
        </w:rPr>
        <w:drawing>
          <wp:anchor distT="0" distB="0" distL="114300" distR="114300" simplePos="0" relativeHeight="251720704" behindDoc="0" locked="0" layoutInCell="1" allowOverlap="1" wp14:anchorId="0132003C" wp14:editId="779EB1AA">
            <wp:simplePos x="0" y="0"/>
            <wp:positionH relativeFrom="margin">
              <wp:posOffset>-269659</wp:posOffset>
            </wp:positionH>
            <wp:positionV relativeFrom="paragraph">
              <wp:posOffset>310599</wp:posOffset>
            </wp:positionV>
            <wp:extent cx="1138555" cy="1138555"/>
            <wp:effectExtent l="0" t="0" r="4445" b="4445"/>
            <wp:wrapThrough wrapText="bothSides">
              <wp:wrapPolygon edited="0">
                <wp:start x="0" y="0"/>
                <wp:lineTo x="0" y="21323"/>
                <wp:lineTo x="21323" y="21323"/>
                <wp:lineTo x="21323" y="0"/>
                <wp:lineTo x="0" y="0"/>
              </wp:wrapPolygon>
            </wp:wrapThrough>
            <wp:docPr id="196329168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8555" cy="1138555"/>
                    </a:xfrm>
                    <a:prstGeom prst="rect">
                      <a:avLst/>
                    </a:prstGeom>
                    <a:noFill/>
                  </pic:spPr>
                </pic:pic>
              </a:graphicData>
            </a:graphic>
            <wp14:sizeRelH relativeFrom="page">
              <wp14:pctWidth>0</wp14:pctWidth>
            </wp14:sizeRelH>
            <wp14:sizeRelV relativeFrom="page">
              <wp14:pctHeight>0</wp14:pctHeight>
            </wp14:sizeRelV>
          </wp:anchor>
        </w:drawing>
      </w:r>
    </w:p>
    <w:p w14:paraId="7F412F80" w14:textId="6FF6BF76" w:rsidR="007B6871" w:rsidRDefault="007B6871" w:rsidP="00F850DA">
      <w:pPr>
        <w:rPr>
          <w:rFonts w:ascii="Times New Roman" w:eastAsia="Times New Roman" w:hAnsi="Times New Roman" w:cs="Times New Roman"/>
          <w:kern w:val="0"/>
          <w:sz w:val="24"/>
          <w:szCs w:val="24"/>
          <w:lang w:eastAsia="pt-BR"/>
          <w14:ligatures w14:val="none"/>
        </w:rPr>
      </w:pPr>
    </w:p>
    <w:p w14:paraId="56A1B2BE"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4E9BF462" w14:textId="77777777" w:rsidR="007B6871" w:rsidRDefault="007B6871" w:rsidP="00F850DA">
      <w:pPr>
        <w:rPr>
          <w:rFonts w:ascii="Times New Roman" w:eastAsia="Times New Roman" w:hAnsi="Times New Roman" w:cs="Times New Roman"/>
          <w:kern w:val="0"/>
          <w:sz w:val="24"/>
          <w:szCs w:val="24"/>
          <w:lang w:eastAsia="pt-BR"/>
          <w14:ligatures w14:val="none"/>
        </w:rPr>
      </w:pPr>
    </w:p>
    <w:p w14:paraId="71A95E1E" w14:textId="79081EB3" w:rsidR="007B6871" w:rsidRDefault="00BB7CE0" w:rsidP="00F850DA">
      <w:pPr>
        <w:rPr>
          <w:rFonts w:ascii="Times New Roman" w:eastAsia="Times New Roman" w:hAnsi="Times New Roman" w:cs="Times New Roman"/>
          <w:kern w:val="0"/>
          <w:sz w:val="24"/>
          <w:szCs w:val="24"/>
          <w:lang w:eastAsia="pt-BR"/>
          <w14:ligatures w14:val="none"/>
        </w:rPr>
      </w:pPr>
      <w:r w:rsidRPr="005E33C0">
        <w:rPr>
          <w:rFonts w:ascii="Times New Roman" w:eastAsia="Times New Roman" w:hAnsi="Times New Roman" w:cs="Times New Roman"/>
          <w:noProof/>
          <w:kern w:val="0"/>
          <w:sz w:val="24"/>
          <w:szCs w:val="24"/>
          <w:lang w:eastAsia="pt-BR"/>
          <w14:ligatures w14:val="none"/>
        </w:rPr>
        <w:lastRenderedPageBreak/>
        <mc:AlternateContent>
          <mc:Choice Requires="wps">
            <w:drawing>
              <wp:anchor distT="45720" distB="45720" distL="114300" distR="114300" simplePos="0" relativeHeight="251723776" behindDoc="0" locked="0" layoutInCell="1" allowOverlap="1" wp14:anchorId="05D078AF" wp14:editId="2C1CE6A0">
                <wp:simplePos x="0" y="0"/>
                <wp:positionH relativeFrom="margin">
                  <wp:posOffset>1024255</wp:posOffset>
                </wp:positionH>
                <wp:positionV relativeFrom="paragraph">
                  <wp:posOffset>164153</wp:posOffset>
                </wp:positionV>
                <wp:extent cx="4400550" cy="2233930"/>
                <wp:effectExtent l="0" t="0" r="19050" b="13970"/>
                <wp:wrapSquare wrapText="bothSides"/>
                <wp:docPr id="52495827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233930"/>
                        </a:xfrm>
                        <a:prstGeom prst="rect">
                          <a:avLst/>
                        </a:prstGeom>
                        <a:solidFill>
                          <a:srgbClr val="FFFFFF"/>
                        </a:solidFill>
                        <a:ln w="9525">
                          <a:solidFill>
                            <a:srgbClr val="000000"/>
                          </a:solidFill>
                          <a:miter lim="800000"/>
                          <a:headEnd/>
                          <a:tailEnd/>
                        </a:ln>
                      </wps:spPr>
                      <wps:txbx>
                        <w:txbxContent>
                          <w:p w14:paraId="34C36305" w14:textId="77777777" w:rsidR="00BB7CE0" w:rsidRDefault="00BB7CE0" w:rsidP="00BB7CE0">
                            <w:pPr>
                              <w:jc w:val="both"/>
                              <w:rPr>
                                <w:rFonts w:ascii="Times New Roman" w:hAnsi="Times New Roman" w:cs="Times New Roman"/>
                                <w:b/>
                                <w:bCs/>
                                <w:sz w:val="16"/>
                                <w:szCs w:val="16"/>
                              </w:rPr>
                            </w:pPr>
                            <w:r w:rsidRPr="00BB7CE0">
                              <w:rPr>
                                <w:rFonts w:ascii="Times New Roman" w:hAnsi="Times New Roman" w:cs="Times New Roman"/>
                                <w:b/>
                                <w:bCs/>
                                <w:sz w:val="16"/>
                                <w:szCs w:val="16"/>
                              </w:rPr>
                              <w:t>Isabela Costa da Silva</w:t>
                            </w:r>
                          </w:p>
                          <w:p w14:paraId="6857B3C7" w14:textId="2FA7E3F5" w:rsidR="00BB7CE0" w:rsidRPr="000F045D" w:rsidRDefault="00BB7CE0" w:rsidP="00BB7CE0">
                            <w:pPr>
                              <w:jc w:val="both"/>
                              <w:rPr>
                                <w:rFonts w:ascii="Times New Roman" w:hAnsi="Times New Roman" w:cs="Times New Roman"/>
                                <w:sz w:val="16"/>
                                <w:szCs w:val="16"/>
                              </w:rPr>
                            </w:pPr>
                            <w:r w:rsidRPr="00BB7CE0">
                              <w:rPr>
                                <w:rFonts w:ascii="Times New Roman" w:hAnsi="Times New Roman" w:cs="Times New Roman"/>
                                <w:sz w:val="16"/>
                                <w:szCs w:val="16"/>
                              </w:rPr>
                              <w:t>Doutora em Ciência da Informação pelo Programa de Pós-Graduação em Ciência da Informação da Universidade Federal Fluminense (PPGCI/UFF) desde 2021, Mestre em Ciência da Informação (PPGCI/UFF) com bolsa da Coordenação de Aperfeiçoamento de Pessoal de Nível Superior (CAPES) desde 2014, Bacharel em Arquivologia (UFF) desde 2011. Em 2019 participou da residência temática "Diversity Policies", promovida pela Faber Residència DArts, Ciêncies i Humanitats de Catalunya (Olot, Espanha), com o Projeto: " Políticas de acesso à informação para a construção da memória pós-ditadura militar no Brasil". Desde 2016 é arquivista Nível E da Universidade Federal do Estado do Rio de Janeiro (UNIRIO) onde atuou como Gerente de Gestão de Documentos. Atualmente ocupa o cargo de Diretora do Arquivo Central da UNIRIO. Atuou como arquivista Nível E no Centro Fedederal de Educação Tecnológica Celso Suckow da Fonseca (CEFET) no período compreendido entre 2014-2016, ocupando o cargo de Chefe de Gabinete. Atuou na área de Gestão de Projetos e Consultoria com ênfase em gestão de documentos arquivísticos na Diretoria Jurídica da empresa Merck S/A (2011-2014). Assuntos de interesse: gestão de documentos, produção documental, acesso à informação, políticas informacionais, uso social da informação, função social dos arquivos, difusão cultural em arquivos e princípios arquivísticos.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078AF" id="_x0000_s1044" type="#_x0000_t202" style="position:absolute;margin-left:80.65pt;margin-top:12.95pt;width:346.5pt;height:175.9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">
                <v:textbox>
                  <w:txbxContent>
                    <w:p w14:paraId="34C36305" w14:textId="77777777" w:rsidR="00BB7CE0" w:rsidRDefault="00BB7CE0" w:rsidP="00BB7CE0">
                      <w:pPr>
                        <w:jc w:val="both"/>
                        <w:rPr>
                          <w:rFonts w:ascii="Times New Roman" w:hAnsi="Times New Roman" w:cs="Times New Roman"/>
                          <w:b/>
                          <w:bCs/>
                          <w:sz w:val="16"/>
                          <w:szCs w:val="16"/>
                        </w:rPr>
                      </w:pPr>
                      <w:r w:rsidRPr="00BB7CE0">
                        <w:rPr>
                          <w:rFonts w:ascii="Times New Roman" w:hAnsi="Times New Roman" w:cs="Times New Roman"/>
                          <w:b/>
                          <w:bCs/>
                          <w:sz w:val="16"/>
                          <w:szCs w:val="16"/>
                        </w:rPr>
                        <w:t>Isabela Costa da Silva</w:t>
                      </w:r>
                    </w:p>
                    <w:p w14:paraId="6857B3C7" w14:textId="2FA7E3F5" w:rsidR="00BB7CE0" w:rsidRPr="000F045D" w:rsidRDefault="00BB7CE0" w:rsidP="00BB7CE0">
                      <w:pPr>
                        <w:jc w:val="both"/>
                        <w:rPr>
                          <w:rFonts w:ascii="Times New Roman" w:hAnsi="Times New Roman" w:cs="Times New Roman"/>
                          <w:sz w:val="16"/>
                          <w:szCs w:val="16"/>
                        </w:rPr>
                      </w:pPr>
                      <w:r w:rsidRPr="00BB7CE0">
                        <w:rPr>
                          <w:rFonts w:ascii="Times New Roman" w:hAnsi="Times New Roman" w:cs="Times New Roman"/>
                          <w:sz w:val="16"/>
                          <w:szCs w:val="16"/>
                        </w:rPr>
                        <w:t>Doutora em Ciência da Informação pelo Programa de Pós-Graduação em Ciência da Informação da Universidade Federal Fluminense (PPGCI/UFF) desde 2021, Mestre em Ciência da Informação (PPGCI/UFF) com bolsa da Coordenação de Aperfeiçoamento de Pessoal de Nível Superior (CAPES) desde 2014, Bacharel em Arquivologia (UFF) desde 2011. Em 2019 participou da residência temática "Diversity Policies", promovida pela Faber Residència DArts, Ciêncies i Humanitats de Catalunya (Olot, Espanha), com o Projeto: " Políticas de acesso à informação para a construção da memória pós-ditadura militar no Brasil". Desde 2016 é arquivista Nível E da Universidade Federal do Estado do Rio de Janeiro (UNIRIO) onde atuou como Gerente de Gestão de Documentos. Atualmente ocupa o cargo de Diretora do Arquivo Central da UNIRIO. Atuou como arquivista Nível E no Centro Fedederal de Educação Tecnológica Celso Suckow da Fonseca (CEFET) no período compreendido entre 2014-2016, ocupando o cargo de Chefe de Gabinete. Atuou na área de Gestão de Projetos e Consultoria com ênfase em gestão de documentos arquivísticos na Diretoria Jurídica da empresa Merck S/A (2011-2014). Assuntos de interesse: gestão de documentos, produção documental, acesso à informação, políticas informacionais, uso social da informação, função social dos arquivos, difusão cultural em arquivos e princípios arquivísticos.</w:t>
                      </w:r>
                    </w:p>
                  </w:txbxContent>
                </v:textbox>
                <w10:wrap type="square" anchorx="margin"/>
              </v:shape>
            </w:pict>
          </mc:Fallback>
        </mc:AlternateContent>
      </w:r>
    </w:p>
    <w:p w14:paraId="7195BFFC" w14:textId="3CC83CD1" w:rsidR="007B6871" w:rsidRDefault="00BB7CE0" w:rsidP="00F850DA">
      <w:pPr>
        <w:rPr>
          <w:rFonts w:ascii="Times New Roman" w:eastAsia="Times New Roman" w:hAnsi="Times New Roman" w:cs="Times New Roman"/>
          <w:kern w:val="0"/>
          <w:sz w:val="24"/>
          <w:szCs w:val="24"/>
          <w:lang w:eastAsia="pt-BR"/>
          <w14:ligatures w14:val="none"/>
        </w:rPr>
      </w:pPr>
      <w:r>
        <w:rPr>
          <w:noProof/>
        </w:rPr>
        <w:drawing>
          <wp:anchor distT="0" distB="0" distL="114300" distR="114300" simplePos="0" relativeHeight="251721728" behindDoc="0" locked="0" layoutInCell="1" allowOverlap="1" wp14:anchorId="600F92A3" wp14:editId="7BC26ECA">
            <wp:simplePos x="0" y="0"/>
            <wp:positionH relativeFrom="column">
              <wp:posOffset>-259559</wp:posOffset>
            </wp:positionH>
            <wp:positionV relativeFrom="paragraph">
              <wp:posOffset>261201</wp:posOffset>
            </wp:positionV>
            <wp:extent cx="1130060" cy="1661640"/>
            <wp:effectExtent l="0" t="0" r="0" b="0"/>
            <wp:wrapThrough wrapText="bothSides">
              <wp:wrapPolygon edited="0">
                <wp:start x="0" y="0"/>
                <wp:lineTo x="0" y="21303"/>
                <wp:lineTo x="21126" y="21303"/>
                <wp:lineTo x="21126" y="0"/>
                <wp:lineTo x="0" y="0"/>
              </wp:wrapPolygon>
            </wp:wrapThrough>
            <wp:docPr id="49936752" name="Imagem 1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0060" cy="166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389D7" w14:textId="20A5BB9C" w:rsidR="007B6871" w:rsidRDefault="007B6871" w:rsidP="00F850DA">
      <w:pPr>
        <w:rPr>
          <w:rFonts w:ascii="Times New Roman" w:eastAsia="Times New Roman" w:hAnsi="Times New Roman" w:cs="Times New Roman"/>
          <w:kern w:val="0"/>
          <w:sz w:val="24"/>
          <w:szCs w:val="24"/>
          <w:lang w:eastAsia="pt-BR"/>
          <w14:ligatures w14:val="none"/>
        </w:rPr>
      </w:pPr>
    </w:p>
    <w:sectPr w:rsidR="007B6871" w:rsidSect="00463060">
      <w:headerReference w:type="default" r:id="rId55"/>
      <w:pgSz w:w="11906" w:h="16838"/>
      <w:pgMar w:top="1701" w:right="1134" w:bottom="1134"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5A1F8" w14:textId="77777777" w:rsidR="007364F1" w:rsidRDefault="007364F1" w:rsidP="00B125DC">
      <w:pPr>
        <w:spacing w:after="0" w:line="240" w:lineRule="auto"/>
      </w:pPr>
      <w:r>
        <w:separator/>
      </w:r>
    </w:p>
  </w:endnote>
  <w:endnote w:type="continuationSeparator" w:id="0">
    <w:p w14:paraId="2F905247" w14:textId="77777777" w:rsidR="007364F1" w:rsidRDefault="007364F1" w:rsidP="00B12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2BB90" w14:textId="77777777" w:rsidR="007364F1" w:rsidRDefault="007364F1" w:rsidP="00B125DC">
      <w:pPr>
        <w:spacing w:after="0" w:line="240" w:lineRule="auto"/>
      </w:pPr>
      <w:r>
        <w:separator/>
      </w:r>
    </w:p>
  </w:footnote>
  <w:footnote w:type="continuationSeparator" w:id="0">
    <w:p w14:paraId="2F6B5F21" w14:textId="77777777" w:rsidR="007364F1" w:rsidRDefault="007364F1" w:rsidP="00B125DC">
      <w:pPr>
        <w:spacing w:after="0" w:line="240" w:lineRule="auto"/>
      </w:pPr>
      <w:r>
        <w:continuationSeparator/>
      </w:r>
    </w:p>
  </w:footnote>
  <w:footnote w:id="1">
    <w:p w14:paraId="5ACA1F2E" w14:textId="77777777" w:rsidR="008E3113" w:rsidRPr="00BE1065" w:rsidRDefault="008E3113" w:rsidP="008E311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BE1065">
        <w:rPr>
          <w:rFonts w:ascii="Times New Roman" w:hAnsi="Times New Roman" w:cs="Times New Roman"/>
          <w:sz w:val="20"/>
          <w:szCs w:val="20"/>
          <w:vertAlign w:val="superscript"/>
        </w:rPr>
        <w:footnoteRef/>
      </w:r>
      <w:r w:rsidRPr="00BE1065">
        <w:rPr>
          <w:rFonts w:ascii="Times New Roman" w:eastAsia="Times New Roman" w:hAnsi="Times New Roman" w:cs="Times New Roman"/>
          <w:color w:val="000000"/>
          <w:sz w:val="20"/>
          <w:szCs w:val="20"/>
        </w:rPr>
        <w:t xml:space="preserve"> CAPURRO, R. </w:t>
      </w:r>
      <w:r w:rsidRPr="00BE1065">
        <w:rPr>
          <w:rFonts w:ascii="Times New Roman" w:eastAsia="Times New Roman" w:hAnsi="Times New Roman" w:cs="Times New Roman"/>
          <w:b/>
          <w:color w:val="000000"/>
          <w:sz w:val="20"/>
          <w:szCs w:val="20"/>
        </w:rPr>
        <w:t>Epistemologia e Ciência da Informação.</w:t>
      </w:r>
      <w:r w:rsidRPr="00BE1065">
        <w:rPr>
          <w:rFonts w:ascii="Times New Roman" w:eastAsia="Times New Roman" w:hAnsi="Times New Roman" w:cs="Times New Roman"/>
          <w:color w:val="000000"/>
          <w:sz w:val="20"/>
          <w:szCs w:val="20"/>
        </w:rPr>
        <w:t xml:space="preserve"> 2003. Disponível em: </w:t>
      </w:r>
      <w:r w:rsidRPr="00BE1065">
        <w:rPr>
          <w:rFonts w:ascii="Times New Roman" w:eastAsia="Times New Roman" w:hAnsi="Times New Roman" w:cs="Times New Roman"/>
          <w:sz w:val="20"/>
          <w:szCs w:val="20"/>
        </w:rPr>
        <w:t>http://www.capurro.de/enancib_p.htm</w:t>
      </w:r>
      <w:r w:rsidRPr="00BE1065">
        <w:rPr>
          <w:rFonts w:ascii="Times New Roman" w:eastAsia="Times New Roman" w:hAnsi="Times New Roman" w:cs="Times New Roman"/>
          <w:color w:val="000000"/>
          <w:sz w:val="20"/>
          <w:szCs w:val="20"/>
        </w:rPr>
        <w:t xml:space="preserve">. Acesso em: 26 set. 2023. </w:t>
      </w:r>
    </w:p>
  </w:footnote>
  <w:footnote w:id="2">
    <w:p w14:paraId="171B0BBE" w14:textId="77777777" w:rsidR="008E3113" w:rsidRPr="00BE1065" w:rsidRDefault="008E3113" w:rsidP="008E3113">
      <w:pPr>
        <w:pBdr>
          <w:top w:val="nil"/>
          <w:left w:val="nil"/>
          <w:bottom w:val="nil"/>
          <w:right w:val="nil"/>
          <w:between w:val="nil"/>
        </w:pBdr>
        <w:spacing w:after="0" w:line="240" w:lineRule="auto"/>
        <w:rPr>
          <w:rFonts w:ascii="Times New Roman" w:eastAsia="Times" w:hAnsi="Times New Roman" w:cs="Times New Roman"/>
          <w:color w:val="000000"/>
          <w:sz w:val="20"/>
          <w:szCs w:val="20"/>
        </w:rPr>
      </w:pPr>
      <w:r w:rsidRPr="00BE1065">
        <w:rPr>
          <w:rFonts w:ascii="Times New Roman" w:hAnsi="Times New Roman" w:cs="Times New Roman"/>
          <w:sz w:val="20"/>
          <w:szCs w:val="20"/>
          <w:vertAlign w:val="superscript"/>
        </w:rPr>
        <w:footnoteRef/>
      </w:r>
      <w:r w:rsidRPr="00BE1065">
        <w:rPr>
          <w:rFonts w:ascii="Times New Roman" w:eastAsia="Times" w:hAnsi="Times New Roman" w:cs="Times New Roman"/>
          <w:color w:val="000000"/>
          <w:sz w:val="20"/>
          <w:szCs w:val="20"/>
        </w:rPr>
        <w:t xml:space="preserve"> RUSSO. M. </w:t>
      </w:r>
      <w:r w:rsidRPr="00BE1065">
        <w:rPr>
          <w:rFonts w:ascii="Times New Roman" w:eastAsia="Times" w:hAnsi="Times New Roman" w:cs="Times New Roman"/>
          <w:b/>
          <w:color w:val="000000"/>
          <w:sz w:val="20"/>
          <w:szCs w:val="20"/>
        </w:rPr>
        <w:t>Fundamentos de Biblioteconomia e Ciência da Informação</w:t>
      </w:r>
      <w:r w:rsidRPr="00BE1065">
        <w:rPr>
          <w:rFonts w:ascii="Times New Roman" w:eastAsia="Times" w:hAnsi="Times New Roman" w:cs="Times New Roman"/>
          <w:color w:val="000000"/>
          <w:sz w:val="20"/>
          <w:szCs w:val="20"/>
        </w:rPr>
        <w:t xml:space="preserve">. Rio de Janeiro: E-papers Serviços Editoriais, 2010. 178p. </w:t>
      </w:r>
    </w:p>
  </w:footnote>
  <w:footnote w:id="3">
    <w:p w14:paraId="27FF894A" w14:textId="77777777" w:rsidR="00B125DC" w:rsidRPr="008D5C7F" w:rsidRDefault="00B125DC" w:rsidP="00B125DC">
      <w:pPr>
        <w:spacing w:after="0" w:line="240" w:lineRule="auto"/>
        <w:contextualSpacing/>
        <w:jc w:val="both"/>
        <w:rPr>
          <w:rFonts w:ascii="Times New Roman" w:hAnsi="Times New Roman" w:cs="Times New Roman"/>
          <w:noProof/>
          <w:sz w:val="20"/>
          <w:szCs w:val="20"/>
        </w:rPr>
      </w:pPr>
      <w:r>
        <w:rPr>
          <w:rStyle w:val="Refdenotaderodap"/>
        </w:rPr>
        <w:footnoteRef/>
      </w:r>
      <w:r w:rsidRPr="00E0632C">
        <w:t xml:space="preserve"> </w:t>
      </w:r>
      <w:r w:rsidRPr="0073277D">
        <w:rPr>
          <w:rFonts w:ascii="Times New Roman" w:hAnsi="Times New Roman" w:cs="Times New Roman"/>
          <w:noProof/>
          <w:sz w:val="20"/>
          <w:szCs w:val="20"/>
        </w:rPr>
        <w:t>Este trabalho apresenta um recorte da pesquisa de doutorado desenvolvida no Programa de Pós-Graduação em Ciência da Informação da Universidade Federal Fluminense (PPGCI/UFF) sob o título “A classificação de arquivos correntes no Brasil e as ideias e contribuições de Marilena Leite Paes”, defendida em março de 2023 sob a orientação da Prof.ª Drª Clarissa Moreira dos Santos Schmidt.</w:t>
      </w:r>
    </w:p>
  </w:footnote>
  <w:footnote w:id="4">
    <w:p w14:paraId="11429B6D" w14:textId="77777777" w:rsidR="00B125DC" w:rsidRPr="009037ED" w:rsidRDefault="00B125DC" w:rsidP="00B125DC">
      <w:pPr>
        <w:pStyle w:val="Textodenotaderodap"/>
        <w:jc w:val="both"/>
        <w:rPr>
          <w:rFonts w:ascii="Times New Roman" w:hAnsi="Times New Roman" w:cs="Times New Roman"/>
        </w:rPr>
      </w:pPr>
      <w:r>
        <w:rPr>
          <w:rStyle w:val="Refdenotaderodap"/>
        </w:rPr>
        <w:footnoteRef/>
      </w:r>
      <w:r w:rsidRPr="00C81520">
        <w:t xml:space="preserve"> </w:t>
      </w:r>
      <w:r w:rsidRPr="009037ED">
        <w:rPr>
          <w:rFonts w:ascii="Times New Roman" w:hAnsi="Times New Roman" w:cs="Times New Roman"/>
        </w:rPr>
        <w:t xml:space="preserve">Marilena Leite Paes nasceu em 1936 na cidade do Rio de Janeiro e faleceu em 2020. </w:t>
      </w:r>
      <w:r>
        <w:rPr>
          <w:rFonts w:ascii="Times New Roman" w:hAnsi="Times New Roman" w:cs="Times New Roman"/>
        </w:rPr>
        <w:t>D</w:t>
      </w:r>
      <w:r w:rsidRPr="009037ED">
        <w:rPr>
          <w:rFonts w:ascii="Times New Roman" w:hAnsi="Times New Roman" w:cs="Times New Roman"/>
        </w:rPr>
        <w:t xml:space="preserve">eixou um grande legado para a Arquivologia brasileira, tendo trabalhado para a consolidação da área desde as instituições por onde passou até sua participação em eventos e colaboração em cursos de aperfeiçoamento. Marilena deixou sua marca em instrumentos de gestão documental, tendo difundido a metodologia de classificação de documentos por assunto segundo o Código decimal de Dewey, o que está presente até hoje nos instrumentos do CONARQ. </w:t>
      </w:r>
    </w:p>
  </w:footnote>
  <w:footnote w:id="5">
    <w:p w14:paraId="43515946" w14:textId="77777777" w:rsidR="00B125DC" w:rsidRPr="00310E0D" w:rsidRDefault="00B125DC" w:rsidP="00B125DC">
      <w:pPr>
        <w:pStyle w:val="Textodenotaderodap"/>
        <w:jc w:val="both"/>
        <w:rPr>
          <w:rFonts w:ascii="Times New Roman" w:hAnsi="Times New Roman" w:cs="Times New Roman"/>
        </w:rPr>
      </w:pPr>
      <w:r w:rsidRPr="00310E0D">
        <w:rPr>
          <w:rStyle w:val="Refdenotaderodap"/>
          <w:rFonts w:ascii="Times New Roman" w:hAnsi="Times New Roman" w:cs="Times New Roman"/>
        </w:rPr>
        <w:footnoteRef/>
      </w:r>
      <w:r w:rsidRPr="00310E0D">
        <w:rPr>
          <w:rFonts w:ascii="Times New Roman" w:hAnsi="Times New Roman" w:cs="Times New Roman"/>
        </w:rPr>
        <w:t xml:space="preserve"> A primeira edição do livro </w:t>
      </w:r>
      <w:r w:rsidRPr="00310E0D">
        <w:rPr>
          <w:rFonts w:ascii="Times New Roman" w:hAnsi="Times New Roman" w:cs="Times New Roman"/>
          <w:b/>
          <w:bCs/>
        </w:rPr>
        <w:t>Arquivo: teoria e prática</w:t>
      </w:r>
      <w:r w:rsidRPr="00310E0D">
        <w:rPr>
          <w:rFonts w:ascii="Times New Roman" w:hAnsi="Times New Roman" w:cs="Times New Roman"/>
        </w:rPr>
        <w:t>, de Marilena Leite Paes, foi no ano de 1986; a segunda edição foi no ano de 1991 e a terceira edição no ano de 1997. Seguiram-se à estas edições, diversas revisões e reimpressões até o ano de 2008.</w:t>
      </w:r>
    </w:p>
  </w:footnote>
  <w:footnote w:id="6">
    <w:p w14:paraId="22DAA082" w14:textId="77777777" w:rsidR="00B125DC" w:rsidRPr="00674250" w:rsidRDefault="00B125DC" w:rsidP="00B125DC">
      <w:pPr>
        <w:pStyle w:val="Textodenotaderodap"/>
        <w:jc w:val="both"/>
        <w:rPr>
          <w:rFonts w:ascii="Times New Roman" w:hAnsi="Times New Roman" w:cs="Times New Roman"/>
        </w:rPr>
      </w:pPr>
      <w:r w:rsidRPr="00674250">
        <w:rPr>
          <w:rStyle w:val="Caracteresdenotaderodap"/>
          <w:rFonts w:ascii="Times New Roman" w:hAnsi="Times New Roman" w:cs="Times New Roman"/>
          <w:vertAlign w:val="superscript"/>
        </w:rPr>
        <w:footnoteRef/>
      </w:r>
      <w:r w:rsidRPr="00674250">
        <w:rPr>
          <w:rFonts w:ascii="Times New Roman" w:hAnsi="Times New Roman" w:cs="Times New Roman"/>
        </w:rPr>
        <w:t xml:space="preserve"> O material deste curso nos foi gentilmente cedido por Suely Braga, chefe do Arquivo da FGV, através de mensagens de correio eletrônico trocadas em novembro de 2021.</w:t>
      </w:r>
    </w:p>
  </w:footnote>
  <w:footnote w:id="7">
    <w:p w14:paraId="2EB43D1C" w14:textId="584D4DD7" w:rsidR="00B125DC" w:rsidRPr="002C0500" w:rsidRDefault="00B125DC" w:rsidP="00B125DC">
      <w:pPr>
        <w:pStyle w:val="Textodenotaderodap"/>
        <w:jc w:val="both"/>
        <w:rPr>
          <w:rFonts w:ascii="Times New Roman" w:hAnsi="Times New Roman" w:cs="Times New Roman"/>
        </w:rPr>
      </w:pPr>
      <w:r w:rsidRPr="002C0500">
        <w:rPr>
          <w:rStyle w:val="Refdenotaderodap"/>
          <w:rFonts w:ascii="Times New Roman" w:hAnsi="Times New Roman" w:cs="Times New Roman"/>
        </w:rPr>
        <w:footnoteRef/>
      </w:r>
      <w:r w:rsidRPr="002C0500">
        <w:rPr>
          <w:rFonts w:ascii="Times New Roman" w:hAnsi="Times New Roman" w:cs="Times New Roman"/>
        </w:rPr>
        <w:t xml:space="preserve"> </w:t>
      </w:r>
      <w:r w:rsidRPr="002C0500">
        <w:rPr>
          <w:rFonts w:ascii="Times New Roman" w:eastAsia="Times New Roman" w:hAnsi="Times New Roman" w:cs="Times New Roman"/>
          <w:lang w:val="pt-PT"/>
        </w:rPr>
        <w:t xml:space="preserve">Vale mencionar que a proposta deste artigo é apresentar parte dos resultados que compõem a tese intitulada como </w:t>
      </w:r>
      <w:r w:rsidRPr="002C0500">
        <w:rPr>
          <w:rFonts w:ascii="Times New Roman" w:eastAsia="Times New Roman" w:hAnsi="Times New Roman" w:cs="Times New Roman"/>
          <w:i/>
          <w:iCs/>
          <w:lang w:val="pt-PT"/>
        </w:rPr>
        <w:t>Aquisição de acervos arquivísticos: um estudo do termo e de suas práticas</w:t>
      </w:r>
      <w:r w:rsidRPr="002C0500">
        <w:rPr>
          <w:rFonts w:ascii="Times New Roman" w:eastAsia="Times New Roman" w:hAnsi="Times New Roman" w:cs="Times New Roman"/>
          <w:lang w:val="pt-PT"/>
        </w:rPr>
        <w:t xml:space="preserve">, apresentada no Programa de Pós-graduação em Ciência da Informação da Universidade Federal Fluminense, em 2023. A tese está disponível no seguinte endereço: </w:t>
      </w:r>
      <w:r w:rsidRPr="002C0500">
        <w:rPr>
          <w:rFonts w:ascii="Times New Roman" w:hAnsi="Times New Roman" w:cs="Times New Roman"/>
        </w:rPr>
        <w:t>https://app.uff.br/riuff/handle/1/28911.</w:t>
      </w:r>
    </w:p>
    <w:p w14:paraId="53991551" w14:textId="77777777" w:rsidR="00B125DC" w:rsidRPr="002C0500" w:rsidRDefault="00B125DC" w:rsidP="00B125DC">
      <w:pPr>
        <w:pStyle w:val="Textodenotaderodap"/>
        <w:jc w:val="both"/>
        <w:rPr>
          <w:rFonts w:ascii="Times New Roman" w:hAnsi="Times New Roman" w:cs="Times New Roman"/>
        </w:rPr>
      </w:pPr>
    </w:p>
  </w:footnote>
  <w:footnote w:id="8">
    <w:p w14:paraId="32D39C78" w14:textId="77777777" w:rsidR="00B125DC" w:rsidRPr="00110C60" w:rsidRDefault="00B125DC" w:rsidP="00B125DC">
      <w:pPr>
        <w:pStyle w:val="Textodenotadefim"/>
        <w:jc w:val="both"/>
        <w:rPr>
          <w:rFonts w:ascii="Times New Roman" w:hAnsi="Times New Roman" w:cs="Times New Roman"/>
        </w:rPr>
      </w:pPr>
      <w:r w:rsidRPr="00110C60">
        <w:rPr>
          <w:rStyle w:val="Refdenotaderodap"/>
          <w:rFonts w:ascii="Times New Roman" w:hAnsi="Times New Roman" w:cs="Times New Roman"/>
        </w:rPr>
        <w:footnoteRef/>
      </w:r>
      <w:r w:rsidRPr="00110C60">
        <w:rPr>
          <w:rFonts w:ascii="Times New Roman" w:hAnsi="Times New Roman" w:cs="Times New Roman"/>
        </w:rPr>
        <w:t xml:space="preserve"> As obras de terminologia nacionais e internacionais são as seguintes: Silva (1959), “A Basic Glossary for Archivists, Manuscript Curators, and Records Managers” (1974), Dannemann et al. (1979), NBR 9578: Arquivo – terminologia (1986), Dicionário de termos arquivísticos: subsídios para uma terminologia arquivística brasileira (1991), A Glossary for Archivists, Manuscript Curators, and Records Managers (1992), Diccionario de terminología archivística (1995), Lambert (2003), Rodríguez López (2002), Dictionnaire de Terminologie Archivistique (2002), Dictionary of Archival Terminology – DAT (2002), Dicionário brasileiro de terminologia arquivística (2005), Glossary of Archival and Records Terminology (2005), Bureau of Canadian Archivists (2008), Dicionário de Biblioteconomia e Arquivologia (2008), Multilingual Archival Terminology – MAT (2012), Normas portuguesas de documentação e informação CT7 (2010), Dicionário de terminologia arquivística (2012) e Encyclopedia of Archival Science (2015).</w:t>
      </w:r>
    </w:p>
    <w:p w14:paraId="7B266B7A" w14:textId="77777777" w:rsidR="00B125DC" w:rsidRDefault="00B125DC" w:rsidP="00B125DC">
      <w:pPr>
        <w:pStyle w:val="Textodenotaderodap"/>
      </w:pPr>
    </w:p>
  </w:footnote>
  <w:footnote w:id="9">
    <w:p w14:paraId="0BF616E4" w14:textId="3AD69CC7" w:rsidR="00B125DC" w:rsidRPr="007C52E6" w:rsidRDefault="00B125DC" w:rsidP="00B125DC">
      <w:pPr>
        <w:pStyle w:val="Textodenotadefim"/>
        <w:jc w:val="both"/>
        <w:rPr>
          <w:rFonts w:ascii="Times New Roman" w:hAnsi="Times New Roman" w:cs="Times New Roman"/>
        </w:rPr>
      </w:pPr>
      <w:r w:rsidRPr="007C52E6">
        <w:rPr>
          <w:rStyle w:val="Refdenotaderodap"/>
          <w:rFonts w:ascii="Times New Roman" w:hAnsi="Times New Roman" w:cs="Times New Roman"/>
        </w:rPr>
        <w:footnoteRef/>
      </w:r>
      <w:r w:rsidRPr="007C52E6">
        <w:rPr>
          <w:rFonts w:ascii="Times New Roman" w:hAnsi="Times New Roman" w:cs="Times New Roman"/>
        </w:rPr>
        <w:t xml:space="preserve"> Os nomes dos capítulos são os seguintes: </w:t>
      </w:r>
      <w:r w:rsidRPr="007C52E6">
        <w:rPr>
          <w:rFonts w:ascii="Times New Roman" w:hAnsi="Times New Roman" w:cs="Times New Roman"/>
          <w:i/>
          <w:iCs/>
        </w:rPr>
        <w:t>Archivo Definitivo</w:t>
      </w:r>
      <w:r w:rsidRPr="007C52E6">
        <w:rPr>
          <w:rFonts w:ascii="Times New Roman" w:hAnsi="Times New Roman" w:cs="Times New Roman"/>
        </w:rPr>
        <w:t xml:space="preserve"> (C</w:t>
      </w:r>
      <w:r w:rsidR="00F7213F" w:rsidRPr="007C52E6">
        <w:rPr>
          <w:rFonts w:ascii="Times New Roman" w:hAnsi="Times New Roman" w:cs="Times New Roman"/>
        </w:rPr>
        <w:t>arvalho</w:t>
      </w:r>
      <w:r w:rsidRPr="007C52E6">
        <w:rPr>
          <w:rFonts w:ascii="Times New Roman" w:hAnsi="Times New Roman" w:cs="Times New Roman"/>
        </w:rPr>
        <w:t xml:space="preserve">, 1931); </w:t>
      </w:r>
      <w:r w:rsidRPr="007C52E6">
        <w:rPr>
          <w:rFonts w:ascii="Times New Roman" w:hAnsi="Times New Roman" w:cs="Times New Roman"/>
          <w:i/>
          <w:iCs/>
        </w:rPr>
        <w:t>Transmission of Archives: the question of custody</w:t>
      </w:r>
      <w:r w:rsidRPr="007C52E6">
        <w:rPr>
          <w:rFonts w:ascii="Times New Roman" w:hAnsi="Times New Roman" w:cs="Times New Roman"/>
        </w:rPr>
        <w:t xml:space="preserve"> (J</w:t>
      </w:r>
      <w:r w:rsidR="00F7213F" w:rsidRPr="007C52E6">
        <w:rPr>
          <w:rFonts w:ascii="Times New Roman" w:hAnsi="Times New Roman" w:cs="Times New Roman"/>
        </w:rPr>
        <w:t>enkinson</w:t>
      </w:r>
      <w:r w:rsidRPr="007C52E6">
        <w:rPr>
          <w:rFonts w:ascii="Times New Roman" w:hAnsi="Times New Roman" w:cs="Times New Roman"/>
        </w:rPr>
        <w:t xml:space="preserve">, 1937); </w:t>
      </w:r>
      <w:r w:rsidRPr="007C52E6">
        <w:rPr>
          <w:rFonts w:ascii="Times New Roman" w:hAnsi="Times New Roman" w:cs="Times New Roman"/>
          <w:i/>
          <w:iCs/>
        </w:rPr>
        <w:t>Transferência e Conservação de correspondência e registros</w:t>
      </w:r>
      <w:r w:rsidRPr="007C52E6">
        <w:rPr>
          <w:rFonts w:ascii="Times New Roman" w:hAnsi="Times New Roman" w:cs="Times New Roman"/>
        </w:rPr>
        <w:t xml:space="preserve"> (W</w:t>
      </w:r>
      <w:r w:rsidR="00F7213F" w:rsidRPr="007C52E6">
        <w:rPr>
          <w:rFonts w:ascii="Times New Roman" w:hAnsi="Times New Roman" w:cs="Times New Roman"/>
        </w:rPr>
        <w:t>hite</w:t>
      </w:r>
      <w:r w:rsidRPr="007C52E6">
        <w:rPr>
          <w:rFonts w:ascii="Times New Roman" w:hAnsi="Times New Roman" w:cs="Times New Roman"/>
        </w:rPr>
        <w:t xml:space="preserve">, 1941) e; </w:t>
      </w:r>
      <w:r w:rsidRPr="007C52E6">
        <w:rPr>
          <w:rFonts w:ascii="Times New Roman" w:hAnsi="Times New Roman" w:cs="Times New Roman"/>
          <w:i/>
          <w:iCs/>
        </w:rPr>
        <w:t>Métodos de transferência</w:t>
      </w:r>
      <w:r w:rsidRPr="007C52E6">
        <w:rPr>
          <w:rFonts w:ascii="Times New Roman" w:hAnsi="Times New Roman" w:cs="Times New Roman"/>
        </w:rPr>
        <w:t xml:space="preserve"> (T</w:t>
      </w:r>
      <w:r w:rsidR="00F7213F" w:rsidRPr="007C52E6">
        <w:rPr>
          <w:rFonts w:ascii="Times New Roman" w:hAnsi="Times New Roman" w:cs="Times New Roman"/>
        </w:rPr>
        <w:t>orres</w:t>
      </w:r>
      <w:r w:rsidRPr="007C52E6">
        <w:rPr>
          <w:rFonts w:ascii="Times New Roman" w:hAnsi="Times New Roman" w:cs="Times New Roman"/>
        </w:rPr>
        <w:t>, 1944).</w:t>
      </w:r>
    </w:p>
    <w:p w14:paraId="7AD8EE22" w14:textId="77777777" w:rsidR="00B125DC" w:rsidRDefault="00B125DC" w:rsidP="00B125DC">
      <w:pPr>
        <w:pStyle w:val="Textodenotaderodap"/>
      </w:pPr>
    </w:p>
  </w:footnote>
  <w:footnote w:id="10">
    <w:p w14:paraId="5585D955" w14:textId="550503D6" w:rsidR="00456A9B" w:rsidRPr="00F7213F" w:rsidRDefault="00456A9B" w:rsidP="00F7213F">
      <w:pPr>
        <w:pStyle w:val="Footnote"/>
        <w:ind w:left="0" w:firstLine="0"/>
        <w:jc w:val="both"/>
        <w:rPr>
          <w:rFonts w:ascii="Times New Roman" w:hAnsi="Times New Roman" w:cs="Times New Roman"/>
        </w:rPr>
      </w:pPr>
      <w:r w:rsidRPr="00F7213F">
        <w:rPr>
          <w:rStyle w:val="Refdenotaderodap"/>
          <w:rFonts w:ascii="Times New Roman" w:hAnsi="Times New Roman" w:cs="Times New Roman"/>
        </w:rPr>
        <w:footnoteRef/>
      </w:r>
      <w:r w:rsidR="00F7213F">
        <w:rPr>
          <w:rStyle w:val="Fontepargpadro7"/>
          <w:rFonts w:ascii="Times New Roman" w:hAnsi="Times New Roman" w:cs="Times New Roman"/>
          <w:lang w:val="en-US"/>
        </w:rPr>
        <w:t xml:space="preserve"> </w:t>
      </w:r>
      <w:r w:rsidRPr="00F7213F">
        <w:rPr>
          <w:rStyle w:val="Fontepargpadro7"/>
          <w:rFonts w:ascii="Times New Roman" w:hAnsi="Times New Roman" w:cs="Times New Roman"/>
          <w:lang w:val="en-US"/>
        </w:rPr>
        <w:t xml:space="preserve">To document is, beyond doubt, very human. To document humans might be even more human... </w:t>
      </w:r>
      <w:r w:rsidR="00F7213F" w:rsidRPr="00BC0EAA">
        <w:rPr>
          <w:rStyle w:val="Fontepargpadro7"/>
          <w:rFonts w:ascii="Times New Roman" w:hAnsi="Times New Roman" w:cs="Times New Roman"/>
        </w:rPr>
        <w:t>(</w:t>
      </w:r>
      <w:r w:rsidRPr="00F7213F">
        <w:rPr>
          <w:rFonts w:ascii="Times New Roman" w:hAnsi="Times New Roman" w:cs="Times New Roman"/>
        </w:rPr>
        <w:t xml:space="preserve">Börjesson </w:t>
      </w:r>
      <w:r w:rsidRPr="00F7213F">
        <w:rPr>
          <w:rFonts w:ascii="Times New Roman" w:hAnsi="Times New Roman" w:cs="Times New Roman"/>
          <w:i/>
          <w:iCs/>
        </w:rPr>
        <w:t>et al.</w:t>
      </w:r>
      <w:r w:rsidR="00F7213F">
        <w:rPr>
          <w:rFonts w:ascii="Times New Roman" w:hAnsi="Times New Roman" w:cs="Times New Roman"/>
        </w:rPr>
        <w:t xml:space="preserve">, </w:t>
      </w:r>
      <w:r w:rsidRPr="00F7213F">
        <w:rPr>
          <w:rFonts w:ascii="Times New Roman" w:hAnsi="Times New Roman" w:cs="Times New Roman"/>
        </w:rPr>
        <w:t>2016).</w:t>
      </w:r>
    </w:p>
  </w:footnote>
  <w:footnote w:id="11">
    <w:p w14:paraId="0AEF6B32" w14:textId="77777777" w:rsidR="00456A9B" w:rsidRPr="00F7213F" w:rsidRDefault="00456A9B" w:rsidP="00F7213F">
      <w:pPr>
        <w:pStyle w:val="Footnote"/>
        <w:ind w:left="0" w:firstLine="0"/>
        <w:jc w:val="both"/>
        <w:rPr>
          <w:rFonts w:ascii="Times New Roman" w:hAnsi="Times New Roman" w:cs="Times New Roman"/>
        </w:rPr>
      </w:pPr>
      <w:r w:rsidRPr="00F7213F">
        <w:rPr>
          <w:rStyle w:val="Refdenotaderodap"/>
          <w:rFonts w:ascii="Times New Roman" w:hAnsi="Times New Roman" w:cs="Times New Roman"/>
        </w:rPr>
        <w:footnoteRef/>
      </w:r>
      <w:r w:rsidRPr="00F7213F">
        <w:rPr>
          <w:rFonts w:ascii="Times New Roman" w:hAnsi="Times New Roman" w:cs="Times New Roman"/>
        </w:rPr>
        <w:t>Conceito que venho trabalhando e que possui a principal atribuição de substituir a palavra Objeto ou “Objetos Documentais” e que, da mesma forma, não se confunde com os Atos de Documentação, uma vez que se refere aos Objetos, Sujeitos, Redes etc. que, por uma determinada particularidade, são constituídos dentro de uma lógica documentária.</w:t>
      </w:r>
    </w:p>
  </w:footnote>
  <w:footnote w:id="12">
    <w:p w14:paraId="1DF0246C" w14:textId="77777777" w:rsidR="00456A9B" w:rsidRPr="00F7213F" w:rsidRDefault="00456A9B" w:rsidP="00456A9B">
      <w:pPr>
        <w:pStyle w:val="Footnote"/>
        <w:rPr>
          <w:rFonts w:ascii="Times New Roman" w:hAnsi="Times New Roman" w:cs="Times New Roman"/>
        </w:rPr>
      </w:pPr>
      <w:r w:rsidRPr="00F7213F">
        <w:rPr>
          <w:rStyle w:val="Refdenotaderodap"/>
          <w:rFonts w:ascii="Times New Roman" w:hAnsi="Times New Roman" w:cs="Times New Roman"/>
        </w:rPr>
        <w:footnoteRef/>
      </w:r>
      <w:r w:rsidRPr="00F7213F">
        <w:rPr>
          <w:rFonts w:ascii="Times New Roman" w:hAnsi="Times New Roman" w:cs="Times New Roman"/>
        </w:rPr>
        <w:t>Tradução adotada no Brasil do Livro de Paul Otlet “Traité de documentation” (1934).</w:t>
      </w:r>
    </w:p>
  </w:footnote>
  <w:footnote w:id="13">
    <w:p w14:paraId="20B2131C" w14:textId="77777777" w:rsidR="00456A9B" w:rsidRPr="00F7213F" w:rsidRDefault="00456A9B" w:rsidP="00456A9B">
      <w:pPr>
        <w:pStyle w:val="Footnote"/>
        <w:jc w:val="both"/>
        <w:rPr>
          <w:rFonts w:ascii="Times New Roman" w:hAnsi="Times New Roman" w:cs="Times New Roman"/>
        </w:rPr>
      </w:pPr>
      <w:r w:rsidRPr="00F7213F">
        <w:rPr>
          <w:rStyle w:val="Refdenotaderodap"/>
          <w:rFonts w:ascii="Times New Roman" w:hAnsi="Times New Roman" w:cs="Times New Roman"/>
        </w:rPr>
        <w:footnoteRef/>
      </w:r>
      <w:r w:rsidRPr="00F7213F">
        <w:rPr>
          <w:rFonts w:ascii="Times New Roman" w:hAnsi="Times New Roman" w:cs="Times New Roman"/>
        </w:rPr>
        <w:t>Ver: Day (2006), Buckland (1995, 1997), Lund (2009).</w:t>
      </w:r>
    </w:p>
  </w:footnote>
  <w:footnote w:id="14">
    <w:p w14:paraId="6A93E4C6" w14:textId="75FB61D7" w:rsidR="00456A9B" w:rsidRPr="00946C54" w:rsidRDefault="00456A9B" w:rsidP="00946C54">
      <w:pPr>
        <w:pStyle w:val="Footnote"/>
        <w:ind w:left="0" w:firstLine="0"/>
        <w:rPr>
          <w:rFonts w:ascii="Times New Roman" w:hAnsi="Times New Roman" w:cs="Times New Roman"/>
        </w:rPr>
      </w:pPr>
      <w:r w:rsidRPr="00946C54">
        <w:rPr>
          <w:rStyle w:val="Refdenotaderodap"/>
          <w:rFonts w:ascii="Times New Roman" w:hAnsi="Times New Roman" w:cs="Times New Roman"/>
        </w:rPr>
        <w:footnoteRef/>
      </w:r>
      <w:r w:rsidRPr="00946C54">
        <w:rPr>
          <w:rFonts w:ascii="Times New Roman" w:hAnsi="Times New Roman" w:cs="Times New Roman"/>
        </w:rPr>
        <w:t>História contada no Vídeo-Documentário: “</w:t>
      </w:r>
      <w:r w:rsidRPr="00946C54">
        <w:rPr>
          <w:rStyle w:val="Fontepargpadro7"/>
          <w:rFonts w:ascii="Times New Roman" w:hAnsi="Times New Roman" w:cs="Times New Roman"/>
          <w:color w:val="030303"/>
        </w:rPr>
        <w:t xml:space="preserve">In DOCAM's Footsteps”, entrevistas realizadas por Sabine Roux e disponível no canal de “Tim Gorichanaz” através do link </w:t>
      </w:r>
      <w:r w:rsidRPr="00946C54">
        <w:rPr>
          <w:rStyle w:val="Internetlink"/>
          <w:rFonts w:ascii="Times New Roman" w:hAnsi="Times New Roman" w:cs="Times New Roman"/>
          <w:color w:val="auto"/>
          <w:u w:val="none"/>
        </w:rPr>
        <w:t>https://www.youtube.com/watch?v=ZGeJGduoTO4&amp;t=125s. Acesso em 05 mar. 2021.</w:t>
      </w:r>
    </w:p>
  </w:footnote>
  <w:footnote w:id="15">
    <w:p w14:paraId="46BC6455" w14:textId="77777777" w:rsidR="00456A9B" w:rsidRPr="00946C54" w:rsidRDefault="00456A9B" w:rsidP="00946C54">
      <w:pPr>
        <w:pStyle w:val="Footnote"/>
        <w:ind w:left="0" w:firstLine="0"/>
        <w:jc w:val="both"/>
        <w:rPr>
          <w:rFonts w:ascii="Times New Roman" w:hAnsi="Times New Roman" w:cs="Times New Roman"/>
        </w:rPr>
      </w:pPr>
      <w:r w:rsidRPr="00946C54">
        <w:rPr>
          <w:rStyle w:val="Refdenotaderodap"/>
          <w:rFonts w:ascii="Times New Roman" w:hAnsi="Times New Roman" w:cs="Times New Roman"/>
        </w:rPr>
        <w:footnoteRef/>
      </w:r>
      <w:r w:rsidRPr="00946C54">
        <w:rPr>
          <w:rFonts w:ascii="Times New Roman" w:hAnsi="Times New Roman" w:cs="Times New Roman"/>
        </w:rPr>
        <w:t>Tradução automática gerada pelo Google Tradutor para “Ung forsker vil gøre historien naeraerender”.</w:t>
      </w:r>
    </w:p>
  </w:footnote>
  <w:footnote w:id="16">
    <w:p w14:paraId="4461FA01" w14:textId="77777777" w:rsidR="00456A9B" w:rsidRPr="00946C54" w:rsidRDefault="00456A9B" w:rsidP="00946C54">
      <w:pPr>
        <w:pStyle w:val="Footnote"/>
        <w:ind w:left="0" w:firstLine="0"/>
        <w:jc w:val="both"/>
        <w:rPr>
          <w:rFonts w:ascii="Times New Roman" w:hAnsi="Times New Roman" w:cs="Times New Roman"/>
        </w:rPr>
      </w:pPr>
      <w:r w:rsidRPr="00946C54">
        <w:rPr>
          <w:rStyle w:val="Refdenotaderodap"/>
          <w:rFonts w:ascii="Times New Roman" w:hAnsi="Times New Roman" w:cs="Times New Roman"/>
        </w:rPr>
        <w:footnoteRef/>
      </w:r>
      <w:r w:rsidRPr="00946C54">
        <w:rPr>
          <w:rFonts w:ascii="Times New Roman" w:hAnsi="Times New Roman" w:cs="Times New Roman"/>
        </w:rPr>
        <w:t xml:space="preserve"> Em todos os casos de tradução automática realizou-se uma revisão gramatical e adaptação de estilo à língua portuguesa.</w:t>
      </w:r>
    </w:p>
  </w:footnote>
  <w:footnote w:id="17">
    <w:p w14:paraId="7DC0CC21" w14:textId="77777777" w:rsidR="00456A9B" w:rsidRDefault="00456A9B" w:rsidP="00456A9B">
      <w:pPr>
        <w:pStyle w:val="Footnote"/>
        <w:spacing w:after="40"/>
        <w:ind w:left="0" w:firstLine="0"/>
        <w:jc w:val="both"/>
        <w:rPr>
          <w:rFonts w:hint="eastAsia"/>
        </w:rPr>
      </w:pPr>
      <w:r>
        <w:rPr>
          <w:rStyle w:val="Refdenotaderodap"/>
        </w:rPr>
        <w:footnoteRef/>
      </w:r>
      <w:r>
        <w:t>Tradução automática gerada pelo Google Tradutor para “Niels Windfeld Lund vil fortælle os, at der bag de tørre historisk facts gemmer sig mennesker af kød og blod.”</w:t>
      </w:r>
    </w:p>
  </w:footnote>
  <w:footnote w:id="18">
    <w:p w14:paraId="68641109" w14:textId="77777777" w:rsidR="00456A9B" w:rsidRPr="00946C54" w:rsidRDefault="00456A9B" w:rsidP="00946C54">
      <w:pPr>
        <w:pStyle w:val="Footnote"/>
        <w:ind w:left="0" w:firstLine="0"/>
        <w:jc w:val="both"/>
        <w:rPr>
          <w:rFonts w:ascii="Times New Roman" w:hAnsi="Times New Roman" w:cs="Times New Roman"/>
        </w:rPr>
      </w:pPr>
      <w:r w:rsidRPr="00946C54">
        <w:rPr>
          <w:rStyle w:val="Refdenotaderodap"/>
          <w:rFonts w:ascii="Times New Roman" w:hAnsi="Times New Roman" w:cs="Times New Roman"/>
        </w:rPr>
        <w:footnoteRef/>
      </w:r>
      <w:r w:rsidRPr="00946C54">
        <w:rPr>
          <w:rFonts w:ascii="Times New Roman" w:hAnsi="Times New Roman" w:cs="Times New Roman"/>
        </w:rPr>
        <w:t>Em Buckland e Lund (2006) chamaram “Institute for Documentation Studies”, em Lund (2016), chamou de “Documentation Studies program”. Embora essa mudança de nomenclatura seja possivelmente oriunda da tradução ao inglês ou da relação com o Programa/Instituto no decorrer do tempo entre os artigos, preferimos não criar uma unidade entre ambos os nomes. De todo modo, salientamos que nos parece sempre haver uma dupla função de referir-se mutuamente ao programa/instituto e aos “Estudos de Documentação” (nesse sentido mais genérico).</w:t>
      </w:r>
    </w:p>
  </w:footnote>
  <w:footnote w:id="19">
    <w:p w14:paraId="61EE7AA2" w14:textId="77777777" w:rsidR="00456A9B" w:rsidRPr="00946C54" w:rsidRDefault="00456A9B" w:rsidP="00946C54">
      <w:pPr>
        <w:pStyle w:val="Footnote"/>
        <w:ind w:left="0" w:firstLine="0"/>
        <w:jc w:val="both"/>
        <w:rPr>
          <w:rFonts w:ascii="Times New Roman" w:hAnsi="Times New Roman" w:cs="Times New Roman"/>
        </w:rPr>
      </w:pPr>
      <w:r w:rsidRPr="00946C54">
        <w:rPr>
          <w:rStyle w:val="Refdenotaderodap"/>
          <w:rFonts w:ascii="Times New Roman" w:hAnsi="Times New Roman" w:cs="Times New Roman"/>
        </w:rPr>
        <w:footnoteRef/>
      </w:r>
      <w:r w:rsidRPr="00946C54">
        <w:rPr>
          <w:rStyle w:val="Fontepargpadro7"/>
          <w:rFonts w:ascii="Times New Roman" w:hAnsi="Times New Roman" w:cs="Times New Roman"/>
          <w:lang w:val="en-US"/>
        </w:rPr>
        <w:t xml:space="preserve">Building a Discipline, Creating a Profession: An Essay on the Childhood of “Dokvit”. </w:t>
      </w:r>
      <w:r w:rsidRPr="00946C54">
        <w:rPr>
          <w:rFonts w:ascii="Times New Roman" w:hAnsi="Times New Roman" w:cs="Times New Roman"/>
        </w:rPr>
        <w:t>Optamos pela tradução pois acreditamos que o título ajuda na compreensão da abrangência que o professor Niels Lund credita ao projeto de Dokvit.</w:t>
      </w:r>
    </w:p>
  </w:footnote>
  <w:footnote w:id="20">
    <w:p w14:paraId="14E37611" w14:textId="77777777" w:rsidR="00456A9B" w:rsidRPr="00946C54" w:rsidRDefault="00456A9B" w:rsidP="00946C54">
      <w:pPr>
        <w:pStyle w:val="Footnote"/>
        <w:ind w:left="0" w:firstLine="0"/>
        <w:rPr>
          <w:rFonts w:ascii="Times New Roman" w:hAnsi="Times New Roman" w:cs="Times New Roman"/>
          <w:lang w:val="en-US"/>
        </w:rPr>
      </w:pPr>
      <w:r w:rsidRPr="00946C54">
        <w:rPr>
          <w:rStyle w:val="Refdenotaderodap"/>
          <w:rFonts w:ascii="Times New Roman" w:hAnsi="Times New Roman" w:cs="Times New Roman"/>
        </w:rPr>
        <w:footnoteRef/>
      </w:r>
      <w:r w:rsidRPr="00946C54">
        <w:rPr>
          <w:rStyle w:val="Fontepargpadro7"/>
          <w:rFonts w:ascii="Times New Roman" w:hAnsi="Times New Roman" w:cs="Times New Roman"/>
          <w:lang w:val="en-US"/>
        </w:rPr>
        <w:t>How It All Started: 1996, the First Year of Dokvit.</w:t>
      </w:r>
    </w:p>
  </w:footnote>
  <w:footnote w:id="21">
    <w:p w14:paraId="75351C26" w14:textId="77777777" w:rsidR="00456A9B" w:rsidRPr="00946C54" w:rsidRDefault="00456A9B" w:rsidP="00456A9B">
      <w:pPr>
        <w:pStyle w:val="Footnote"/>
        <w:ind w:left="0" w:firstLine="0"/>
        <w:rPr>
          <w:rFonts w:ascii="Times New Roman" w:hAnsi="Times New Roman" w:cs="Times New Roman"/>
        </w:rPr>
      </w:pPr>
      <w:r w:rsidRPr="00946C54">
        <w:rPr>
          <w:rStyle w:val="Refdenotaderodap"/>
          <w:rFonts w:ascii="Times New Roman" w:hAnsi="Times New Roman" w:cs="Times New Roman"/>
        </w:rPr>
        <w:footnoteRef/>
      </w:r>
      <w:r w:rsidRPr="00946C54">
        <w:rPr>
          <w:rFonts w:ascii="Times New Roman" w:hAnsi="Times New Roman" w:cs="Times New Roman"/>
        </w:rPr>
        <w:t>Seguiremos as discussões sobre o impacto dessa noção em capítulos posteriores, especialmente no que refere ao supracitado capítulo sobre a construção de Dokvit.</w:t>
      </w:r>
    </w:p>
  </w:footnote>
  <w:footnote w:id="22">
    <w:p w14:paraId="1185E3EE" w14:textId="77777777" w:rsidR="00456A9B" w:rsidRPr="00456A9B" w:rsidRDefault="00456A9B" w:rsidP="00456A9B">
      <w:pPr>
        <w:pStyle w:val="Footnote"/>
        <w:spacing w:after="40"/>
        <w:ind w:left="0" w:firstLine="0"/>
        <w:rPr>
          <w:rFonts w:hint="eastAsia"/>
          <w:lang w:val="en-US"/>
        </w:rPr>
      </w:pPr>
      <w:r>
        <w:rPr>
          <w:rStyle w:val="Refdenotaderodap"/>
        </w:rPr>
        <w:footnoteRef/>
      </w:r>
      <w:r>
        <w:rPr>
          <w:rStyle w:val="Fontepargpadro7"/>
          <w:rFonts w:ascii="Times New Roman" w:hAnsi="Times New Roman" w:cs="Times New Roman"/>
          <w:lang w:val="en-US"/>
        </w:rPr>
        <w:t>In DOCAM’s Footsteps.</w:t>
      </w:r>
    </w:p>
  </w:footnote>
  <w:footnote w:id="23">
    <w:p w14:paraId="5885DA55" w14:textId="77777777" w:rsidR="00456A9B" w:rsidRPr="00456A9B" w:rsidRDefault="00456A9B" w:rsidP="00456A9B">
      <w:pPr>
        <w:pStyle w:val="Footnote"/>
        <w:spacing w:after="40"/>
        <w:ind w:left="0" w:firstLine="0"/>
        <w:rPr>
          <w:rFonts w:hint="eastAsia"/>
          <w:lang w:val="en-US"/>
        </w:rPr>
      </w:pPr>
      <w:r>
        <w:rPr>
          <w:rStyle w:val="Refdenotaderodap"/>
        </w:rPr>
        <w:footnoteRef/>
      </w:r>
      <w:r>
        <w:rPr>
          <w:rStyle w:val="Fontepargpadro7"/>
          <w:rFonts w:ascii="Times New Roman" w:hAnsi="Times New Roman" w:cs="Times New Roman"/>
          <w:vertAlign w:val="superscript"/>
          <w:lang w:val="en-US"/>
        </w:rPr>
        <w:t xml:space="preserve"> </w:t>
      </w:r>
      <w:r>
        <w:rPr>
          <w:rStyle w:val="Fontepargpadro7"/>
          <w:rFonts w:ascii="Times New Roman" w:hAnsi="Times New Roman" w:cs="Times New Roman"/>
          <w:lang w:val="en-US"/>
        </w:rPr>
        <w:t>https://fsulis3267.fandom.com/wiki/Michael_Buckland.</w:t>
      </w:r>
    </w:p>
  </w:footnote>
  <w:footnote w:id="24">
    <w:p w14:paraId="2215C38D" w14:textId="77777777" w:rsidR="00456A9B" w:rsidRDefault="00456A9B" w:rsidP="00456A9B">
      <w:pPr>
        <w:pStyle w:val="Footnote"/>
        <w:spacing w:after="40"/>
        <w:ind w:left="0" w:firstLine="0"/>
        <w:rPr>
          <w:rFonts w:hint="eastAsia"/>
        </w:rPr>
      </w:pPr>
      <w:r>
        <w:rPr>
          <w:rStyle w:val="Refdenotaderodap"/>
        </w:rPr>
        <w:footnoteRef/>
      </w:r>
      <w:r>
        <w:rPr>
          <w:rFonts w:ascii="Times New Roman" w:hAnsi="Times New Roman" w:cs="Times New Roman"/>
        </w:rPr>
        <w:t>Librarian and Information Science.</w:t>
      </w:r>
    </w:p>
  </w:footnote>
  <w:footnote w:id="25">
    <w:p w14:paraId="37FBB571" w14:textId="77777777" w:rsidR="00456A9B" w:rsidRDefault="00456A9B" w:rsidP="00456A9B">
      <w:pPr>
        <w:pStyle w:val="Footnote"/>
        <w:spacing w:after="40"/>
        <w:ind w:left="0" w:firstLine="0"/>
        <w:jc w:val="both"/>
        <w:rPr>
          <w:rFonts w:hint="eastAsia"/>
        </w:rPr>
      </w:pPr>
      <w:r>
        <w:rPr>
          <w:rStyle w:val="Refdenotaderodap"/>
        </w:rPr>
        <w:footnoteRef/>
      </w:r>
      <w:r>
        <w:rPr>
          <w:rFonts w:ascii="Times New Roman" w:hAnsi="Times New Roman" w:cs="Times New Roman"/>
        </w:rPr>
        <w:t>Cabe destacar, essa é uma tradução literal do original “</w:t>
      </w:r>
      <w:r>
        <w:rPr>
          <w:rStyle w:val="Fontepargpadro7"/>
          <w:rFonts w:ascii="Times New Roman" w:hAnsi="Times New Roman" w:cs="Times New Roman"/>
          <w:i/>
          <w:iCs/>
        </w:rPr>
        <w:t>Library Management Games</w:t>
      </w:r>
      <w:r>
        <w:rPr>
          <w:rFonts w:ascii="Times New Roman" w:hAnsi="Times New Roman" w:cs="Times New Roman"/>
        </w:rPr>
        <w:t>”. Embora o contexto geral nos aponte que a palavra “Jogos” possa ser traduzida por “práticas” ou “processos” (no sentido que parece lidar com o contexto de educação em biblioteconomia) acreditamos que o estranhamento diante do conceito de “jogos”, sem tradução para o Brasil nesse contexto, pode ser útil para futuras pesquisas que queiram identificar ou discutir esse ponto na obra de Buckland.</w:t>
      </w:r>
    </w:p>
  </w:footnote>
  <w:footnote w:id="26">
    <w:p w14:paraId="4E6C72E3" w14:textId="70840033" w:rsidR="00456A9B" w:rsidRPr="00EC2166" w:rsidRDefault="00456A9B" w:rsidP="00456A9B">
      <w:pPr>
        <w:pStyle w:val="Footnote"/>
        <w:spacing w:after="40"/>
        <w:ind w:left="0" w:firstLine="0"/>
        <w:rPr>
          <w:rFonts w:hint="eastAsia"/>
        </w:rPr>
      </w:pPr>
      <w:r>
        <w:rPr>
          <w:rStyle w:val="Refdenotaderodap"/>
        </w:rPr>
        <w:footnoteRef/>
      </w:r>
      <w:r>
        <w:rPr>
          <w:rFonts w:ascii="Times New Roman" w:hAnsi="Times New Roman" w:cs="Times New Roman"/>
        </w:rPr>
        <w:t xml:space="preserve"> Dentre outras fontes, expresso em: </w:t>
      </w:r>
      <w:r w:rsidRPr="00EC2166">
        <w:rPr>
          <w:rStyle w:val="Internetlink"/>
          <w:rFonts w:ascii="Times New Roman" w:hAnsi="Times New Roman" w:cs="Times New Roman"/>
          <w:color w:val="auto"/>
          <w:u w:val="none"/>
        </w:rPr>
        <w:t>https://people.ischool.berkeley.edu/~buckland/bio.html</w:t>
      </w:r>
    </w:p>
  </w:footnote>
  <w:footnote w:id="27">
    <w:p w14:paraId="31804934" w14:textId="77777777" w:rsidR="00456A9B" w:rsidRPr="00244F92" w:rsidRDefault="00456A9B" w:rsidP="00244F92">
      <w:pPr>
        <w:pStyle w:val="Footnote"/>
        <w:ind w:left="0" w:firstLine="0"/>
        <w:rPr>
          <w:rFonts w:ascii="Times New Roman" w:hAnsi="Times New Roman" w:cs="Times New Roman"/>
          <w:lang w:val="en-US"/>
        </w:rPr>
      </w:pPr>
      <w:r w:rsidRPr="00244F92">
        <w:rPr>
          <w:rStyle w:val="Refdenotaderodap"/>
          <w:rFonts w:ascii="Times New Roman" w:hAnsi="Times New Roman" w:cs="Times New Roman"/>
        </w:rPr>
        <w:footnoteRef/>
      </w:r>
      <w:r w:rsidRPr="00244F92">
        <w:rPr>
          <w:rStyle w:val="Fontepargpadro7"/>
          <w:rFonts w:ascii="Times New Roman" w:hAnsi="Times New Roman" w:cs="Times New Roman"/>
          <w:lang w:val="en-US"/>
        </w:rPr>
        <w:t>Libraries for Technical Services.</w:t>
      </w:r>
    </w:p>
  </w:footnote>
  <w:footnote w:id="28">
    <w:p w14:paraId="21852875" w14:textId="77777777" w:rsidR="00456A9B" w:rsidRPr="00244F92" w:rsidRDefault="00456A9B" w:rsidP="00244F92">
      <w:pPr>
        <w:pStyle w:val="Footnote"/>
        <w:ind w:left="0" w:firstLine="0"/>
        <w:rPr>
          <w:rFonts w:ascii="Times New Roman" w:hAnsi="Times New Roman" w:cs="Times New Roman"/>
          <w:lang w:val="en-US"/>
        </w:rPr>
      </w:pPr>
      <w:r w:rsidRPr="00244F92">
        <w:rPr>
          <w:rStyle w:val="Refdenotaderodap"/>
          <w:rFonts w:ascii="Times New Roman" w:hAnsi="Times New Roman" w:cs="Times New Roman"/>
        </w:rPr>
        <w:footnoteRef/>
      </w:r>
      <w:r w:rsidRPr="00244F92">
        <w:rPr>
          <w:rStyle w:val="Fontepargpadro7"/>
          <w:rFonts w:ascii="Times New Roman" w:hAnsi="Times New Roman" w:cs="Times New Roman"/>
          <w:lang w:val="en-US"/>
        </w:rPr>
        <w:t>School of Library and Information Studies.</w:t>
      </w:r>
    </w:p>
  </w:footnote>
  <w:footnote w:id="29">
    <w:p w14:paraId="0C6DDECF" w14:textId="77777777" w:rsidR="00456A9B" w:rsidRPr="00244F92" w:rsidRDefault="00456A9B" w:rsidP="00244F92">
      <w:pPr>
        <w:pStyle w:val="Footnote"/>
        <w:ind w:left="0" w:firstLine="0"/>
        <w:jc w:val="both"/>
        <w:rPr>
          <w:rFonts w:ascii="Times New Roman" w:hAnsi="Times New Roman" w:cs="Times New Roman"/>
        </w:rPr>
      </w:pPr>
      <w:r w:rsidRPr="00244F92">
        <w:rPr>
          <w:rStyle w:val="Refdenotaderodap"/>
          <w:rFonts w:ascii="Times New Roman" w:hAnsi="Times New Roman" w:cs="Times New Roman"/>
        </w:rPr>
        <w:footnoteRef/>
      </w:r>
      <w:r w:rsidRPr="00244F92">
        <w:rPr>
          <w:rFonts w:ascii="Times New Roman" w:hAnsi="Times New Roman" w:cs="Times New Roman"/>
        </w:rPr>
        <w:t>Utilizamos esta proposta de tradução para a expressão norte-americana “</w:t>
      </w:r>
      <w:r w:rsidRPr="00244F92">
        <w:rPr>
          <w:rStyle w:val="Fontepargpadro7"/>
          <w:rFonts w:ascii="Times New Roman" w:hAnsi="Times New Roman" w:cs="Times New Roman"/>
          <w:i/>
          <w:iCs/>
        </w:rPr>
        <w:t>marking and parking</w:t>
      </w:r>
      <w:r w:rsidRPr="00244F92">
        <w:rPr>
          <w:rFonts w:ascii="Times New Roman" w:hAnsi="Times New Roman" w:cs="Times New Roman"/>
        </w:rPr>
        <w:t>”.</w:t>
      </w:r>
    </w:p>
  </w:footnote>
  <w:footnote w:id="30">
    <w:p w14:paraId="6E09578E" w14:textId="77777777" w:rsidR="00456A9B" w:rsidRPr="00244F92" w:rsidRDefault="00456A9B" w:rsidP="00244F92">
      <w:pPr>
        <w:pStyle w:val="Footnote"/>
        <w:ind w:left="0" w:firstLine="0"/>
        <w:jc w:val="both"/>
        <w:rPr>
          <w:rFonts w:ascii="Times New Roman" w:hAnsi="Times New Roman" w:cs="Times New Roman"/>
          <w:lang w:val="en-US"/>
        </w:rPr>
      </w:pPr>
      <w:r w:rsidRPr="00244F92">
        <w:rPr>
          <w:rStyle w:val="Refdenotaderodap"/>
          <w:rFonts w:ascii="Times New Roman" w:hAnsi="Times New Roman" w:cs="Times New Roman"/>
        </w:rPr>
        <w:footnoteRef/>
      </w:r>
      <w:r w:rsidRPr="00244F92">
        <w:rPr>
          <w:rStyle w:val="Fontepargpadro7"/>
          <w:rFonts w:ascii="Times New Roman" w:hAnsi="Times New Roman" w:cs="Times New Roman"/>
          <w:lang w:val="en-US"/>
        </w:rPr>
        <w:t>Assistant Vice President for Library Plans and Policies.</w:t>
      </w:r>
    </w:p>
  </w:footnote>
  <w:footnote w:id="31">
    <w:p w14:paraId="7770D0CD" w14:textId="7E3CA5D7" w:rsidR="00456A9B" w:rsidRPr="00244F92" w:rsidRDefault="00456A9B" w:rsidP="00244F92">
      <w:pPr>
        <w:pStyle w:val="Footnote"/>
        <w:ind w:left="0" w:firstLine="0"/>
        <w:rPr>
          <w:rFonts w:ascii="Times New Roman" w:hAnsi="Times New Roman" w:cs="Times New Roman"/>
          <w:lang w:val="en-US"/>
        </w:rPr>
      </w:pPr>
      <w:r w:rsidRPr="00244F92">
        <w:rPr>
          <w:rStyle w:val="Refdenotaderodap"/>
          <w:rFonts w:ascii="Times New Roman" w:hAnsi="Times New Roman" w:cs="Times New Roman"/>
        </w:rPr>
        <w:footnoteRef/>
      </w:r>
      <w:r w:rsidRPr="00244F92">
        <w:rPr>
          <w:rStyle w:val="Internetlink"/>
          <w:rFonts w:ascii="Times New Roman" w:hAnsi="Times New Roman" w:cs="Times New Roman"/>
          <w:color w:val="auto"/>
          <w:u w:val="none"/>
          <w:lang w:val="en-US"/>
        </w:rPr>
        <w:t>https://www.reseau-canope.fr/savoirscdi/societe-de-linformation/le-monde-du-livre-et-des-medias/les-penseurs-de-linformation-de-la-documentation-et-de-la-pedagogie/michael-buckland-precurseur-et-preservateur-de-lhistoire-des-sciences-de-linformation.html</w:t>
      </w:r>
    </w:p>
  </w:footnote>
  <w:footnote w:id="32">
    <w:p w14:paraId="3E07502B" w14:textId="474ABFC9" w:rsidR="00456A9B" w:rsidRPr="001532D7" w:rsidRDefault="00456A9B" w:rsidP="001532D7">
      <w:pPr>
        <w:pStyle w:val="Footnote"/>
        <w:ind w:left="0" w:firstLine="0"/>
        <w:rPr>
          <w:rFonts w:ascii="Times New Roman" w:hAnsi="Times New Roman" w:cs="Times New Roman"/>
        </w:rPr>
      </w:pPr>
      <w:r w:rsidRPr="001532D7">
        <w:rPr>
          <w:rStyle w:val="Refdenotaderodap"/>
          <w:rFonts w:ascii="Times New Roman" w:hAnsi="Times New Roman" w:cs="Times New Roman"/>
        </w:rPr>
        <w:footnoteRef/>
      </w:r>
      <w:r w:rsidRPr="001532D7">
        <w:rPr>
          <w:rFonts w:ascii="Times New Roman" w:hAnsi="Times New Roman" w:cs="Times New Roman"/>
        </w:rPr>
        <w:t xml:space="preserve">Todos os nomes citados são traduções livres da página institucional da Universidade: </w:t>
      </w:r>
      <w:r w:rsidRPr="001532D7">
        <w:rPr>
          <w:rStyle w:val="Internetlink"/>
          <w:rFonts w:ascii="Times New Roman" w:hAnsi="Times New Roman" w:cs="Times New Roman"/>
          <w:color w:val="auto"/>
          <w:u w:val="none"/>
        </w:rPr>
        <w:t>https://people.ischool.berkeley.edu/~buckland/courses.html</w:t>
      </w:r>
    </w:p>
  </w:footnote>
  <w:footnote w:id="33">
    <w:p w14:paraId="399B59AA" w14:textId="77777777" w:rsidR="00456A9B" w:rsidRPr="001532D7" w:rsidRDefault="00456A9B" w:rsidP="001532D7">
      <w:pPr>
        <w:pStyle w:val="Footnote"/>
        <w:ind w:left="0" w:firstLine="0"/>
        <w:rPr>
          <w:rFonts w:ascii="Times New Roman" w:hAnsi="Times New Roman" w:cs="Times New Roman"/>
        </w:rPr>
      </w:pPr>
      <w:r w:rsidRPr="001532D7">
        <w:rPr>
          <w:rStyle w:val="Refdenotaderodap"/>
          <w:rFonts w:ascii="Times New Roman" w:hAnsi="Times New Roman" w:cs="Times New Roman"/>
        </w:rPr>
        <w:footnoteRef/>
      </w:r>
      <w:r w:rsidRPr="001532D7">
        <w:rPr>
          <w:rFonts w:ascii="Times New Roman" w:hAnsi="Times New Roman" w:cs="Times New Roman"/>
        </w:rPr>
        <w:t xml:space="preserve">  Museum of vertebrate zoology</w:t>
      </w:r>
    </w:p>
  </w:footnote>
  <w:footnote w:id="34">
    <w:p w14:paraId="17CB92A5" w14:textId="77777777" w:rsidR="00456A9B" w:rsidRPr="001532D7" w:rsidRDefault="00456A9B" w:rsidP="001532D7">
      <w:pPr>
        <w:pStyle w:val="Footnote"/>
        <w:ind w:left="0" w:firstLine="0"/>
        <w:jc w:val="both"/>
        <w:rPr>
          <w:rFonts w:ascii="Times New Roman" w:hAnsi="Times New Roman" w:cs="Times New Roman"/>
        </w:rPr>
      </w:pPr>
      <w:r w:rsidRPr="001532D7">
        <w:rPr>
          <w:rStyle w:val="Refdenotaderodap"/>
          <w:rFonts w:ascii="Times New Roman" w:hAnsi="Times New Roman" w:cs="Times New Roman"/>
        </w:rPr>
        <w:footnoteRef/>
      </w:r>
      <w:r w:rsidRPr="001532D7">
        <w:rPr>
          <w:rFonts w:ascii="Times New Roman" w:hAnsi="Times New Roman" w:cs="Times New Roman"/>
        </w:rPr>
        <w:t>Acreditamos na importância de destacar esse ponto. Pois demonstra que, pela menos na formação recebida por Buckland na Inglaterra e nos locais onde atuou nos EUA, não havia o ensino da Documentação de Otlet ou Briet. Isso parece-nos impactante pois, quando comparado ao contexto brasileiro, por exemplo, há uma notável diferença de abordagem.</w:t>
      </w:r>
    </w:p>
  </w:footnote>
  <w:footnote w:id="35">
    <w:p w14:paraId="77C58D25" w14:textId="77777777" w:rsidR="00456A9B" w:rsidRPr="00EC2166" w:rsidRDefault="00456A9B" w:rsidP="00EC2166">
      <w:pPr>
        <w:pStyle w:val="Standard"/>
        <w:rPr>
          <w:rFonts w:ascii="Times New Roman" w:hAnsi="Times New Roman" w:cs="Times New Roman"/>
          <w:sz w:val="20"/>
          <w:szCs w:val="20"/>
        </w:rPr>
      </w:pPr>
      <w:r w:rsidRPr="00EC2166">
        <w:rPr>
          <w:rStyle w:val="Refdenotaderodap"/>
          <w:rFonts w:ascii="Times New Roman" w:hAnsi="Times New Roman" w:cs="Times New Roman"/>
          <w:sz w:val="20"/>
          <w:szCs w:val="20"/>
        </w:rPr>
        <w:footnoteRef/>
      </w:r>
      <w:r w:rsidRPr="00EC2166">
        <w:rPr>
          <w:rStyle w:val="Fontepargpadro7"/>
          <w:rFonts w:ascii="Times New Roman" w:hAnsi="Times New Roman" w:cs="Times New Roman"/>
          <w:sz w:val="20"/>
          <w:szCs w:val="20"/>
          <w:vertAlign w:val="superscript"/>
        </w:rPr>
        <w:t xml:space="preserve"> </w:t>
      </w:r>
      <w:r w:rsidRPr="00EC2166">
        <w:rPr>
          <w:rStyle w:val="Fontepargpadro7"/>
          <w:rFonts w:ascii="Times New Roman" w:hAnsi="Times New Roman" w:cs="Times New Roman"/>
          <w:sz w:val="20"/>
          <w:szCs w:val="20"/>
        </w:rPr>
        <w:t xml:space="preserve"> Qu’est ce que la documentation?</w:t>
      </w:r>
    </w:p>
  </w:footnote>
  <w:footnote w:id="36">
    <w:p w14:paraId="70C4B009" w14:textId="0E58E520" w:rsidR="00456A9B" w:rsidRPr="002C0500" w:rsidRDefault="00456A9B" w:rsidP="002C0500">
      <w:pPr>
        <w:pStyle w:val="Footnote"/>
        <w:ind w:left="0" w:firstLine="0"/>
        <w:jc w:val="both"/>
        <w:rPr>
          <w:rFonts w:ascii="Times New Roman" w:hAnsi="Times New Roman" w:cs="Times New Roman"/>
          <w:lang w:val="en-US"/>
        </w:rPr>
      </w:pPr>
      <w:r w:rsidRPr="002C0500">
        <w:rPr>
          <w:rStyle w:val="Refdenotaderodap"/>
          <w:rFonts w:ascii="Times New Roman" w:hAnsi="Times New Roman" w:cs="Times New Roman"/>
        </w:rPr>
        <w:footnoteRef/>
      </w:r>
      <w:r w:rsidRPr="002C0500">
        <w:rPr>
          <w:rFonts w:ascii="Times New Roman" w:hAnsi="Times New Roman" w:cs="Times New Roman"/>
          <w:vertAlign w:val="superscript"/>
        </w:rPr>
        <w:t xml:space="preserve"> </w:t>
      </w:r>
      <w:r w:rsidRPr="002C0500">
        <w:rPr>
          <w:rFonts w:ascii="Times New Roman" w:hAnsi="Times New Roman" w:cs="Times New Roman"/>
        </w:rPr>
        <w:t xml:space="preserve">Cabe ressaltar que Roger T. Pédauque é um pseudônimo utilizado por uma rede multidisciplinar de cientistas das ciências humanas, sociais e das áreas de comunicação e informação do </w:t>
      </w:r>
      <w:r w:rsidRPr="002C0500">
        <w:rPr>
          <w:rStyle w:val="Fontepargpadro7"/>
          <w:rFonts w:ascii="Times New Roman" w:hAnsi="Times New Roman" w:cs="Times New Roman"/>
          <w:i/>
          <w:iCs/>
        </w:rPr>
        <w:t>Centre national de la recherche scientifique</w:t>
      </w:r>
      <w:r w:rsidRPr="002C0500">
        <w:rPr>
          <w:rFonts w:ascii="Times New Roman" w:hAnsi="Times New Roman" w:cs="Times New Roman"/>
        </w:rPr>
        <w:t xml:space="preserve"> (França). Esta rede vale-se de um pseudônimo único com o objetivo de suscitar o debate sobre a dinâmica de autoria e autoridade e provocar a discussão sobre escritos dos ensaios que publicavam. Nesse sentido,</w:t>
      </w:r>
      <w:r w:rsidRPr="002C0500">
        <w:rPr>
          <w:rStyle w:val="Fontepargpadro7"/>
          <w:rFonts w:ascii="Times New Roman" w:hAnsi="Times New Roman" w:cs="Times New Roman"/>
          <w:color w:val="000000"/>
        </w:rPr>
        <w:t xml:space="preserve"> escolheram um pseudônimo coletivo por meio do qual se reúnem, debatem e escrevem sobre a questão da documentação. No prefácio do livro </w:t>
      </w:r>
      <w:r w:rsidRPr="002C0500">
        <w:rPr>
          <w:rStyle w:val="Fontepargpadro7"/>
          <w:rFonts w:ascii="Times New Roman" w:hAnsi="Times New Roman" w:cs="Times New Roman"/>
          <w:i/>
          <w:iCs/>
          <w:color w:val="000000"/>
        </w:rPr>
        <w:t>Le document à la lumiére numérique</w:t>
      </w:r>
      <w:r w:rsidRPr="002C0500">
        <w:rPr>
          <w:rStyle w:val="Fontepargpadro7"/>
          <w:rFonts w:ascii="Times New Roman" w:hAnsi="Times New Roman" w:cs="Times New Roman"/>
          <w:color w:val="000000"/>
        </w:rPr>
        <w:t xml:space="preserve"> [O documento a luz do digital, tradução nossa], Michel Melot diz que os estudos da Roger são “[...] orientados para as ciências humanas que estudam as condições sociais e a validade do documento, entendendo-os mais do que suportes ou a forma para os signos, [destacando que] o conhecimento técnico e meios implementados e as economias que os sustentam não são menos essenciais [...]” </w:t>
      </w:r>
      <w:r w:rsidRPr="002C0500">
        <w:rPr>
          <w:rStyle w:val="Fontepargpadro7"/>
          <w:rFonts w:ascii="Times New Roman" w:hAnsi="Times New Roman" w:cs="Times New Roman"/>
          <w:color w:val="000000"/>
          <w:lang w:val="en-US"/>
        </w:rPr>
        <w:t>(P</w:t>
      </w:r>
      <w:r w:rsidR="002C0500" w:rsidRPr="002C0500">
        <w:rPr>
          <w:rStyle w:val="Fontepargpadro7"/>
          <w:rFonts w:ascii="Times New Roman" w:hAnsi="Times New Roman" w:cs="Times New Roman"/>
          <w:color w:val="000000"/>
          <w:lang w:val="en-US"/>
        </w:rPr>
        <w:t>édauque</w:t>
      </w:r>
      <w:r w:rsidRPr="002C0500">
        <w:rPr>
          <w:rStyle w:val="Fontepargpadro7"/>
          <w:rFonts w:ascii="Times New Roman" w:hAnsi="Times New Roman" w:cs="Times New Roman"/>
          <w:color w:val="000000"/>
          <w:lang w:val="en-US"/>
        </w:rPr>
        <w:t>, 2006)</w:t>
      </w:r>
      <w:r w:rsidR="002C0500" w:rsidRPr="002C0500">
        <w:rPr>
          <w:rStyle w:val="Fontepargpadro7"/>
          <w:rFonts w:ascii="Times New Roman" w:hAnsi="Times New Roman" w:cs="Times New Roman"/>
          <w:color w:val="000000"/>
          <w:lang w:val="en-US"/>
        </w:rPr>
        <w:t>.</w:t>
      </w:r>
    </w:p>
  </w:footnote>
  <w:footnote w:id="37">
    <w:p w14:paraId="44A2432E" w14:textId="77777777" w:rsidR="00456A9B" w:rsidRPr="00EC2166" w:rsidRDefault="00456A9B" w:rsidP="00EC2166">
      <w:pPr>
        <w:pStyle w:val="Footnote"/>
        <w:spacing w:after="40"/>
        <w:rPr>
          <w:rFonts w:ascii="Times New Roman" w:hAnsi="Times New Roman" w:cs="Times New Roman"/>
          <w:lang w:val="en-US"/>
        </w:rPr>
      </w:pPr>
      <w:r w:rsidRPr="00EC2166">
        <w:rPr>
          <w:rStyle w:val="Refdenotaderodap"/>
          <w:rFonts w:ascii="Times New Roman" w:hAnsi="Times New Roman" w:cs="Times New Roman"/>
        </w:rPr>
        <w:footnoteRef/>
      </w:r>
      <w:r w:rsidRPr="00EC2166">
        <w:rPr>
          <w:rStyle w:val="Fontepargpadro7"/>
          <w:rFonts w:ascii="Times New Roman" w:hAnsi="Times New Roman" w:cs="Times New Roman"/>
          <w:vertAlign w:val="superscript"/>
          <w:lang w:val="en-US"/>
        </w:rPr>
        <w:t xml:space="preserve"> </w:t>
      </w:r>
      <w:r w:rsidRPr="00EC2166">
        <w:rPr>
          <w:rStyle w:val="Fontepargpadro7"/>
          <w:rFonts w:ascii="Times New Roman" w:hAnsi="Times New Roman" w:cs="Times New Roman"/>
          <w:lang w:val="en-US"/>
        </w:rPr>
        <w:t>Tradução livre de: Document et Contenu: Creation, Indexation, Navigation</w:t>
      </w:r>
    </w:p>
  </w:footnote>
  <w:footnote w:id="38">
    <w:p w14:paraId="1FF80392" w14:textId="7988EBB4" w:rsidR="00456A9B" w:rsidRPr="00EC2166" w:rsidRDefault="00456A9B" w:rsidP="00EC2166">
      <w:pPr>
        <w:pStyle w:val="Textodenotaderodap"/>
        <w:jc w:val="both"/>
        <w:rPr>
          <w:rFonts w:ascii="Times New Roman" w:hAnsi="Times New Roman" w:cs="Times New Roman"/>
        </w:rPr>
      </w:pPr>
      <w:r w:rsidRPr="00EC2166">
        <w:rPr>
          <w:rStyle w:val="Refdenotaderodap"/>
          <w:rFonts w:ascii="Times New Roman" w:hAnsi="Times New Roman" w:cs="Times New Roman"/>
        </w:rPr>
        <w:footnoteRef/>
      </w:r>
      <w:r w:rsidRPr="00EC2166">
        <w:rPr>
          <w:rFonts w:ascii="Times New Roman" w:hAnsi="Times New Roman" w:cs="Times New Roman"/>
          <w:vertAlign w:val="superscript"/>
          <w:lang w:val="en-US"/>
        </w:rPr>
        <w:t xml:space="preserve"> </w:t>
      </w:r>
      <w:r w:rsidRPr="00EC2166">
        <w:rPr>
          <w:rStyle w:val="Fontepargpadro7"/>
          <w:rFonts w:ascii="Times New Roman" w:hAnsi="Times New Roman" w:cs="Times New Roman"/>
          <w:lang w:val="en-US"/>
        </w:rPr>
        <w:t>Salaün, Jean-Michel.</w:t>
      </w:r>
      <w:r w:rsidRPr="00EC2166">
        <w:rPr>
          <w:rStyle w:val="Fontepargpadro7"/>
          <w:rFonts w:ascii="Times New Roman" w:hAnsi="Times New Roman" w:cs="Times New Roman"/>
          <w:b/>
          <w:bCs/>
          <w:lang w:val="en-US"/>
        </w:rPr>
        <w:t> </w:t>
      </w:r>
      <w:r w:rsidRPr="00EC2166">
        <w:rPr>
          <w:rStyle w:val="Fontepargpadro7"/>
          <w:rFonts w:ascii="Times New Roman" w:hAnsi="Times New Roman" w:cs="Times New Roman"/>
          <w:color w:val="000000"/>
          <w:lang w:val="en-US"/>
        </w:rPr>
        <w:t xml:space="preserve"> </w:t>
      </w:r>
      <w:r w:rsidRPr="00EC2166">
        <w:rPr>
          <w:rStyle w:val="Fontepargpadro7"/>
          <w:rFonts w:ascii="Times New Roman" w:hAnsi="Times New Roman" w:cs="Times New Roman"/>
          <w:color w:val="000000"/>
        </w:rPr>
        <w:t>La redocumentarisation</w:t>
      </w:r>
      <w:r w:rsidRPr="00EC2166">
        <w:rPr>
          <w:rFonts w:ascii="Times New Roman" w:hAnsi="Times New Roman" w:cs="Times New Roman"/>
        </w:rPr>
        <w:t xml:space="preserve">, un défi pour les sciences de l’information. Publicado na revista:  </w:t>
      </w:r>
      <w:hyperlink r:id="rId1" w:history="1">
        <w:r w:rsidRPr="00EC2166">
          <w:rPr>
            <w:rFonts w:ascii="Times New Roman" w:hAnsi="Times New Roman" w:cs="Times New Roman"/>
          </w:rPr>
          <w:t>Études de communication</w:t>
        </w:r>
      </w:hyperlink>
      <w:r w:rsidRPr="00EC2166">
        <w:rPr>
          <w:rFonts w:ascii="Times New Roman" w:hAnsi="Times New Roman" w:cs="Times New Roman"/>
        </w:rPr>
        <w:t>,[Paris] v, 30, p.13-23, 2007. Disponível em: https://journals.openedition.org/edc/428 acesso 23 set. 2023.</w:t>
      </w:r>
    </w:p>
  </w:footnote>
  <w:footnote w:id="39">
    <w:p w14:paraId="08ADB2F0" w14:textId="06C2BF65" w:rsidR="00456A9B" w:rsidRPr="00EC2166" w:rsidRDefault="00456A9B" w:rsidP="00EC2166">
      <w:pPr>
        <w:pStyle w:val="Footnote"/>
        <w:spacing w:after="40"/>
        <w:rPr>
          <w:rFonts w:ascii="Times New Roman" w:hAnsi="Times New Roman" w:cs="Times New Roman"/>
        </w:rPr>
      </w:pPr>
      <w:r w:rsidRPr="00EC2166">
        <w:rPr>
          <w:rStyle w:val="Refdenotaderodap"/>
          <w:rFonts w:ascii="Times New Roman" w:hAnsi="Times New Roman" w:cs="Times New Roman"/>
        </w:rPr>
        <w:footnoteRef/>
      </w:r>
      <w:r w:rsidRPr="00EC2166">
        <w:rPr>
          <w:rStyle w:val="Fontepargpadro7"/>
          <w:rFonts w:ascii="Times New Roman" w:hAnsi="Times New Roman" w:cs="Times New Roman"/>
          <w:sz w:val="13"/>
          <w:vertAlign w:val="superscript"/>
        </w:rPr>
        <w:t xml:space="preserve"> </w:t>
      </w:r>
      <w:r w:rsidRPr="00EC2166">
        <w:rPr>
          <w:rStyle w:val="Fontepargpadro7"/>
          <w:rFonts w:ascii="Times New Roman" w:hAnsi="Times New Roman" w:cs="Times New Roman"/>
        </w:rPr>
        <w:t xml:space="preserve">  </w:t>
      </w:r>
      <w:r w:rsidRPr="00EC2166">
        <w:rPr>
          <w:rStyle w:val="Internetlink"/>
          <w:rFonts w:ascii="Times New Roman" w:hAnsi="Times New Roman" w:cs="Times New Roman"/>
          <w:color w:val="auto"/>
          <w:u w:val="none"/>
        </w:rPr>
        <w:t>https://documentacademy.org/?about</w:t>
      </w:r>
      <w:r w:rsidRPr="00EC2166">
        <w:rPr>
          <w:rStyle w:val="Fontepargpadro7"/>
          <w:rFonts w:ascii="Times New Roman" w:hAnsi="Times New Roman" w:cs="Times New Roman"/>
        </w:rPr>
        <w:t xml:space="preserve">. </w:t>
      </w:r>
      <w:r w:rsidRPr="00EC2166">
        <w:rPr>
          <w:rFonts w:ascii="Times New Roman" w:hAnsi="Times New Roman" w:cs="Times New Roman"/>
        </w:rPr>
        <w:t>Acesso em</w:t>
      </w:r>
      <w:r w:rsidR="00EC2166">
        <w:rPr>
          <w:rFonts w:ascii="Times New Roman" w:hAnsi="Times New Roman" w:cs="Times New Roman"/>
        </w:rPr>
        <w:t>:</w:t>
      </w:r>
      <w:r w:rsidRPr="00EC2166">
        <w:rPr>
          <w:rFonts w:ascii="Times New Roman" w:hAnsi="Times New Roman" w:cs="Times New Roman"/>
        </w:rPr>
        <w:t xml:space="preserve"> 14 jul</w:t>
      </w:r>
      <w:r w:rsidR="00EC2166">
        <w:rPr>
          <w:rFonts w:ascii="Times New Roman" w:hAnsi="Times New Roman" w:cs="Times New Roman"/>
        </w:rPr>
        <w:t>.</w:t>
      </w:r>
      <w:r w:rsidRPr="00EC2166">
        <w:rPr>
          <w:rFonts w:ascii="Times New Roman" w:hAnsi="Times New Roman" w:cs="Times New Roman"/>
        </w:rPr>
        <w:t xml:space="preserve"> 2021.</w:t>
      </w:r>
    </w:p>
  </w:footnote>
  <w:footnote w:id="40">
    <w:p w14:paraId="0AB64BD3" w14:textId="77777777" w:rsidR="00456A9B" w:rsidRPr="00EC2166" w:rsidRDefault="00456A9B" w:rsidP="00456A9B">
      <w:pPr>
        <w:pStyle w:val="Footnote"/>
        <w:ind w:left="0" w:firstLine="0"/>
        <w:jc w:val="both"/>
        <w:rPr>
          <w:rFonts w:ascii="Times New Roman" w:hAnsi="Times New Roman" w:cs="Times New Roman"/>
        </w:rPr>
      </w:pPr>
      <w:r w:rsidRPr="00EC2166">
        <w:rPr>
          <w:rStyle w:val="Refdenotaderodap"/>
          <w:rFonts w:ascii="Times New Roman" w:hAnsi="Times New Roman" w:cs="Times New Roman"/>
        </w:rPr>
        <w:footnoteRef/>
      </w:r>
      <w:r w:rsidRPr="00EC2166">
        <w:rPr>
          <w:rFonts w:ascii="Times New Roman" w:hAnsi="Times New Roman" w:cs="Times New Roman"/>
        </w:rPr>
        <w:t>Adaptação da ideia de “</w:t>
      </w:r>
      <w:r w:rsidRPr="00EC2166">
        <w:rPr>
          <w:rStyle w:val="Fontepargpadro7"/>
          <w:rFonts w:ascii="Times New Roman" w:hAnsi="Times New Roman" w:cs="Times New Roman"/>
          <w:i/>
          <w:iCs/>
        </w:rPr>
        <w:t>Income tax return</w:t>
      </w:r>
      <w:r w:rsidRPr="00EC2166">
        <w:rPr>
          <w:rFonts w:ascii="Times New Roman" w:hAnsi="Times New Roman" w:cs="Times New Roman"/>
        </w:rPr>
        <w:t>”. Cabe dizer, não faz parte do escopo deste trabalho averiguar proximidades e diferenças entre os documentos que regulam impostos, declarações e estornos e, portanto, preferimos “aproximar” a expressão utilizada de nossa realidade, somente para propiciarmos uma melhor compreensão do argumento do autor.</w:t>
      </w:r>
    </w:p>
  </w:footnote>
  <w:footnote w:id="41">
    <w:p w14:paraId="0E879EB2" w14:textId="77777777" w:rsidR="00456A9B" w:rsidRPr="00EC2166" w:rsidRDefault="00456A9B" w:rsidP="00456A9B">
      <w:pPr>
        <w:pStyle w:val="Footnote"/>
        <w:ind w:left="0" w:firstLine="0"/>
        <w:rPr>
          <w:rFonts w:ascii="Times New Roman" w:hAnsi="Times New Roman" w:cs="Times New Roman"/>
          <w:lang w:val="en-US"/>
        </w:rPr>
      </w:pPr>
      <w:r w:rsidRPr="00EC2166">
        <w:rPr>
          <w:rStyle w:val="Refdenotaderodap"/>
          <w:rFonts w:ascii="Times New Roman" w:hAnsi="Times New Roman" w:cs="Times New Roman"/>
        </w:rPr>
        <w:footnoteRef/>
      </w:r>
      <w:r w:rsidRPr="00EC2166">
        <w:rPr>
          <w:rStyle w:val="Fontepargpadro7"/>
          <w:rFonts w:ascii="Times New Roman" w:hAnsi="Times New Roman" w:cs="Times New Roman"/>
          <w:lang w:val="en-US"/>
        </w:rPr>
        <w:t>School of Information.</w:t>
      </w:r>
    </w:p>
  </w:footnote>
  <w:footnote w:id="42">
    <w:p w14:paraId="03DFB942" w14:textId="77777777" w:rsidR="00456A9B" w:rsidRPr="00EC2166" w:rsidRDefault="00456A9B" w:rsidP="00456A9B">
      <w:pPr>
        <w:pStyle w:val="Footnote"/>
        <w:ind w:left="0" w:firstLine="0"/>
        <w:rPr>
          <w:rFonts w:ascii="Times New Roman" w:hAnsi="Times New Roman" w:cs="Times New Roman"/>
          <w:lang w:val="en-US"/>
        </w:rPr>
      </w:pPr>
      <w:r w:rsidRPr="00EC2166">
        <w:rPr>
          <w:rStyle w:val="Refdenotaderodap"/>
          <w:rFonts w:ascii="Times New Roman" w:hAnsi="Times New Roman" w:cs="Times New Roman"/>
        </w:rPr>
        <w:footnoteRef/>
      </w:r>
      <w:r w:rsidRPr="00EC2166">
        <w:rPr>
          <w:rStyle w:val="Fontepargpadro7"/>
          <w:rFonts w:ascii="Times New Roman" w:hAnsi="Times New Roman" w:cs="Times New Roman"/>
          <w:lang w:val="en-US"/>
        </w:rPr>
        <w:t>School of Librarianship.</w:t>
      </w:r>
    </w:p>
  </w:footnote>
  <w:footnote w:id="43">
    <w:p w14:paraId="38D2BAFF" w14:textId="77777777" w:rsidR="00456A9B" w:rsidRPr="00EC2166" w:rsidRDefault="00456A9B" w:rsidP="00456A9B">
      <w:pPr>
        <w:pStyle w:val="Footnote"/>
        <w:ind w:left="0" w:firstLine="0"/>
        <w:rPr>
          <w:rFonts w:ascii="Times New Roman" w:hAnsi="Times New Roman" w:cs="Times New Roman"/>
          <w:lang w:val="en-US"/>
        </w:rPr>
      </w:pPr>
      <w:r w:rsidRPr="00EC2166">
        <w:rPr>
          <w:rStyle w:val="Refdenotaderodap"/>
          <w:rFonts w:ascii="Times New Roman" w:hAnsi="Times New Roman" w:cs="Times New Roman"/>
        </w:rPr>
        <w:footnoteRef/>
      </w:r>
      <w:r w:rsidRPr="00EC2166">
        <w:rPr>
          <w:rStyle w:val="Fontepargpadro7"/>
          <w:rFonts w:ascii="Times New Roman" w:hAnsi="Times New Roman" w:cs="Times New Roman"/>
          <w:lang w:val="en-US"/>
        </w:rPr>
        <w:t>Tradução livre para: School of Information Management and Systems.</w:t>
      </w:r>
    </w:p>
  </w:footnote>
  <w:footnote w:id="44">
    <w:p w14:paraId="075C8DF3" w14:textId="77777777" w:rsidR="00456A9B" w:rsidRDefault="00456A9B" w:rsidP="00456A9B">
      <w:pPr>
        <w:pStyle w:val="Footnote"/>
        <w:spacing w:after="40"/>
        <w:ind w:left="0" w:firstLine="0"/>
        <w:jc w:val="both"/>
        <w:rPr>
          <w:rFonts w:hint="eastAsia"/>
        </w:rPr>
      </w:pPr>
      <w:r>
        <w:rPr>
          <w:rStyle w:val="Refdenotaderodap"/>
        </w:rPr>
        <w:footnoteRef/>
      </w:r>
      <w:r>
        <w:t>Embora este escopo fuja de forma crucial à abrangência do trabalho, me parece importante destacar o quanto este evento foi não só fruto de uma jornada intelectual, mas também bastante laboral e afetiva dos organizadores.</w:t>
      </w:r>
    </w:p>
  </w:footnote>
  <w:footnote w:id="45">
    <w:p w14:paraId="04BE576E" w14:textId="77777777" w:rsidR="00456A9B" w:rsidRDefault="00456A9B" w:rsidP="00456A9B">
      <w:pPr>
        <w:pStyle w:val="Footnote"/>
        <w:spacing w:after="40"/>
        <w:ind w:left="0" w:firstLine="0"/>
        <w:jc w:val="both"/>
        <w:rPr>
          <w:rFonts w:hint="eastAsia"/>
        </w:rPr>
      </w:pPr>
      <w:r>
        <w:rPr>
          <w:rStyle w:val="Refdenotaderodap"/>
        </w:rPr>
        <w:footnoteRef/>
      </w:r>
      <w:r>
        <w:t>Preferimos fazer a ressalva pois tanto a programação disponível pode ter alterado as datas, quanto o professor Buckland pode ter conferido a ordem das apresentações. Na impossibilidade de afirmarmos de onde partiu o equívoco, optamos por manter ambas as narrativas.</w:t>
      </w:r>
    </w:p>
  </w:footnote>
  <w:footnote w:id="46">
    <w:p w14:paraId="152CDAA0" w14:textId="77777777" w:rsidR="00456A9B" w:rsidRDefault="00456A9B" w:rsidP="00456A9B">
      <w:pPr>
        <w:pStyle w:val="Footnote"/>
        <w:spacing w:after="40"/>
        <w:ind w:left="0" w:firstLine="0"/>
        <w:rPr>
          <w:rFonts w:hint="eastAsia"/>
        </w:rPr>
      </w:pPr>
      <w:r>
        <w:rPr>
          <w:rStyle w:val="Refdenotaderodap"/>
        </w:rPr>
        <w:footnoteRef/>
      </w:r>
      <w:r>
        <w:t>Biblioteconomia e Ciência da Informação, tradução libre da expressão Library and Information Science, responsável pela sigla LIS.</w:t>
      </w:r>
    </w:p>
  </w:footnote>
  <w:footnote w:id="47">
    <w:p w14:paraId="6059C805" w14:textId="56D06FBE" w:rsidR="00456A9B" w:rsidRPr="00727B7C" w:rsidRDefault="00456A9B" w:rsidP="00456A9B">
      <w:pPr>
        <w:pStyle w:val="Textodenotaderodap"/>
        <w:jc w:val="both"/>
        <w:rPr>
          <w:rFonts w:ascii="Times New Roman" w:hAnsi="Times New Roman" w:cs="Times New Roman"/>
        </w:rPr>
      </w:pPr>
      <w:r w:rsidRPr="00727B7C">
        <w:rPr>
          <w:rStyle w:val="Refdenotaderodap"/>
          <w:rFonts w:ascii="Times New Roman" w:hAnsi="Times New Roman" w:cs="Times New Roman"/>
        </w:rPr>
        <w:footnoteRef/>
      </w:r>
      <w:r w:rsidRPr="00727B7C">
        <w:rPr>
          <w:rFonts w:ascii="Times New Roman" w:hAnsi="Times New Roman" w:cs="Times New Roman"/>
        </w:rPr>
        <w:t xml:space="preserve"> Dentre as funções arquivísticas reconhecidas pela Arquivologia clássica, destacamos as sete principais: produção, avaliação, aquisição, conservação, classificação, descrição e difusão (</w:t>
      </w:r>
      <w:r w:rsidR="00920F26" w:rsidRPr="00727B7C">
        <w:rPr>
          <w:rFonts w:ascii="Times New Roman" w:hAnsi="Times New Roman" w:cs="Times New Roman"/>
        </w:rPr>
        <w:t>Rousseau; Couture</w:t>
      </w:r>
      <w:r w:rsidRPr="00727B7C">
        <w:rPr>
          <w:rFonts w:ascii="Times New Roman" w:hAnsi="Times New Roman" w:cs="Times New Roman"/>
        </w:rPr>
        <w:t xml:space="preserve">, 1998) </w:t>
      </w:r>
    </w:p>
  </w:footnote>
  <w:footnote w:id="48">
    <w:p w14:paraId="6F5B46E6" w14:textId="3EAFDA25" w:rsidR="00456A9B" w:rsidRPr="00920F26" w:rsidRDefault="00456A9B" w:rsidP="00456A9B">
      <w:pPr>
        <w:spacing w:after="0" w:line="240" w:lineRule="auto"/>
        <w:jc w:val="both"/>
        <w:rPr>
          <w:rFonts w:ascii="Times New Roman" w:hAnsi="Times New Roman" w:cs="Times New Roman"/>
          <w:color w:val="000000" w:themeColor="text1"/>
          <w:sz w:val="20"/>
          <w:szCs w:val="20"/>
        </w:rPr>
      </w:pPr>
      <w:r w:rsidRPr="00920F26">
        <w:rPr>
          <w:rStyle w:val="Refdenotaderodap"/>
          <w:rFonts w:ascii="Times New Roman" w:hAnsi="Times New Roman" w:cs="Times New Roman"/>
          <w:color w:val="000000" w:themeColor="text1"/>
          <w:sz w:val="20"/>
          <w:szCs w:val="20"/>
        </w:rPr>
        <w:footnoteRef/>
      </w:r>
      <w:r w:rsidRPr="00920F26">
        <w:rPr>
          <w:rFonts w:ascii="Times New Roman" w:hAnsi="Times New Roman" w:cs="Times New Roman"/>
          <w:color w:val="000000" w:themeColor="text1"/>
          <w:sz w:val="20"/>
          <w:szCs w:val="20"/>
        </w:rPr>
        <w:t xml:space="preserve"> Em 18 de novembro de 2011, a Presidente da República sancionou a Lei n° 12.527, que regula o acesso a informações previsto no inciso XXXIII do artigo 5°, no inciso II do § 3° do artigo 37 e no § 2° do artigo 216 da Constituição Federal; altera a Lei n° 8.112, de 11 de dezembro de 1990; revoga a Lei n° 11.111, de 5 de maio de 2005, e os artigos 22 a 24 da Lei n° 8.159, de 8 de janeiro de 1991 (I</w:t>
      </w:r>
      <w:r w:rsidR="00920F26" w:rsidRPr="00920F26">
        <w:rPr>
          <w:rFonts w:ascii="Times New Roman" w:hAnsi="Times New Roman" w:cs="Times New Roman"/>
          <w:color w:val="000000" w:themeColor="text1"/>
          <w:sz w:val="20"/>
          <w:szCs w:val="20"/>
        </w:rPr>
        <w:t>ndolfo</w:t>
      </w:r>
      <w:r w:rsidRPr="00920F26">
        <w:rPr>
          <w:rFonts w:ascii="Times New Roman" w:hAnsi="Times New Roman" w:cs="Times New Roman"/>
          <w:color w:val="000000" w:themeColor="text1"/>
          <w:sz w:val="20"/>
          <w:szCs w:val="20"/>
        </w:rPr>
        <w:t xml:space="preserve">, 2013, p. 10). </w:t>
      </w:r>
    </w:p>
  </w:footnote>
  <w:footnote w:id="49">
    <w:p w14:paraId="1BBBD2A7" w14:textId="2C99563C" w:rsidR="00456A9B" w:rsidRPr="00920F26" w:rsidRDefault="00456A9B" w:rsidP="00456A9B">
      <w:pPr>
        <w:pStyle w:val="Textodenotaderodap"/>
        <w:jc w:val="both"/>
        <w:rPr>
          <w:rFonts w:ascii="Times New Roman" w:hAnsi="Times New Roman" w:cs="Times New Roman"/>
          <w:color w:val="000000" w:themeColor="text1"/>
        </w:rPr>
      </w:pPr>
      <w:r w:rsidRPr="00920F26">
        <w:rPr>
          <w:rStyle w:val="Refdenotaderodap"/>
          <w:rFonts w:ascii="Times New Roman" w:hAnsi="Times New Roman" w:cs="Times New Roman"/>
          <w:color w:val="000000" w:themeColor="text1"/>
        </w:rPr>
        <w:footnoteRef/>
      </w:r>
      <w:r w:rsidRPr="00920F26">
        <w:rPr>
          <w:rFonts w:ascii="Times New Roman" w:hAnsi="Times New Roman" w:cs="Times New Roman"/>
          <w:color w:val="000000" w:themeColor="text1"/>
        </w:rPr>
        <w:t xml:space="preserve"> O período de ditadura militar no Brasil durou 21 anos (1964-1985) e foi marcado pela supressão dos direitos civis, controle policial e judicial dos movimentos sociais, censura às manifestações de opiniões e expressões culturais, tortura e assassinato. Este tema foi tratado de forma mais ampliada na Tese de Doutorado intitulada “</w:t>
      </w:r>
      <w:r w:rsidR="00BC0EAA" w:rsidRPr="00BC0EAA">
        <w:rPr>
          <w:rFonts w:ascii="Times New Roman" w:hAnsi="Times New Roman" w:cs="Times New Roman"/>
          <w:color w:val="000000" w:themeColor="text1"/>
        </w:rPr>
        <w:t>A dimensão do acesso à informação pública e os arquivos do regime militar: um olhar sobre a função social dos arquivos</w:t>
      </w:r>
      <w:r w:rsidRPr="00920F26">
        <w:rPr>
          <w:rFonts w:ascii="Times New Roman" w:hAnsi="Times New Roman" w:cs="Times New Roman"/>
          <w:color w:val="000000" w:themeColor="text1"/>
        </w:rPr>
        <w:t>” (</w:t>
      </w:r>
      <w:r w:rsidR="00BC0EAA" w:rsidRPr="00BC0EAA">
        <w:rPr>
          <w:rFonts w:ascii="Times New Roman" w:hAnsi="Times New Roman" w:cs="Times New Roman"/>
          <w:color w:val="000000" w:themeColor="text1"/>
        </w:rPr>
        <w:t>SILVA, 2021</w:t>
      </w:r>
      <w:r w:rsidRPr="00920F26">
        <w:rPr>
          <w:rFonts w:ascii="Times New Roman" w:hAnsi="Times New Roman" w:cs="Times New Roman"/>
          <w:color w:val="000000" w:themeColor="text1"/>
        </w:rPr>
        <w:t xml:space="preserve">). </w:t>
      </w:r>
    </w:p>
    <w:p w14:paraId="0F8D1621" w14:textId="77777777" w:rsidR="00456A9B" w:rsidRDefault="00456A9B" w:rsidP="00456A9B">
      <w:pPr>
        <w:pStyle w:val="Textodenotaderodap"/>
      </w:pPr>
    </w:p>
  </w:footnote>
  <w:footnote w:id="50">
    <w:p w14:paraId="3296B214" w14:textId="77777777" w:rsidR="00456A9B" w:rsidRPr="007D17D0" w:rsidRDefault="00456A9B" w:rsidP="007D17D0">
      <w:pPr>
        <w:pStyle w:val="Textodenotaderodap"/>
        <w:jc w:val="both"/>
        <w:rPr>
          <w:rFonts w:ascii="Times New Roman" w:hAnsi="Times New Roman" w:cs="Times New Roman"/>
          <w:lang w:val="en-US"/>
        </w:rPr>
      </w:pPr>
      <w:r w:rsidRPr="007D17D0">
        <w:rPr>
          <w:rStyle w:val="Refdenotaderodap"/>
          <w:rFonts w:ascii="Times New Roman" w:hAnsi="Times New Roman" w:cs="Times New Roman"/>
        </w:rPr>
        <w:footnoteRef/>
      </w:r>
      <w:r w:rsidRPr="007D17D0">
        <w:rPr>
          <w:rFonts w:ascii="Times New Roman" w:hAnsi="Times New Roman" w:cs="Times New Roman"/>
          <w:lang w:val="en-US"/>
        </w:rPr>
        <w:t xml:space="preserve"> </w:t>
      </w:r>
      <w:r w:rsidRPr="007D17D0">
        <w:rPr>
          <w:rFonts w:ascii="Times New Roman" w:hAnsi="Times New Roman" w:cs="Times New Roman"/>
          <w:color w:val="222222"/>
          <w:shd w:val="clear" w:color="auto" w:fill="FFFFFF"/>
          <w:lang w:val="en-US"/>
        </w:rPr>
        <w:t>COOK, Terry. What is past is prologue: a history of archival ideas since 1898, and the future paradigm shift. Archivaria, v. 43, 1997.</w:t>
      </w:r>
    </w:p>
  </w:footnote>
  <w:footnote w:id="51">
    <w:p w14:paraId="5A3A64AF" w14:textId="77777777" w:rsidR="00456A9B" w:rsidRPr="007D17D0" w:rsidRDefault="00456A9B" w:rsidP="007D17D0">
      <w:pPr>
        <w:pStyle w:val="Textodenotaderodap"/>
        <w:jc w:val="both"/>
        <w:rPr>
          <w:rFonts w:ascii="Times New Roman" w:hAnsi="Times New Roman" w:cs="Times New Roman"/>
          <w:lang w:val="en-US"/>
        </w:rPr>
      </w:pPr>
      <w:r w:rsidRPr="007D17D0">
        <w:rPr>
          <w:rStyle w:val="Refdenotaderodap"/>
          <w:rFonts w:ascii="Times New Roman" w:hAnsi="Times New Roman" w:cs="Times New Roman"/>
        </w:rPr>
        <w:footnoteRef/>
      </w:r>
      <w:r w:rsidRPr="007D17D0">
        <w:rPr>
          <w:rFonts w:ascii="Times New Roman" w:hAnsi="Times New Roman" w:cs="Times New Roman"/>
          <w:lang w:val="en-US"/>
        </w:rPr>
        <w:t xml:space="preserve"> </w:t>
      </w:r>
      <w:r w:rsidRPr="007D17D0">
        <w:rPr>
          <w:rFonts w:ascii="Times New Roman" w:hAnsi="Times New Roman" w:cs="Times New Roman"/>
          <w:color w:val="222222"/>
          <w:shd w:val="clear" w:color="auto" w:fill="FFFFFF"/>
          <w:lang w:val="en-US"/>
        </w:rPr>
        <w:t>BROTHMAN, Brien. Orders of value: probing the theoretical terms of archival practice. </w:t>
      </w:r>
      <w:r w:rsidRPr="007D17D0">
        <w:rPr>
          <w:rFonts w:ascii="Times New Roman" w:hAnsi="Times New Roman" w:cs="Times New Roman"/>
          <w:b/>
          <w:bCs/>
          <w:color w:val="222222"/>
          <w:shd w:val="clear" w:color="auto" w:fill="FFFFFF"/>
          <w:lang w:val="en-US"/>
        </w:rPr>
        <w:t>Archivaria</w:t>
      </w:r>
      <w:r w:rsidRPr="007D17D0">
        <w:rPr>
          <w:rFonts w:ascii="Times New Roman" w:hAnsi="Times New Roman" w:cs="Times New Roman"/>
          <w:color w:val="222222"/>
          <w:shd w:val="clear" w:color="auto" w:fill="FFFFFF"/>
          <w:lang w:val="en-US"/>
        </w:rPr>
        <w:t>, 1991.</w:t>
      </w:r>
    </w:p>
  </w:footnote>
  <w:footnote w:id="52">
    <w:p w14:paraId="0D3568FD" w14:textId="77777777" w:rsidR="00456A9B" w:rsidRPr="00453FF6" w:rsidRDefault="00456A9B" w:rsidP="00456A9B">
      <w:pPr>
        <w:spacing w:after="0" w:line="240" w:lineRule="auto"/>
        <w:jc w:val="both"/>
        <w:rPr>
          <w:rFonts w:ascii="Times New Roman" w:hAnsi="Times New Roman" w:cs="Times New Roman"/>
          <w:sz w:val="20"/>
          <w:szCs w:val="20"/>
        </w:rPr>
      </w:pPr>
      <w:r w:rsidRPr="00453FF6">
        <w:rPr>
          <w:rStyle w:val="Refdenotaderodap"/>
          <w:rFonts w:ascii="Times New Roman" w:hAnsi="Times New Roman" w:cs="Times New Roman"/>
          <w:sz w:val="20"/>
          <w:szCs w:val="20"/>
        </w:rPr>
        <w:footnoteRef/>
      </w:r>
      <w:r w:rsidRPr="00453FF6">
        <w:rPr>
          <w:rFonts w:ascii="Times New Roman" w:hAnsi="Times New Roman" w:cs="Times New Roman"/>
          <w:sz w:val="20"/>
          <w:szCs w:val="20"/>
          <w:lang w:val="en-US"/>
        </w:rPr>
        <w:t xml:space="preserve"> BOOMS, Hans; JOLDERSMA, Hermina; KLUMPENHOUWER, Richard. Society and the formation of a documentary heritage: issues in the appraisal of archival sources. </w:t>
      </w:r>
      <w:r w:rsidRPr="00453FF6">
        <w:rPr>
          <w:rFonts w:ascii="Times New Roman" w:hAnsi="Times New Roman" w:cs="Times New Roman"/>
          <w:b/>
          <w:bCs/>
          <w:sz w:val="20"/>
          <w:szCs w:val="20"/>
        </w:rPr>
        <w:t>Archivaria</w:t>
      </w:r>
      <w:r w:rsidRPr="00453FF6">
        <w:rPr>
          <w:rFonts w:ascii="Times New Roman" w:hAnsi="Times New Roman" w:cs="Times New Roman"/>
          <w:sz w:val="20"/>
          <w:szCs w:val="20"/>
        </w:rPr>
        <w:t>, p. 69-107, 1987.</w:t>
      </w:r>
    </w:p>
  </w:footnote>
  <w:footnote w:id="53">
    <w:p w14:paraId="07B02B5A" w14:textId="77777777" w:rsidR="00B125DC" w:rsidRPr="00CE5E4F" w:rsidRDefault="00B125DC" w:rsidP="00B125DC">
      <w:pPr>
        <w:pStyle w:val="Textodenotaderodap"/>
        <w:jc w:val="both"/>
      </w:pPr>
      <w:r>
        <w:rPr>
          <w:rStyle w:val="Refdenotaderodap"/>
        </w:rPr>
        <w:footnoteRef/>
      </w:r>
      <w:r>
        <w:t xml:space="preserve"> </w:t>
      </w:r>
      <w:r w:rsidRPr="00CE5E4F">
        <w:rPr>
          <w:rFonts w:ascii="Times New Roman" w:eastAsia="Times New Roman" w:hAnsi="Times New Roman"/>
        </w:rPr>
        <w:t>A definição de comunidade discursiva se fundamenta na atividade desenvolvida por seus integrantes e requer uma rede de comunicação e objetivos comuns, mesmo que haja uma distância geográfica entre os participantes. Entre os princípios fundamentais que orientam uma comunidade de discurso, segundo Swales (1990), destaca-se o fito de fortalecer procedimentos de interlocução entre os participantes com vistas troca de informações relevantes.</w:t>
      </w:r>
    </w:p>
  </w:footnote>
  <w:footnote w:id="54">
    <w:p w14:paraId="0C7BBF24" w14:textId="77777777" w:rsidR="00B125DC" w:rsidRDefault="00B125DC" w:rsidP="00B125DC">
      <w:pPr>
        <w:pStyle w:val="Textodenotaderodap"/>
        <w:jc w:val="both"/>
      </w:pPr>
      <w:r w:rsidRPr="00CE5E4F">
        <w:rPr>
          <w:rStyle w:val="Refdenotaderodap"/>
        </w:rPr>
        <w:footnoteRef/>
      </w:r>
      <w:r w:rsidRPr="00CE5E4F">
        <w:t xml:space="preserve"> </w:t>
      </w:r>
      <w:r w:rsidRPr="00DB4A51">
        <w:rPr>
          <w:rFonts w:ascii="Times New Roman" w:hAnsi="Times New Roman"/>
        </w:rPr>
        <w:t>Para esta pesquisa não foi considerado o Censo Agropecuário 2017, tendo em vista que o projeto de pesquisa apresentado à seleção do curso de doutorado, em 2016, os resultados do censo agropecuário ainda não tinham sido divulgados.</w:t>
      </w:r>
      <w:r w:rsidRPr="00CE5E4F">
        <w:rPr>
          <w:rFonts w:ascii="Garamond" w:hAnsi="Garamond"/>
        </w:rPr>
        <w:t xml:space="preserve">  </w:t>
      </w:r>
    </w:p>
  </w:footnote>
  <w:footnote w:id="55">
    <w:p w14:paraId="10064CDB" w14:textId="77777777" w:rsidR="00B125DC" w:rsidRPr="008B2C16" w:rsidRDefault="00B125DC" w:rsidP="00B125DC">
      <w:pPr>
        <w:pStyle w:val="Textodenotaderodap"/>
        <w:rPr>
          <w:rFonts w:ascii="Times New Roman" w:hAnsi="Times New Roman" w:cs="Times New Roman"/>
        </w:rPr>
      </w:pPr>
      <w:r w:rsidRPr="008B2C16">
        <w:rPr>
          <w:rStyle w:val="Refdenotaderodap"/>
          <w:rFonts w:ascii="Times New Roman" w:hAnsi="Times New Roman" w:cs="Times New Roman"/>
        </w:rPr>
        <w:footnoteRef/>
      </w:r>
      <w:r w:rsidRPr="008B2C16">
        <w:rPr>
          <w:rFonts w:ascii="Times New Roman" w:hAnsi="Times New Roman" w:cs="Times New Roman"/>
        </w:rPr>
        <w:t xml:space="preserve"> Os referidos eixos temáticos foram: Eixo Temático 1 – Representação da Realidade Social; Eixo Temático 2 – Cultura Imaterial Brasileira; Eixo Temático 3 – Modelagem Conceitual Ontológica.</w:t>
      </w:r>
    </w:p>
  </w:footnote>
  <w:footnote w:id="56">
    <w:p w14:paraId="5CBF1C9D" w14:textId="77777777" w:rsidR="00B125DC" w:rsidRPr="008B2C16" w:rsidRDefault="00B125DC" w:rsidP="00B125DC">
      <w:pPr>
        <w:pStyle w:val="Textodenotaderodap"/>
        <w:rPr>
          <w:rFonts w:ascii="Times New Roman" w:hAnsi="Times New Roman" w:cs="Times New Roman"/>
        </w:rPr>
      </w:pPr>
      <w:r w:rsidRPr="008B2C16">
        <w:rPr>
          <w:rStyle w:val="Refdenotaderodap"/>
          <w:rFonts w:ascii="Times New Roman" w:hAnsi="Times New Roman" w:cs="Times New Roman"/>
        </w:rPr>
        <w:footnoteRef/>
      </w:r>
      <w:r w:rsidRPr="008B2C16">
        <w:rPr>
          <w:rFonts w:ascii="Times New Roman" w:hAnsi="Times New Roman" w:cs="Times New Roman"/>
        </w:rPr>
        <w:t xml:space="preserve"> Data do registro no Livro das Formas de Expressão: 20 de novembro de 2007.</w:t>
      </w:r>
    </w:p>
  </w:footnote>
  <w:footnote w:id="57">
    <w:p w14:paraId="2AB98F93" w14:textId="6ED2A0F5" w:rsidR="00B125DC" w:rsidRPr="008B2C16" w:rsidRDefault="00B125DC" w:rsidP="00B125DC">
      <w:pPr>
        <w:pStyle w:val="Textodenotaderodap"/>
        <w:jc w:val="both"/>
        <w:rPr>
          <w:rFonts w:ascii="Times New Roman" w:hAnsi="Times New Roman" w:cs="Times New Roman"/>
        </w:rPr>
      </w:pPr>
      <w:r w:rsidRPr="008B2C16">
        <w:rPr>
          <w:rStyle w:val="Refdenotaderodap"/>
          <w:rFonts w:ascii="Times New Roman" w:hAnsi="Times New Roman" w:cs="Times New Roman"/>
        </w:rPr>
        <w:footnoteRef/>
      </w:r>
      <w:r w:rsidRPr="008B2C16">
        <w:rPr>
          <w:rFonts w:ascii="Times New Roman" w:hAnsi="Times New Roman" w:cs="Times New Roman"/>
        </w:rPr>
        <w:t xml:space="preserve"> As diretrizes orientam o trabalho de reconhecimento  das práticas e bens culturais de natureza imaterial “considerados os mais importantes para uma comunidade porque articulam sentidos de pertencimento e de identificação, dizem respeito à memória e à identidade das pessoas que neles se reconhecem” (I</w:t>
      </w:r>
      <w:r w:rsidR="008B2C16" w:rsidRPr="008B2C16">
        <w:rPr>
          <w:rFonts w:ascii="Times New Roman" w:hAnsi="Times New Roman" w:cs="Times New Roman"/>
        </w:rPr>
        <w:t>nstituto</w:t>
      </w:r>
      <w:r w:rsidRPr="008B2C16">
        <w:rPr>
          <w:rFonts w:ascii="Times New Roman" w:hAnsi="Times New Roman" w:cs="Times New Roman"/>
        </w:rPr>
        <w:t>, [20</w:t>
      </w:r>
      <w:r w:rsidRPr="008B2C16">
        <w:rPr>
          <w:rFonts w:ascii="Times New Roman" w:hAnsi="Times New Roman" w:cs="Times New Roman"/>
        </w:rPr>
        <w:noBreakHyphen/>
      </w:r>
      <w:r w:rsidRPr="008B2C16">
        <w:rPr>
          <w:rFonts w:ascii="Times New Roman" w:hAnsi="Times New Roman" w:cs="Times New Roman"/>
        </w:rPr>
        <w:noBreakHyphen/>
        <w:t>]b).</w:t>
      </w:r>
    </w:p>
  </w:footnote>
  <w:footnote w:id="58">
    <w:p w14:paraId="2BC5BA65" w14:textId="77777777" w:rsidR="00B125DC" w:rsidRPr="008B2C16" w:rsidRDefault="00B125DC" w:rsidP="00B125DC">
      <w:pPr>
        <w:pStyle w:val="Textodenotaderodap"/>
        <w:jc w:val="both"/>
        <w:rPr>
          <w:rFonts w:ascii="Times New Roman" w:hAnsi="Times New Roman" w:cs="Times New Roman"/>
        </w:rPr>
      </w:pPr>
      <w:r w:rsidRPr="008B2C16">
        <w:rPr>
          <w:rStyle w:val="Refdenotaderodap"/>
          <w:rFonts w:ascii="Times New Roman" w:hAnsi="Times New Roman" w:cs="Times New Roman"/>
        </w:rPr>
        <w:footnoteRef/>
      </w:r>
      <w:r w:rsidRPr="008B2C16">
        <w:rPr>
          <w:rFonts w:ascii="Times New Roman" w:hAnsi="Times New Roman" w:cs="Times New Roman"/>
        </w:rPr>
        <w:t xml:space="preserve"> As oficinas de percussão podem ser caracterizadas como um meio de educação não formal. Conforme colocado por Gohn (2002, p. 11), entendemos por educação não formal “os processos de ensino/aprendizagem que têm sua origem a partir da experiência prática e que usualmente não são codificados em sistemas curriculares oficializados”.</w:t>
      </w:r>
    </w:p>
  </w:footnote>
  <w:footnote w:id="59">
    <w:p w14:paraId="5B8C6CD0" w14:textId="77777777" w:rsidR="00B125DC" w:rsidRPr="008B2C16" w:rsidRDefault="00B125DC" w:rsidP="00B125DC">
      <w:pPr>
        <w:pStyle w:val="Textodenotaderodap"/>
        <w:jc w:val="both"/>
        <w:rPr>
          <w:rFonts w:ascii="Times New Roman" w:hAnsi="Times New Roman" w:cs="Times New Roman"/>
        </w:rPr>
      </w:pPr>
      <w:r w:rsidRPr="008B2C16">
        <w:rPr>
          <w:rStyle w:val="Refdenotaderodap"/>
          <w:rFonts w:ascii="Times New Roman" w:hAnsi="Times New Roman" w:cs="Times New Roman"/>
        </w:rPr>
        <w:footnoteRef/>
      </w:r>
      <w:r w:rsidRPr="008B2C16">
        <w:rPr>
          <w:rFonts w:ascii="Times New Roman" w:hAnsi="Times New Roman" w:cs="Times New Roman"/>
        </w:rPr>
        <w:t xml:space="preserve"> A Pedra do Sal é um monumento religioso e histórico da cultura afro-brasileira. Desde o século XVIII, a região, conhecida pelo desembarque do sal, foi densamente habitada pela população negra. Os primeiros terreiros de candomblé da cidade foram fundados nas imediações da Pedra do Sal, assim como o samba carioca e os primeiros ranchos e cordões carnavalescos (RIOTUR, 2023).</w:t>
      </w:r>
    </w:p>
  </w:footnote>
  <w:footnote w:id="60">
    <w:p w14:paraId="35374347" w14:textId="38E4B83C" w:rsidR="00B125DC" w:rsidRPr="008B2C16" w:rsidRDefault="00B125DC" w:rsidP="00B125DC">
      <w:pPr>
        <w:pStyle w:val="Textodenotaderodap"/>
        <w:jc w:val="both"/>
        <w:rPr>
          <w:rFonts w:ascii="Times New Roman" w:hAnsi="Times New Roman" w:cs="Times New Roman"/>
        </w:rPr>
      </w:pPr>
      <w:r w:rsidRPr="008B2C16">
        <w:rPr>
          <w:rStyle w:val="Refdenotaderodap"/>
          <w:rFonts w:ascii="Times New Roman" w:hAnsi="Times New Roman" w:cs="Times New Roman"/>
        </w:rPr>
        <w:footnoteRef/>
      </w:r>
      <w:r w:rsidRPr="008B2C16">
        <w:rPr>
          <w:rFonts w:ascii="Times New Roman" w:hAnsi="Times New Roman" w:cs="Times New Roman"/>
        </w:rPr>
        <w:t xml:space="preserve"> Os elementos são: ritmo, instrumento, aula, ensaio, evento, propósito, grupo percussivo, turma, local e mestre da oficina. Todos esses elementos foram identificados a partir da observação participante em decorrência da permanência do pesquisador no campo de pesquisa (S</w:t>
      </w:r>
      <w:r w:rsidR="008B2C16" w:rsidRPr="008B2C16">
        <w:rPr>
          <w:rFonts w:ascii="Times New Roman" w:hAnsi="Times New Roman" w:cs="Times New Roman"/>
        </w:rPr>
        <w:t>obral</w:t>
      </w:r>
      <w:r w:rsidRPr="008B2C16">
        <w:rPr>
          <w:rFonts w:ascii="Times New Roman" w:hAnsi="Times New Roman" w:cs="Times New Roman"/>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53FD" w14:textId="785271C5" w:rsidR="004D1B82" w:rsidRPr="004D1B82" w:rsidRDefault="004D1B82">
    <w:pPr>
      <w:pStyle w:val="Cabealho"/>
      <w:jc w:val="right"/>
      <w:rPr>
        <w:rFonts w:ascii="Times New Roman" w:hAnsi="Times New Roman" w:cs="Times New Roman"/>
        <w:sz w:val="24"/>
        <w:szCs w:val="24"/>
      </w:rPr>
    </w:pPr>
  </w:p>
  <w:p w14:paraId="243A1637" w14:textId="77777777" w:rsidR="004D1B82" w:rsidRDefault="004D1B8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495971"/>
      <w:docPartObj>
        <w:docPartGallery w:val="Page Numbers (Top of Page)"/>
        <w:docPartUnique/>
      </w:docPartObj>
    </w:sdtPr>
    <w:sdtEndPr>
      <w:rPr>
        <w:rFonts w:ascii="Times New Roman" w:hAnsi="Times New Roman" w:cs="Times New Roman"/>
        <w:sz w:val="24"/>
        <w:szCs w:val="24"/>
      </w:rPr>
    </w:sdtEndPr>
    <w:sdtContent>
      <w:p w14:paraId="56CBE3A2" w14:textId="77777777" w:rsidR="004D1B82" w:rsidRPr="004D1B82" w:rsidRDefault="004D1B82">
        <w:pPr>
          <w:pStyle w:val="Cabealho"/>
          <w:jc w:val="right"/>
          <w:rPr>
            <w:rFonts w:ascii="Times New Roman" w:hAnsi="Times New Roman" w:cs="Times New Roman"/>
            <w:sz w:val="24"/>
            <w:szCs w:val="24"/>
          </w:rPr>
        </w:pPr>
        <w:r w:rsidRPr="004D1B82">
          <w:rPr>
            <w:rFonts w:ascii="Times New Roman" w:hAnsi="Times New Roman" w:cs="Times New Roman"/>
            <w:sz w:val="24"/>
            <w:szCs w:val="24"/>
          </w:rPr>
          <w:fldChar w:fldCharType="begin"/>
        </w:r>
        <w:r w:rsidRPr="004D1B82">
          <w:rPr>
            <w:rFonts w:ascii="Times New Roman" w:hAnsi="Times New Roman" w:cs="Times New Roman"/>
            <w:sz w:val="24"/>
            <w:szCs w:val="24"/>
          </w:rPr>
          <w:instrText>PAGE   \* MERGEFORMAT</w:instrText>
        </w:r>
        <w:r w:rsidRPr="004D1B82">
          <w:rPr>
            <w:rFonts w:ascii="Times New Roman" w:hAnsi="Times New Roman" w:cs="Times New Roman"/>
            <w:sz w:val="24"/>
            <w:szCs w:val="24"/>
          </w:rPr>
          <w:fldChar w:fldCharType="separate"/>
        </w:r>
        <w:r w:rsidRPr="004D1B82">
          <w:rPr>
            <w:rFonts w:ascii="Times New Roman" w:hAnsi="Times New Roman" w:cs="Times New Roman"/>
            <w:sz w:val="24"/>
            <w:szCs w:val="24"/>
          </w:rPr>
          <w:t>2</w:t>
        </w:r>
        <w:r w:rsidRPr="004D1B82">
          <w:rPr>
            <w:rFonts w:ascii="Times New Roman" w:hAnsi="Times New Roman" w:cs="Times New Roman"/>
            <w:sz w:val="24"/>
            <w:szCs w:val="24"/>
          </w:rPr>
          <w:fldChar w:fldCharType="end"/>
        </w:r>
      </w:p>
    </w:sdtContent>
  </w:sdt>
  <w:p w14:paraId="66E89585" w14:textId="77777777" w:rsidR="004D1B82" w:rsidRDefault="004D1B8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CAA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A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221C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140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54C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C4F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C6E3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BED7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C06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26D8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D306E"/>
    <w:multiLevelType w:val="hybridMultilevel"/>
    <w:tmpl w:val="44FCC4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2575828"/>
    <w:multiLevelType w:val="multilevel"/>
    <w:tmpl w:val="606439A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E117C"/>
    <w:multiLevelType w:val="multilevel"/>
    <w:tmpl w:val="ED7C5B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3B32DB"/>
    <w:multiLevelType w:val="multilevel"/>
    <w:tmpl w:val="0416001F"/>
    <w:numStyleLink w:val="Estilo1"/>
  </w:abstractNum>
  <w:abstractNum w:abstractNumId="14" w15:restartNumberingAfterBreak="0">
    <w:nsid w:val="1CB90D85"/>
    <w:multiLevelType w:val="hybridMultilevel"/>
    <w:tmpl w:val="B1963B4C"/>
    <w:lvl w:ilvl="0" w:tplc="B3065FD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40680C56"/>
    <w:multiLevelType w:val="multilevel"/>
    <w:tmpl w:val="EEA4A5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403A90"/>
    <w:multiLevelType w:val="multilevel"/>
    <w:tmpl w:val="A8228C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4C50D9"/>
    <w:multiLevelType w:val="multilevel"/>
    <w:tmpl w:val="0416001F"/>
    <w:styleLink w:val="Estilo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3850BB"/>
    <w:multiLevelType w:val="multilevel"/>
    <w:tmpl w:val="4BD0DA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8471CC5"/>
    <w:multiLevelType w:val="hybridMultilevel"/>
    <w:tmpl w:val="D01C3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29746721">
    <w:abstractNumId w:val="10"/>
  </w:num>
  <w:num w:numId="2" w16cid:durableId="223298050">
    <w:abstractNumId w:val="19"/>
  </w:num>
  <w:num w:numId="3" w16cid:durableId="408114184">
    <w:abstractNumId w:val="17"/>
  </w:num>
  <w:num w:numId="4" w16cid:durableId="19358827">
    <w:abstractNumId w:val="13"/>
  </w:num>
  <w:num w:numId="5" w16cid:durableId="494229942">
    <w:abstractNumId w:val="14"/>
  </w:num>
  <w:num w:numId="6" w16cid:durableId="2080253129">
    <w:abstractNumId w:val="18"/>
  </w:num>
  <w:num w:numId="7" w16cid:durableId="845049086">
    <w:abstractNumId w:val="15"/>
  </w:num>
  <w:num w:numId="8" w16cid:durableId="418717580">
    <w:abstractNumId w:val="12"/>
  </w:num>
  <w:num w:numId="9" w16cid:durableId="189684396">
    <w:abstractNumId w:val="11"/>
  </w:num>
  <w:num w:numId="10" w16cid:durableId="1644777444">
    <w:abstractNumId w:val="16"/>
  </w:num>
  <w:num w:numId="11" w16cid:durableId="696004657">
    <w:abstractNumId w:val="9"/>
  </w:num>
  <w:num w:numId="12" w16cid:durableId="1346636930">
    <w:abstractNumId w:val="8"/>
  </w:num>
  <w:num w:numId="13" w16cid:durableId="1791361069">
    <w:abstractNumId w:val="7"/>
  </w:num>
  <w:num w:numId="14" w16cid:durableId="817265007">
    <w:abstractNumId w:val="6"/>
  </w:num>
  <w:num w:numId="15" w16cid:durableId="1380664133">
    <w:abstractNumId w:val="5"/>
  </w:num>
  <w:num w:numId="16" w16cid:durableId="312947509">
    <w:abstractNumId w:val="4"/>
  </w:num>
  <w:num w:numId="17" w16cid:durableId="579948857">
    <w:abstractNumId w:val="3"/>
  </w:num>
  <w:num w:numId="18" w16cid:durableId="794640917">
    <w:abstractNumId w:val="2"/>
  </w:num>
  <w:num w:numId="19" w16cid:durableId="1375883444">
    <w:abstractNumId w:val="1"/>
  </w:num>
  <w:num w:numId="20" w16cid:durableId="675233226">
    <w:abstractNumId w:val="0"/>
  </w:num>
  <w:num w:numId="21" w16cid:durableId="2102529887">
    <w:abstractNumId w:val="9"/>
  </w:num>
  <w:num w:numId="22" w16cid:durableId="1177576743">
    <w:abstractNumId w:val="8"/>
  </w:num>
  <w:num w:numId="23" w16cid:durableId="1080325770">
    <w:abstractNumId w:val="7"/>
  </w:num>
  <w:num w:numId="24" w16cid:durableId="991299735">
    <w:abstractNumId w:val="6"/>
  </w:num>
  <w:num w:numId="25" w16cid:durableId="1262109043">
    <w:abstractNumId w:val="5"/>
  </w:num>
  <w:num w:numId="26" w16cid:durableId="662659759">
    <w:abstractNumId w:val="4"/>
  </w:num>
  <w:num w:numId="27" w16cid:durableId="1716542893">
    <w:abstractNumId w:val="3"/>
  </w:num>
  <w:num w:numId="28" w16cid:durableId="212811807">
    <w:abstractNumId w:val="2"/>
  </w:num>
  <w:num w:numId="29" w16cid:durableId="2092577166">
    <w:abstractNumId w:val="1"/>
  </w:num>
  <w:num w:numId="30" w16cid:durableId="1981616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00D"/>
    <w:rsid w:val="00034C35"/>
    <w:rsid w:val="000F045D"/>
    <w:rsid w:val="001532D7"/>
    <w:rsid w:val="001A02E1"/>
    <w:rsid w:val="001C600D"/>
    <w:rsid w:val="00244F92"/>
    <w:rsid w:val="002766DF"/>
    <w:rsid w:val="00282442"/>
    <w:rsid w:val="002951F4"/>
    <w:rsid w:val="002A4E53"/>
    <w:rsid w:val="002B527F"/>
    <w:rsid w:val="002C0098"/>
    <w:rsid w:val="002C0500"/>
    <w:rsid w:val="002F7E08"/>
    <w:rsid w:val="00320F5F"/>
    <w:rsid w:val="00396179"/>
    <w:rsid w:val="003B2064"/>
    <w:rsid w:val="003C3824"/>
    <w:rsid w:val="003F199D"/>
    <w:rsid w:val="00453FF6"/>
    <w:rsid w:val="00456A9B"/>
    <w:rsid w:val="00463060"/>
    <w:rsid w:val="0047726A"/>
    <w:rsid w:val="00485ADC"/>
    <w:rsid w:val="0049150C"/>
    <w:rsid w:val="004D1B82"/>
    <w:rsid w:val="0050415D"/>
    <w:rsid w:val="00556853"/>
    <w:rsid w:val="00563DFC"/>
    <w:rsid w:val="0059188C"/>
    <w:rsid w:val="005E33C0"/>
    <w:rsid w:val="00607DEE"/>
    <w:rsid w:val="00674250"/>
    <w:rsid w:val="006D4265"/>
    <w:rsid w:val="00727B7C"/>
    <w:rsid w:val="007364F1"/>
    <w:rsid w:val="00771090"/>
    <w:rsid w:val="007B6871"/>
    <w:rsid w:val="007D17D0"/>
    <w:rsid w:val="00857D78"/>
    <w:rsid w:val="00863B19"/>
    <w:rsid w:val="008A09B2"/>
    <w:rsid w:val="008A11F3"/>
    <w:rsid w:val="008B2C16"/>
    <w:rsid w:val="008D66D2"/>
    <w:rsid w:val="008E3113"/>
    <w:rsid w:val="00907A94"/>
    <w:rsid w:val="00920F26"/>
    <w:rsid w:val="00940252"/>
    <w:rsid w:val="00946C54"/>
    <w:rsid w:val="00995252"/>
    <w:rsid w:val="009C76D4"/>
    <w:rsid w:val="00AC7317"/>
    <w:rsid w:val="00B125DC"/>
    <w:rsid w:val="00B2110F"/>
    <w:rsid w:val="00B4597E"/>
    <w:rsid w:val="00B73FEA"/>
    <w:rsid w:val="00BA70F8"/>
    <w:rsid w:val="00BB6DB1"/>
    <w:rsid w:val="00BB7CE0"/>
    <w:rsid w:val="00BC0EAA"/>
    <w:rsid w:val="00C04A5F"/>
    <w:rsid w:val="00C14F57"/>
    <w:rsid w:val="00C62081"/>
    <w:rsid w:val="00D121C1"/>
    <w:rsid w:val="00D6054D"/>
    <w:rsid w:val="00DA6FF9"/>
    <w:rsid w:val="00E11E49"/>
    <w:rsid w:val="00E204C9"/>
    <w:rsid w:val="00E53EA4"/>
    <w:rsid w:val="00EA4E74"/>
    <w:rsid w:val="00EC2166"/>
    <w:rsid w:val="00F04B4D"/>
    <w:rsid w:val="00F518AA"/>
    <w:rsid w:val="00F7213F"/>
    <w:rsid w:val="00F850DA"/>
    <w:rsid w:val="00F90E6F"/>
    <w:rsid w:val="00F93C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7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850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Textbody"/>
    <w:link w:val="Ttulo2Char"/>
    <w:uiPriority w:val="9"/>
    <w:unhideWhenUsed/>
    <w:qFormat/>
    <w:rsid w:val="00456A9B"/>
    <w:pPr>
      <w:keepNext/>
      <w:suppressAutoHyphens/>
      <w:autoSpaceDN w:val="0"/>
      <w:spacing w:before="200" w:after="0" w:line="240" w:lineRule="auto"/>
      <w:textAlignment w:val="baseline"/>
      <w:outlineLvl w:val="1"/>
    </w:pPr>
    <w:rPr>
      <w:rFonts w:ascii="Arial" w:eastAsia="Arial" w:hAnsi="Arial" w:cs="Arial"/>
      <w:bCs/>
      <w:kern w:val="3"/>
      <w:sz w:val="24"/>
      <w:szCs w:val="32"/>
      <w:lang w:eastAsia="zh-CN" w:bidi="hi-IN"/>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ntes">
    <w:name w:val="Fontes"/>
    <w:basedOn w:val="Normal"/>
    <w:qFormat/>
    <w:rsid w:val="002F7E08"/>
    <w:pPr>
      <w:tabs>
        <w:tab w:val="left" w:pos="709"/>
      </w:tabs>
      <w:spacing w:before="240" w:after="240" w:line="360" w:lineRule="auto"/>
      <w:contextualSpacing/>
      <w:jc w:val="both"/>
    </w:pPr>
    <w:rPr>
      <w:rFonts w:ascii="Times New Roman" w:eastAsia="Calibri" w:hAnsi="Times New Roman" w:cs="Times"/>
      <w:color w:val="262626"/>
      <w:kern w:val="0"/>
      <w:szCs w:val="16"/>
      <w:lang w:val="en-US"/>
      <w14:ligatures w14:val="none"/>
    </w:rPr>
  </w:style>
  <w:style w:type="paragraph" w:styleId="Textodenotaderodap">
    <w:name w:val="footnote text"/>
    <w:basedOn w:val="Normal"/>
    <w:link w:val="TextodenotaderodapChar"/>
    <w:uiPriority w:val="99"/>
    <w:unhideWhenUsed/>
    <w:rsid w:val="00B125DC"/>
    <w:pPr>
      <w:spacing w:after="0" w:line="240" w:lineRule="auto"/>
    </w:pPr>
    <w:rPr>
      <w:rFonts w:ascii="Calibri" w:eastAsia="Calibri" w:hAnsi="Calibri" w:cs="Calibri"/>
      <w:kern w:val="0"/>
      <w:sz w:val="20"/>
      <w:szCs w:val="20"/>
      <w:lang w:eastAsia="pt-BR"/>
      <w14:ligatures w14:val="none"/>
    </w:rPr>
  </w:style>
  <w:style w:type="character" w:customStyle="1" w:styleId="TextodenotaderodapChar">
    <w:name w:val="Texto de nota de rodapé Char"/>
    <w:basedOn w:val="Fontepargpadro"/>
    <w:link w:val="Textodenotaderodap"/>
    <w:uiPriority w:val="99"/>
    <w:qFormat/>
    <w:rsid w:val="00B125DC"/>
    <w:rPr>
      <w:rFonts w:ascii="Calibri" w:eastAsia="Calibri" w:hAnsi="Calibri" w:cs="Calibri"/>
      <w:kern w:val="0"/>
      <w:sz w:val="20"/>
      <w:szCs w:val="20"/>
      <w:lang w:eastAsia="pt-BR"/>
      <w14:ligatures w14:val="none"/>
    </w:rPr>
  </w:style>
  <w:style w:type="character" w:styleId="Refdenotaderodap">
    <w:name w:val="footnote reference"/>
    <w:basedOn w:val="Fontepargpadro"/>
    <w:uiPriority w:val="99"/>
    <w:unhideWhenUsed/>
    <w:rsid w:val="00B125DC"/>
    <w:rPr>
      <w:vertAlign w:val="superscript"/>
    </w:rPr>
  </w:style>
  <w:style w:type="table" w:styleId="Tabelacomgrade">
    <w:name w:val="Table Grid"/>
    <w:basedOn w:val="Tabelanormal"/>
    <w:uiPriority w:val="39"/>
    <w:rsid w:val="00B125DC"/>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acteresdenotaderodap">
    <w:name w:val="Caracteres de nota de rodapé"/>
    <w:qFormat/>
    <w:rsid w:val="00B125DC"/>
  </w:style>
  <w:style w:type="paragraph" w:styleId="Citao">
    <w:name w:val="Quote"/>
    <w:basedOn w:val="Normal"/>
    <w:next w:val="Normal"/>
    <w:link w:val="CitaoChar"/>
    <w:uiPriority w:val="29"/>
    <w:qFormat/>
    <w:rsid w:val="00B125DC"/>
    <w:pPr>
      <w:spacing w:before="200"/>
      <w:ind w:left="864" w:right="864"/>
      <w:jc w:val="center"/>
    </w:pPr>
    <w:rPr>
      <w:rFonts w:ascii="Calibri" w:eastAsia="Calibri" w:hAnsi="Calibri" w:cs="Calibri"/>
      <w:i/>
      <w:iCs/>
      <w:color w:val="404040" w:themeColor="text1" w:themeTint="BF"/>
      <w:kern w:val="0"/>
      <w:lang w:eastAsia="pt-BR"/>
      <w14:ligatures w14:val="none"/>
    </w:rPr>
  </w:style>
  <w:style w:type="character" w:customStyle="1" w:styleId="CitaoChar">
    <w:name w:val="Citação Char"/>
    <w:basedOn w:val="Fontepargpadro"/>
    <w:link w:val="Citao"/>
    <w:uiPriority w:val="29"/>
    <w:rsid w:val="00B125DC"/>
    <w:rPr>
      <w:rFonts w:ascii="Calibri" w:eastAsia="Calibri" w:hAnsi="Calibri" w:cs="Calibri"/>
      <w:i/>
      <w:iCs/>
      <w:color w:val="404040" w:themeColor="text1" w:themeTint="BF"/>
      <w:kern w:val="0"/>
      <w:lang w:eastAsia="pt-BR"/>
      <w14:ligatures w14:val="none"/>
    </w:rPr>
  </w:style>
  <w:style w:type="character" w:styleId="Hyperlink">
    <w:name w:val="Hyperlink"/>
    <w:basedOn w:val="Fontepargpadro"/>
    <w:uiPriority w:val="99"/>
    <w:unhideWhenUsed/>
    <w:rsid w:val="00B125DC"/>
    <w:rPr>
      <w:color w:val="0563C1" w:themeColor="hyperlink"/>
      <w:u w:val="single"/>
    </w:rPr>
  </w:style>
  <w:style w:type="paragraph" w:styleId="Textodenotadefim">
    <w:name w:val="endnote text"/>
    <w:basedOn w:val="Normal"/>
    <w:link w:val="TextodenotadefimChar"/>
    <w:uiPriority w:val="99"/>
    <w:semiHidden/>
    <w:unhideWhenUsed/>
    <w:rsid w:val="00B125DC"/>
    <w:pPr>
      <w:spacing w:after="0" w:line="240" w:lineRule="auto"/>
    </w:pPr>
    <w:rPr>
      <w:kern w:val="0"/>
      <w:sz w:val="20"/>
      <w:szCs w:val="20"/>
      <w14:ligatures w14:val="none"/>
    </w:rPr>
  </w:style>
  <w:style w:type="character" w:customStyle="1" w:styleId="TextodenotadefimChar">
    <w:name w:val="Texto de nota de fim Char"/>
    <w:basedOn w:val="Fontepargpadro"/>
    <w:link w:val="Textodenotadefim"/>
    <w:uiPriority w:val="99"/>
    <w:semiHidden/>
    <w:rsid w:val="00B125DC"/>
    <w:rPr>
      <w:kern w:val="0"/>
      <w:sz w:val="20"/>
      <w:szCs w:val="20"/>
      <w14:ligatures w14:val="none"/>
    </w:rPr>
  </w:style>
  <w:style w:type="paragraph" w:customStyle="1" w:styleId="SeoXVIIIENANCIB">
    <w:name w:val="Seção_XVIII_ENANCIB"/>
    <w:basedOn w:val="Normal"/>
    <w:qFormat/>
    <w:rsid w:val="00B125DC"/>
    <w:pPr>
      <w:spacing w:before="240" w:after="120" w:line="240" w:lineRule="auto"/>
    </w:pPr>
    <w:rPr>
      <w:rFonts w:eastAsia="Times New Roman" w:cstheme="minorHAnsi"/>
      <w:b/>
      <w:bCs/>
      <w:kern w:val="0"/>
      <w:sz w:val="24"/>
      <w:szCs w:val="28"/>
      <w:lang w:eastAsia="pt-BR"/>
      <w14:ligatures w14:val="none"/>
    </w:rPr>
  </w:style>
  <w:style w:type="table" w:styleId="TabeladeLista2">
    <w:name w:val="List Table 2"/>
    <w:basedOn w:val="Tabelanormal"/>
    <w:uiPriority w:val="47"/>
    <w:rsid w:val="00B125DC"/>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B125D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tulo2XVIIIENANCIB">
    <w:name w:val="Título2_XVIII_ENANCIB"/>
    <w:basedOn w:val="Ttulo"/>
    <w:qFormat/>
    <w:rsid w:val="00B125DC"/>
    <w:pPr>
      <w:spacing w:before="600" w:after="600"/>
      <w:contextualSpacing w:val="0"/>
      <w:jc w:val="center"/>
    </w:pPr>
    <w:rPr>
      <w:rFonts w:asciiTheme="minorHAnsi" w:eastAsia="Times New Roman" w:hAnsiTheme="minorHAnsi" w:cstheme="minorHAnsi"/>
      <w:b/>
      <w:spacing w:val="0"/>
      <w:kern w:val="0"/>
      <w:sz w:val="24"/>
      <w:szCs w:val="24"/>
      <w:lang w:eastAsia="pt-BR"/>
      <w14:ligatures w14:val="none"/>
    </w:rPr>
  </w:style>
  <w:style w:type="paragraph" w:customStyle="1" w:styleId="Ttulo3XVIIIENANCIB">
    <w:name w:val="Título3_XVIII_ENANCIB"/>
    <w:basedOn w:val="Corpodetexto"/>
    <w:qFormat/>
    <w:rsid w:val="00B125DC"/>
    <w:pPr>
      <w:spacing w:before="240" w:after="240" w:line="240" w:lineRule="auto"/>
      <w:jc w:val="center"/>
    </w:pPr>
    <w:rPr>
      <w:rFonts w:eastAsia="Times New Roman" w:cstheme="minorHAnsi"/>
      <w:b/>
      <w:bCs/>
      <w:kern w:val="0"/>
      <w:sz w:val="24"/>
      <w:szCs w:val="24"/>
      <w:lang w:eastAsia="pt-BR"/>
      <w14:ligatures w14:val="none"/>
    </w:rPr>
  </w:style>
  <w:style w:type="paragraph" w:customStyle="1" w:styleId="Ttulo4XVIIIENANCIB">
    <w:name w:val="Título4_XVIIIENANCIB"/>
    <w:basedOn w:val="Corpodetexto"/>
    <w:qFormat/>
    <w:rsid w:val="00B125DC"/>
    <w:pPr>
      <w:spacing w:before="240" w:after="240" w:line="240" w:lineRule="auto"/>
      <w:jc w:val="center"/>
    </w:pPr>
    <w:rPr>
      <w:rFonts w:eastAsia="Times New Roman" w:cstheme="minorHAnsi"/>
      <w:b/>
      <w:bCs/>
      <w:i/>
      <w:kern w:val="0"/>
      <w:sz w:val="24"/>
      <w:szCs w:val="24"/>
      <w:lang w:eastAsia="pt-BR"/>
      <w14:ligatures w14:val="none"/>
    </w:rPr>
  </w:style>
  <w:style w:type="paragraph" w:customStyle="1" w:styleId="ModalidadeXVIIIENANCIB">
    <w:name w:val="Modalidade_XVIII_ENANCIB"/>
    <w:basedOn w:val="Ttulo"/>
    <w:qFormat/>
    <w:rsid w:val="00B125DC"/>
    <w:pPr>
      <w:spacing w:before="600" w:after="240"/>
      <w:contextualSpacing w:val="0"/>
      <w:jc w:val="center"/>
    </w:pPr>
    <w:rPr>
      <w:rFonts w:asciiTheme="minorHAnsi" w:eastAsia="Times New Roman" w:hAnsiTheme="minorHAnsi" w:cstheme="minorHAnsi"/>
      <w:b/>
      <w:bCs/>
      <w:spacing w:val="0"/>
      <w:kern w:val="0"/>
      <w:sz w:val="24"/>
      <w:szCs w:val="24"/>
      <w:lang w:eastAsia="pt-BR"/>
      <w14:ligatures w14:val="none"/>
    </w:rPr>
  </w:style>
  <w:style w:type="paragraph" w:customStyle="1" w:styleId="TextoXVIIIENANCIB">
    <w:name w:val="Texto_XVIII_ENANCIB"/>
    <w:basedOn w:val="Normal"/>
    <w:qFormat/>
    <w:rsid w:val="00B125DC"/>
    <w:pPr>
      <w:spacing w:after="0" w:line="240" w:lineRule="auto"/>
      <w:jc w:val="both"/>
    </w:pPr>
    <w:rPr>
      <w:rFonts w:eastAsia="Times New Roman" w:cstheme="minorHAnsi"/>
      <w:spacing w:val="-2"/>
      <w:kern w:val="0"/>
      <w:sz w:val="24"/>
      <w:lang w:eastAsia="pt-BR"/>
      <w14:ligatures w14:val="none"/>
    </w:rPr>
  </w:style>
  <w:style w:type="paragraph" w:customStyle="1" w:styleId="RefernciasXVIIIENANCIB">
    <w:name w:val="Referências_XVIII_ENANCIB"/>
    <w:basedOn w:val="Normal"/>
    <w:qFormat/>
    <w:rsid w:val="00863B19"/>
    <w:pPr>
      <w:spacing w:after="0" w:line="360" w:lineRule="auto"/>
    </w:pPr>
    <w:rPr>
      <w:rFonts w:ascii="Times New Roman" w:eastAsia="Times New Roman" w:hAnsi="Times New Roman" w:cstheme="minorHAnsi"/>
      <w:b/>
      <w:bCs/>
      <w:caps/>
      <w:kern w:val="0"/>
      <w:sz w:val="24"/>
      <w:szCs w:val="28"/>
      <w:lang w:eastAsia="pt-BR"/>
      <w14:ligatures w14:val="none"/>
    </w:rPr>
  </w:style>
  <w:style w:type="paragraph" w:styleId="PargrafodaLista">
    <w:name w:val="List Paragraph"/>
    <w:basedOn w:val="Normal"/>
    <w:uiPriority w:val="34"/>
    <w:qFormat/>
    <w:rsid w:val="00B125DC"/>
    <w:pPr>
      <w:spacing w:after="0" w:line="240" w:lineRule="auto"/>
      <w:ind w:left="720"/>
      <w:contextualSpacing/>
    </w:pPr>
    <w:rPr>
      <w:rFonts w:ascii="Tahoma" w:eastAsia="Times New Roman" w:hAnsi="Tahoma" w:cs="Tahoma"/>
      <w:kern w:val="0"/>
      <w:sz w:val="20"/>
      <w:szCs w:val="20"/>
      <w:lang w:eastAsia="pt-BR"/>
      <w14:ligatures w14:val="none"/>
    </w:rPr>
  </w:style>
  <w:style w:type="paragraph" w:styleId="Ttulo">
    <w:name w:val="Title"/>
    <w:basedOn w:val="Normal"/>
    <w:next w:val="Normal"/>
    <w:link w:val="TtuloChar"/>
    <w:uiPriority w:val="10"/>
    <w:qFormat/>
    <w:rsid w:val="00B125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B125DC"/>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uiPriority w:val="99"/>
    <w:semiHidden/>
    <w:unhideWhenUsed/>
    <w:rsid w:val="00B125DC"/>
    <w:pPr>
      <w:spacing w:after="120"/>
    </w:pPr>
  </w:style>
  <w:style w:type="character" w:customStyle="1" w:styleId="CorpodetextoChar">
    <w:name w:val="Corpo de texto Char"/>
    <w:basedOn w:val="Fontepargpadro"/>
    <w:link w:val="Corpodetexto"/>
    <w:uiPriority w:val="99"/>
    <w:semiHidden/>
    <w:rsid w:val="00B125DC"/>
  </w:style>
  <w:style w:type="numbering" w:customStyle="1" w:styleId="Estilo1">
    <w:name w:val="Estilo1"/>
    <w:uiPriority w:val="99"/>
    <w:rsid w:val="00B125DC"/>
    <w:pPr>
      <w:numPr>
        <w:numId w:val="3"/>
      </w:numPr>
    </w:pPr>
  </w:style>
  <w:style w:type="table" w:customStyle="1" w:styleId="Tabelacomgrade1">
    <w:name w:val="Tabela com grade1"/>
    <w:basedOn w:val="Tabelanormal"/>
    <w:next w:val="Tabelacomgrade"/>
    <w:uiPriority w:val="59"/>
    <w:rsid w:val="00B125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456A9B"/>
    <w:rPr>
      <w:rFonts w:ascii="Arial" w:eastAsia="Arial" w:hAnsi="Arial" w:cs="Arial"/>
      <w:bCs/>
      <w:kern w:val="3"/>
      <w:sz w:val="24"/>
      <w:szCs w:val="32"/>
      <w:lang w:eastAsia="zh-CN" w:bidi="hi-IN"/>
      <w14:ligatures w14:val="none"/>
    </w:rPr>
  </w:style>
  <w:style w:type="paragraph" w:customStyle="1" w:styleId="Standard">
    <w:name w:val="Standard"/>
    <w:rsid w:val="00456A9B"/>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paragraph" w:customStyle="1" w:styleId="Textbody">
    <w:name w:val="Text body"/>
    <w:basedOn w:val="Standard"/>
    <w:rsid w:val="00456A9B"/>
    <w:pPr>
      <w:spacing w:after="140" w:line="276" w:lineRule="auto"/>
    </w:pPr>
  </w:style>
  <w:style w:type="paragraph" w:customStyle="1" w:styleId="Footnote">
    <w:name w:val="Footnote"/>
    <w:basedOn w:val="Standard"/>
    <w:rsid w:val="00456A9B"/>
    <w:pPr>
      <w:suppressLineNumbers/>
      <w:ind w:left="340" w:hanging="340"/>
    </w:pPr>
    <w:rPr>
      <w:sz w:val="20"/>
      <w:szCs w:val="20"/>
    </w:rPr>
  </w:style>
  <w:style w:type="character" w:customStyle="1" w:styleId="Fontepargpadro7">
    <w:name w:val="Fonte parág. padrão7"/>
    <w:rsid w:val="00456A9B"/>
  </w:style>
  <w:style w:type="character" w:customStyle="1" w:styleId="Internetlink">
    <w:name w:val="Internet link"/>
    <w:rsid w:val="00456A9B"/>
    <w:rPr>
      <w:color w:val="0000FF"/>
      <w:u w:val="single"/>
    </w:rPr>
  </w:style>
  <w:style w:type="character" w:customStyle="1" w:styleId="apple-tab-span">
    <w:name w:val="apple-tab-span"/>
    <w:basedOn w:val="Fontepargpadro"/>
    <w:rsid w:val="00456A9B"/>
  </w:style>
  <w:style w:type="character" w:styleId="nfase">
    <w:name w:val="Emphasis"/>
    <w:basedOn w:val="Fontepargpadro"/>
    <w:uiPriority w:val="20"/>
    <w:qFormat/>
    <w:rsid w:val="00456A9B"/>
    <w:rPr>
      <w:i/>
      <w:iCs/>
    </w:rPr>
  </w:style>
  <w:style w:type="paragraph" w:customStyle="1" w:styleId="Default">
    <w:name w:val="Default"/>
    <w:qFormat/>
    <w:rsid w:val="00456A9B"/>
    <w:pPr>
      <w:spacing w:after="0" w:line="240" w:lineRule="auto"/>
    </w:pPr>
    <w:rPr>
      <w:rFonts w:ascii="Arial" w:eastAsia="Calibri" w:hAnsi="Arial" w:cs="Arial"/>
      <w:color w:val="000000"/>
      <w:kern w:val="0"/>
      <w:sz w:val="24"/>
      <w:szCs w:val="24"/>
      <w14:ligatures w14:val="none"/>
    </w:rPr>
  </w:style>
  <w:style w:type="paragraph" w:customStyle="1" w:styleId="naovisivelimpressao">
    <w:name w:val="naovisivelimpressao"/>
    <w:basedOn w:val="Normal"/>
    <w:uiPriority w:val="99"/>
    <w:qFormat/>
    <w:rsid w:val="00456A9B"/>
    <w:pPr>
      <w:spacing w:beforeAutospacing="1" w:after="200" w:afterAutospacing="1" w:line="240" w:lineRule="auto"/>
    </w:pPr>
    <w:rPr>
      <w:rFonts w:ascii="Times New Roman" w:eastAsia="Times New Roman" w:hAnsi="Times New Roman" w:cs="Times New Roman"/>
      <w:color w:val="00000A"/>
      <w:kern w:val="0"/>
      <w:sz w:val="24"/>
      <w:szCs w:val="24"/>
      <w:lang w:eastAsia="pt-BR"/>
      <w14:ligatures w14:val="none"/>
    </w:rPr>
  </w:style>
  <w:style w:type="character" w:styleId="MenoPendente">
    <w:name w:val="Unresolved Mention"/>
    <w:basedOn w:val="Fontepargpadro"/>
    <w:uiPriority w:val="99"/>
    <w:semiHidden/>
    <w:unhideWhenUsed/>
    <w:rsid w:val="00C62081"/>
    <w:rPr>
      <w:color w:val="605E5C"/>
      <w:shd w:val="clear" w:color="auto" w:fill="E1DFDD"/>
    </w:rPr>
  </w:style>
  <w:style w:type="character" w:customStyle="1" w:styleId="Ttulo1Char">
    <w:name w:val="Título 1 Char"/>
    <w:basedOn w:val="Fontepargpadro"/>
    <w:link w:val="Ttulo1"/>
    <w:uiPriority w:val="9"/>
    <w:rsid w:val="00F850DA"/>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863B19"/>
    <w:pPr>
      <w:outlineLvl w:val="9"/>
    </w:pPr>
    <w:rPr>
      <w:kern w:val="0"/>
      <w:lang w:eastAsia="pt-BR"/>
      <w14:ligatures w14:val="none"/>
    </w:rPr>
  </w:style>
  <w:style w:type="paragraph" w:styleId="Sumrio1">
    <w:name w:val="toc 1"/>
    <w:basedOn w:val="Normal"/>
    <w:next w:val="Normal"/>
    <w:autoRedefine/>
    <w:uiPriority w:val="39"/>
    <w:unhideWhenUsed/>
    <w:rsid w:val="00863B19"/>
    <w:pPr>
      <w:spacing w:after="100"/>
    </w:pPr>
  </w:style>
  <w:style w:type="paragraph" w:styleId="Legenda">
    <w:name w:val="caption"/>
    <w:basedOn w:val="Normal"/>
    <w:next w:val="Normal"/>
    <w:uiPriority w:val="35"/>
    <w:unhideWhenUsed/>
    <w:qFormat/>
    <w:rsid w:val="00D121C1"/>
    <w:pPr>
      <w:spacing w:after="200" w:line="240" w:lineRule="auto"/>
    </w:pPr>
    <w:rPr>
      <w:i/>
      <w:iCs/>
      <w:color w:val="44546A" w:themeColor="text2"/>
      <w:sz w:val="18"/>
      <w:szCs w:val="18"/>
    </w:rPr>
  </w:style>
  <w:style w:type="paragraph" w:styleId="Cabealho">
    <w:name w:val="header"/>
    <w:basedOn w:val="Normal"/>
    <w:link w:val="CabealhoChar"/>
    <w:uiPriority w:val="99"/>
    <w:unhideWhenUsed/>
    <w:rsid w:val="00B45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597E"/>
  </w:style>
  <w:style w:type="paragraph" w:styleId="Rodap">
    <w:name w:val="footer"/>
    <w:basedOn w:val="Normal"/>
    <w:link w:val="RodapChar"/>
    <w:uiPriority w:val="99"/>
    <w:unhideWhenUsed/>
    <w:rsid w:val="00B4597E"/>
    <w:pPr>
      <w:tabs>
        <w:tab w:val="center" w:pos="4252"/>
        <w:tab w:val="right" w:pos="8504"/>
      </w:tabs>
      <w:spacing w:after="0" w:line="240" w:lineRule="auto"/>
    </w:pPr>
  </w:style>
  <w:style w:type="character" w:customStyle="1" w:styleId="RodapChar">
    <w:name w:val="Rodapé Char"/>
    <w:basedOn w:val="Fontepargpadro"/>
    <w:link w:val="Rodap"/>
    <w:uiPriority w:val="99"/>
    <w:rsid w:val="00B45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73">
      <w:bodyDiv w:val="1"/>
      <w:marLeft w:val="0"/>
      <w:marRight w:val="0"/>
      <w:marTop w:val="0"/>
      <w:marBottom w:val="0"/>
      <w:divBdr>
        <w:top w:val="none" w:sz="0" w:space="0" w:color="auto"/>
        <w:left w:val="none" w:sz="0" w:space="0" w:color="auto"/>
        <w:bottom w:val="none" w:sz="0" w:space="0" w:color="auto"/>
        <w:right w:val="none" w:sz="0" w:space="0" w:color="auto"/>
      </w:divBdr>
    </w:div>
    <w:div w:id="367530895">
      <w:bodyDiv w:val="1"/>
      <w:marLeft w:val="0"/>
      <w:marRight w:val="0"/>
      <w:marTop w:val="0"/>
      <w:marBottom w:val="0"/>
      <w:divBdr>
        <w:top w:val="none" w:sz="0" w:space="0" w:color="auto"/>
        <w:left w:val="none" w:sz="0" w:space="0" w:color="auto"/>
        <w:bottom w:val="none" w:sz="0" w:space="0" w:color="auto"/>
        <w:right w:val="none" w:sz="0" w:space="0" w:color="auto"/>
      </w:divBdr>
    </w:div>
    <w:div w:id="698050461">
      <w:bodyDiv w:val="1"/>
      <w:marLeft w:val="0"/>
      <w:marRight w:val="0"/>
      <w:marTop w:val="0"/>
      <w:marBottom w:val="0"/>
      <w:divBdr>
        <w:top w:val="none" w:sz="0" w:space="0" w:color="auto"/>
        <w:left w:val="none" w:sz="0" w:space="0" w:color="auto"/>
        <w:bottom w:val="none" w:sz="0" w:space="0" w:color="auto"/>
        <w:right w:val="none" w:sz="0" w:space="0" w:color="auto"/>
      </w:divBdr>
    </w:div>
    <w:div w:id="848175115">
      <w:bodyDiv w:val="1"/>
      <w:marLeft w:val="0"/>
      <w:marRight w:val="0"/>
      <w:marTop w:val="0"/>
      <w:marBottom w:val="0"/>
      <w:divBdr>
        <w:top w:val="none" w:sz="0" w:space="0" w:color="auto"/>
        <w:left w:val="none" w:sz="0" w:space="0" w:color="auto"/>
        <w:bottom w:val="none" w:sz="0" w:space="0" w:color="auto"/>
        <w:right w:val="none" w:sz="0" w:space="0" w:color="auto"/>
      </w:divBdr>
    </w:div>
    <w:div w:id="1501889986">
      <w:bodyDiv w:val="1"/>
      <w:marLeft w:val="0"/>
      <w:marRight w:val="0"/>
      <w:marTop w:val="0"/>
      <w:marBottom w:val="0"/>
      <w:divBdr>
        <w:top w:val="none" w:sz="0" w:space="0" w:color="auto"/>
        <w:left w:val="none" w:sz="0" w:space="0" w:color="auto"/>
        <w:bottom w:val="none" w:sz="0" w:space="0" w:color="auto"/>
        <w:right w:val="none" w:sz="0" w:space="0" w:color="auto"/>
      </w:divBdr>
    </w:div>
    <w:div w:id="1585803681">
      <w:bodyDiv w:val="1"/>
      <w:marLeft w:val="0"/>
      <w:marRight w:val="0"/>
      <w:marTop w:val="0"/>
      <w:marBottom w:val="0"/>
      <w:divBdr>
        <w:top w:val="none" w:sz="0" w:space="0" w:color="auto"/>
        <w:left w:val="none" w:sz="0" w:space="0" w:color="auto"/>
        <w:bottom w:val="none" w:sz="0" w:space="0" w:color="auto"/>
        <w:right w:val="none" w:sz="0" w:space="0" w:color="auto"/>
      </w:divBdr>
    </w:div>
    <w:div w:id="1625964565">
      <w:bodyDiv w:val="1"/>
      <w:marLeft w:val="0"/>
      <w:marRight w:val="0"/>
      <w:marTop w:val="0"/>
      <w:marBottom w:val="0"/>
      <w:divBdr>
        <w:top w:val="none" w:sz="0" w:space="0" w:color="auto"/>
        <w:left w:val="none" w:sz="0" w:space="0" w:color="auto"/>
        <w:bottom w:val="none" w:sz="0" w:space="0" w:color="auto"/>
        <w:right w:val="none" w:sz="0" w:space="0" w:color="auto"/>
      </w:divBdr>
    </w:div>
    <w:div w:id="1947230745">
      <w:bodyDiv w:val="1"/>
      <w:marLeft w:val="0"/>
      <w:marRight w:val="0"/>
      <w:marTop w:val="0"/>
      <w:marBottom w:val="0"/>
      <w:divBdr>
        <w:top w:val="none" w:sz="0" w:space="0" w:color="auto"/>
        <w:left w:val="none" w:sz="0" w:space="0" w:color="auto"/>
        <w:bottom w:val="none" w:sz="0" w:space="0" w:color="auto"/>
        <w:right w:val="none" w:sz="0" w:space="0" w:color="auto"/>
      </w:divBdr>
    </w:div>
    <w:div w:id="200816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4.jpeg"/><Relationship Id="rId21" Type="http://schemas.openxmlformats.org/officeDocument/2006/relationships/diagramQuickStyle" Target="diagrams/quickStyle2.xml"/><Relationship Id="rId34" Type="http://schemas.openxmlformats.org/officeDocument/2006/relationships/hyperlink" Target="http://revista.ibict.br/ciinf/index.php/ciinf/article/view/348/309"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agclass.nal.usda.gov/background.shtml" TargetMode="External"/><Relationship Id="rId11" Type="http://schemas.openxmlformats.org/officeDocument/2006/relationships/hyperlink" Target="http://hdl.handle.net/20.500.11959/brapci/31808" TargetMode="External"/><Relationship Id="rId24" Type="http://schemas.openxmlformats.org/officeDocument/2006/relationships/diagramData" Target="diagrams/data3.xml"/><Relationship Id="rId32" Type="http://schemas.openxmlformats.org/officeDocument/2006/relationships/hyperlink" Target="http://biblioteca.ibge.gov.br/index.php/biblioteca-catalogo?acervo=periodico&amp;campo=titulo&amp;opeqry=&amp;texto=censo%20agropecuario&amp;digital=false&amp;fraseexata" TargetMode="External"/><Relationship Id="rId37" Type="http://schemas.openxmlformats.org/officeDocument/2006/relationships/hyperlink" Target="http://www.fao.org/faolex/background/es/" TargetMode="External"/><Relationship Id="rId40" Type="http://schemas.openxmlformats.org/officeDocument/2006/relationships/image" Target="media/image5.crdownload"/><Relationship Id="rId45" Type="http://schemas.openxmlformats.org/officeDocument/2006/relationships/image" Target="media/image10.crdownload"/><Relationship Id="rId53" Type="http://schemas.openxmlformats.org/officeDocument/2006/relationships/image" Target="media/image18.png"/><Relationship Id="rId5" Type="http://schemas.openxmlformats.org/officeDocument/2006/relationships/webSettings" Target="webSettings.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yperlink" Target="http://aims.fao.org/vest-registry/vocabularies/agrovoc" TargetMode="External"/><Relationship Id="rId35" Type="http://schemas.openxmlformats.org/officeDocument/2006/relationships/hyperlink" Target="http://lesc-cnrs.fr/en/geoethno-thesaurus" TargetMode="External"/><Relationship Id="rId43" Type="http://schemas.openxmlformats.org/officeDocument/2006/relationships/image" Target="media/image8.crdownload"/><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hdl.handle.net/20.500.11959/brapci/44668"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hyperlink" Target="https://digitalcommons.fiu.edu/glworks/1/" TargetMode="External"/><Relationship Id="rId38" Type="http://schemas.openxmlformats.org/officeDocument/2006/relationships/hyperlink" Target="http://vocabularies.unesco.org/browser/en/about" TargetMode="External"/><Relationship Id="rId46" Type="http://schemas.openxmlformats.org/officeDocument/2006/relationships/image" Target="media/image11.jpeg"/><Relationship Id="rId20" Type="http://schemas.openxmlformats.org/officeDocument/2006/relationships/diagramLayout" Target="diagrams/layout2.xml"/><Relationship Id="rId41" Type="http://schemas.openxmlformats.org/officeDocument/2006/relationships/image" Target="media/image6.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s://www.nomos-elibrary.de/10.5771/0943-7444-2017-6/ko-knowledge-organization-jahrgang-44-2017-heft-6" TargetMode="External"/><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biblioteca.ibge.gov.br/index.php/biblioteca-catalogo?acervo=periodico&amp;campo=titulo&amp;opeqry=&amp;texto=censo%20agropecuario&amp;digital=false&amp;fraseexata" TargetMode="External"/><Relationship Id="rId44" Type="http://schemas.openxmlformats.org/officeDocument/2006/relationships/image" Target="media/image9.jpeg"/><Relationship Id="rId52"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www.cairn.info/revue-etudes-de-communication.ht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07856B-84A0-4F9A-977B-2FEA04776D77}" type="doc">
      <dgm:prSet loTypeId="urn:microsoft.com/office/officeart/2005/8/layout/funnel1" loCatId="relationship" qsTypeId="urn:microsoft.com/office/officeart/2005/8/quickstyle/simple1" qsCatId="simple" csTypeId="urn:microsoft.com/office/officeart/2005/8/colors/colorful3" csCatId="colorful" phldr="1"/>
      <dgm:spPr/>
      <dgm:t>
        <a:bodyPr/>
        <a:lstStyle/>
        <a:p>
          <a:endParaRPr lang="pt-BR"/>
        </a:p>
      </dgm:t>
    </dgm:pt>
    <dgm:pt modelId="{9C4962EC-5C9C-4B87-9415-034649F4034E}">
      <dgm:prSet phldrT="[Texto]" custT="1"/>
      <dgm:spPr/>
      <dgm:t>
        <a:bodyPr/>
        <a:lstStyle/>
        <a:p>
          <a:r>
            <a:rPr lang="pt-BR" sz="1200" b="1" dirty="0"/>
            <a:t>AVAILABILITY</a:t>
          </a:r>
        </a:p>
      </dgm:t>
    </dgm:pt>
    <dgm:pt modelId="{126CB4A3-1624-46C8-BF8D-8A58BA6FAD50}" type="parTrans" cxnId="{20C359B1-38A6-4A8F-ABD3-7642E7638489}">
      <dgm:prSet/>
      <dgm:spPr/>
      <dgm:t>
        <a:bodyPr/>
        <a:lstStyle/>
        <a:p>
          <a:endParaRPr lang="pt-BR"/>
        </a:p>
      </dgm:t>
    </dgm:pt>
    <dgm:pt modelId="{AD8D24B2-B4B2-4BDC-8C80-2CF825156D2A}" type="sibTrans" cxnId="{20C359B1-38A6-4A8F-ABD3-7642E7638489}">
      <dgm:prSet/>
      <dgm:spPr/>
      <dgm:t>
        <a:bodyPr/>
        <a:lstStyle/>
        <a:p>
          <a:endParaRPr lang="pt-BR"/>
        </a:p>
      </dgm:t>
    </dgm:pt>
    <dgm:pt modelId="{70EC9B42-4DD3-43AC-B0EF-966608E11D35}">
      <dgm:prSet phldrT="[Texto]" custT="1"/>
      <dgm:spPr/>
      <dgm:t>
        <a:bodyPr/>
        <a:lstStyle/>
        <a:p>
          <a:r>
            <a:rPr lang="pt-BR" sz="1200" b="1" dirty="0"/>
            <a:t>PRESERVATION</a:t>
          </a:r>
        </a:p>
      </dgm:t>
    </dgm:pt>
    <dgm:pt modelId="{271146A9-D36E-41E6-B358-9BEC907862F3}" type="parTrans" cxnId="{FCD677F1-ABBB-4D04-AD74-41FD4FE8CF8E}">
      <dgm:prSet/>
      <dgm:spPr/>
      <dgm:t>
        <a:bodyPr/>
        <a:lstStyle/>
        <a:p>
          <a:endParaRPr lang="pt-BR"/>
        </a:p>
      </dgm:t>
    </dgm:pt>
    <dgm:pt modelId="{7D49EB80-0A3A-4C7D-80BD-18A4631A7EAF}" type="sibTrans" cxnId="{FCD677F1-ABBB-4D04-AD74-41FD4FE8CF8E}">
      <dgm:prSet/>
      <dgm:spPr/>
      <dgm:t>
        <a:bodyPr/>
        <a:lstStyle/>
        <a:p>
          <a:endParaRPr lang="pt-BR"/>
        </a:p>
      </dgm:t>
    </dgm:pt>
    <dgm:pt modelId="{22A53800-1A09-4026-A8C8-6A5539A37CD9}">
      <dgm:prSet phldrT="[Texto]" custT="1"/>
      <dgm:spPr/>
      <dgm:t>
        <a:bodyPr/>
        <a:lstStyle/>
        <a:p>
          <a:r>
            <a:rPr lang="pt-BR" sz="1800" dirty="0"/>
            <a:t>ACESSO</a:t>
          </a:r>
        </a:p>
      </dgm:t>
    </dgm:pt>
    <dgm:pt modelId="{CBB15751-B743-4B8B-B5BB-EC6E33B8E763}" type="parTrans" cxnId="{D1CC71F3-E184-43EF-A411-D5FE5F0670D6}">
      <dgm:prSet/>
      <dgm:spPr/>
      <dgm:t>
        <a:bodyPr/>
        <a:lstStyle/>
        <a:p>
          <a:endParaRPr lang="pt-BR"/>
        </a:p>
      </dgm:t>
    </dgm:pt>
    <dgm:pt modelId="{9F1BBDA7-722F-4FDA-925D-5A789789C5CA}" type="sibTrans" cxnId="{D1CC71F3-E184-43EF-A411-D5FE5F0670D6}">
      <dgm:prSet/>
      <dgm:spPr/>
      <dgm:t>
        <a:bodyPr/>
        <a:lstStyle/>
        <a:p>
          <a:endParaRPr lang="pt-BR"/>
        </a:p>
      </dgm:t>
    </dgm:pt>
    <dgm:pt modelId="{A4638A81-F8AA-41DC-8733-5D00D06DE630}">
      <dgm:prSet phldrT="[Texto]" custT="1"/>
      <dgm:spPr/>
      <dgm:t>
        <a:bodyPr/>
        <a:lstStyle/>
        <a:p>
          <a:r>
            <a:rPr lang="pt-BR" sz="1200" b="1" dirty="0"/>
            <a:t>USABILITY</a:t>
          </a:r>
        </a:p>
      </dgm:t>
    </dgm:pt>
    <dgm:pt modelId="{0AD9D0F6-3FB2-43DA-9AD1-51D97C7E61BD}" type="sibTrans" cxnId="{37F26DA3-5B82-4A5D-9670-9CF639CCBFBF}">
      <dgm:prSet/>
      <dgm:spPr/>
      <dgm:t>
        <a:bodyPr/>
        <a:lstStyle/>
        <a:p>
          <a:endParaRPr lang="pt-BR"/>
        </a:p>
      </dgm:t>
    </dgm:pt>
    <dgm:pt modelId="{8BD0FF19-7C9D-4FB8-A711-D2298DFF14A8}" type="parTrans" cxnId="{37F26DA3-5B82-4A5D-9670-9CF639CCBFBF}">
      <dgm:prSet/>
      <dgm:spPr/>
      <dgm:t>
        <a:bodyPr/>
        <a:lstStyle/>
        <a:p>
          <a:endParaRPr lang="pt-BR"/>
        </a:p>
      </dgm:t>
    </dgm:pt>
    <dgm:pt modelId="{98967FCD-E4DB-445F-B804-BE1598E3B352}" type="pres">
      <dgm:prSet presAssocID="{9607856B-84A0-4F9A-977B-2FEA04776D77}" presName="Name0" presStyleCnt="0">
        <dgm:presLayoutVars>
          <dgm:chMax val="4"/>
          <dgm:resizeHandles val="exact"/>
        </dgm:presLayoutVars>
      </dgm:prSet>
      <dgm:spPr/>
    </dgm:pt>
    <dgm:pt modelId="{69A01288-C3B3-41DE-9773-D269CE6D0437}" type="pres">
      <dgm:prSet presAssocID="{9607856B-84A0-4F9A-977B-2FEA04776D77}" presName="ellipse" presStyleLbl="trBgShp" presStyleIdx="0" presStyleCnt="1" custLinFactNeighborX="155"/>
      <dgm:spPr/>
    </dgm:pt>
    <dgm:pt modelId="{D7E1C2EB-C5AE-4067-9875-725714A5583D}" type="pres">
      <dgm:prSet presAssocID="{9607856B-84A0-4F9A-977B-2FEA04776D77}" presName="arrow1" presStyleLbl="fgShp" presStyleIdx="0" presStyleCnt="1"/>
      <dgm:spPr/>
    </dgm:pt>
    <dgm:pt modelId="{EF758576-30E5-4D41-9901-3E21B5353634}" type="pres">
      <dgm:prSet presAssocID="{9607856B-84A0-4F9A-977B-2FEA04776D77}" presName="rectangle" presStyleLbl="revTx" presStyleIdx="0" presStyleCnt="1">
        <dgm:presLayoutVars>
          <dgm:bulletEnabled val="1"/>
        </dgm:presLayoutVars>
      </dgm:prSet>
      <dgm:spPr/>
    </dgm:pt>
    <dgm:pt modelId="{987CAB60-F765-457A-8640-C24462B63106}" type="pres">
      <dgm:prSet presAssocID="{A4638A81-F8AA-41DC-8733-5D00D06DE630}" presName="item1" presStyleLbl="node1" presStyleIdx="0" presStyleCnt="3" custScaleX="156939" custScaleY="80086">
        <dgm:presLayoutVars>
          <dgm:bulletEnabled val="1"/>
        </dgm:presLayoutVars>
      </dgm:prSet>
      <dgm:spPr/>
    </dgm:pt>
    <dgm:pt modelId="{3D61C4AC-5C2F-404C-B67B-363C43676BA5}" type="pres">
      <dgm:prSet presAssocID="{70EC9B42-4DD3-43AC-B0EF-966608E11D35}" presName="item2" presStyleLbl="node1" presStyleIdx="1" presStyleCnt="3" custScaleX="109001" custLinFactNeighborX="-19564" custLinFactNeighborY="-1779">
        <dgm:presLayoutVars>
          <dgm:bulletEnabled val="1"/>
        </dgm:presLayoutVars>
      </dgm:prSet>
      <dgm:spPr/>
    </dgm:pt>
    <dgm:pt modelId="{41078B5B-2023-4955-8549-523AD5DE5261}" type="pres">
      <dgm:prSet presAssocID="{22A53800-1A09-4026-A8C8-6A5539A37CD9}" presName="item3" presStyleLbl="node1" presStyleIdx="2" presStyleCnt="3" custScaleX="140424">
        <dgm:presLayoutVars>
          <dgm:bulletEnabled val="1"/>
        </dgm:presLayoutVars>
      </dgm:prSet>
      <dgm:spPr/>
    </dgm:pt>
    <dgm:pt modelId="{60F0CE86-FC06-42A5-9344-FBE57C0F1691}" type="pres">
      <dgm:prSet presAssocID="{9607856B-84A0-4F9A-977B-2FEA04776D77}" presName="funnel" presStyleLbl="trAlignAcc1" presStyleIdx="0" presStyleCnt="1" custLinFactNeighborX="-324" custLinFactNeighborY="-207"/>
      <dgm:spPr/>
    </dgm:pt>
  </dgm:ptLst>
  <dgm:cxnLst>
    <dgm:cxn modelId="{F84A0211-EB76-4365-AE7F-EBB30FC09208}" type="presOf" srcId="{22A53800-1A09-4026-A8C8-6A5539A37CD9}" destId="{EF758576-30E5-4D41-9901-3E21B5353634}" srcOrd="0" destOrd="0" presId="urn:microsoft.com/office/officeart/2005/8/layout/funnel1"/>
    <dgm:cxn modelId="{02FE6050-11E7-41A9-9FDB-DBACBE4CCEF9}" type="presOf" srcId="{70EC9B42-4DD3-43AC-B0EF-966608E11D35}" destId="{987CAB60-F765-457A-8640-C24462B63106}" srcOrd="0" destOrd="0" presId="urn:microsoft.com/office/officeart/2005/8/layout/funnel1"/>
    <dgm:cxn modelId="{37F26DA3-5B82-4A5D-9670-9CF639CCBFBF}" srcId="{9607856B-84A0-4F9A-977B-2FEA04776D77}" destId="{A4638A81-F8AA-41DC-8733-5D00D06DE630}" srcOrd="1" destOrd="0" parTransId="{8BD0FF19-7C9D-4FB8-A711-D2298DFF14A8}" sibTransId="{0AD9D0F6-3FB2-43DA-9AD1-51D97C7E61BD}"/>
    <dgm:cxn modelId="{20C359B1-38A6-4A8F-ABD3-7642E7638489}" srcId="{9607856B-84A0-4F9A-977B-2FEA04776D77}" destId="{9C4962EC-5C9C-4B87-9415-034649F4034E}" srcOrd="0" destOrd="0" parTransId="{126CB4A3-1624-46C8-BF8D-8A58BA6FAD50}" sibTransId="{AD8D24B2-B4B2-4BDC-8C80-2CF825156D2A}"/>
    <dgm:cxn modelId="{2E0F1AD9-1CAF-45E2-A800-FC7808A961D1}" type="presOf" srcId="{9607856B-84A0-4F9A-977B-2FEA04776D77}" destId="{98967FCD-E4DB-445F-B804-BE1598E3B352}" srcOrd="0" destOrd="0" presId="urn:microsoft.com/office/officeart/2005/8/layout/funnel1"/>
    <dgm:cxn modelId="{83749BDB-9ADB-4502-AF7D-6077D5E01D8B}" type="presOf" srcId="{9C4962EC-5C9C-4B87-9415-034649F4034E}" destId="{41078B5B-2023-4955-8549-523AD5DE5261}" srcOrd="0" destOrd="0" presId="urn:microsoft.com/office/officeart/2005/8/layout/funnel1"/>
    <dgm:cxn modelId="{76E861E0-D247-42AF-9679-BFA486774D53}" type="presOf" srcId="{A4638A81-F8AA-41DC-8733-5D00D06DE630}" destId="{3D61C4AC-5C2F-404C-B67B-363C43676BA5}" srcOrd="0" destOrd="0" presId="urn:microsoft.com/office/officeart/2005/8/layout/funnel1"/>
    <dgm:cxn modelId="{FCD677F1-ABBB-4D04-AD74-41FD4FE8CF8E}" srcId="{9607856B-84A0-4F9A-977B-2FEA04776D77}" destId="{70EC9B42-4DD3-43AC-B0EF-966608E11D35}" srcOrd="2" destOrd="0" parTransId="{271146A9-D36E-41E6-B358-9BEC907862F3}" sibTransId="{7D49EB80-0A3A-4C7D-80BD-18A4631A7EAF}"/>
    <dgm:cxn modelId="{D1CC71F3-E184-43EF-A411-D5FE5F0670D6}" srcId="{9607856B-84A0-4F9A-977B-2FEA04776D77}" destId="{22A53800-1A09-4026-A8C8-6A5539A37CD9}" srcOrd="3" destOrd="0" parTransId="{CBB15751-B743-4B8B-B5BB-EC6E33B8E763}" sibTransId="{9F1BBDA7-722F-4FDA-925D-5A789789C5CA}"/>
    <dgm:cxn modelId="{1B499C74-9892-4BDE-A450-0281D5B458F6}" type="presParOf" srcId="{98967FCD-E4DB-445F-B804-BE1598E3B352}" destId="{69A01288-C3B3-41DE-9773-D269CE6D0437}" srcOrd="0" destOrd="0" presId="urn:microsoft.com/office/officeart/2005/8/layout/funnel1"/>
    <dgm:cxn modelId="{6B0B42F7-25F7-499E-BD07-0E796244A319}" type="presParOf" srcId="{98967FCD-E4DB-445F-B804-BE1598E3B352}" destId="{D7E1C2EB-C5AE-4067-9875-725714A5583D}" srcOrd="1" destOrd="0" presId="urn:microsoft.com/office/officeart/2005/8/layout/funnel1"/>
    <dgm:cxn modelId="{1B58BB92-853E-4F7A-9E31-45177691FB6E}" type="presParOf" srcId="{98967FCD-E4DB-445F-B804-BE1598E3B352}" destId="{EF758576-30E5-4D41-9901-3E21B5353634}" srcOrd="2" destOrd="0" presId="urn:microsoft.com/office/officeart/2005/8/layout/funnel1"/>
    <dgm:cxn modelId="{871A40C7-EB7E-4501-A93D-2F0869FABA0C}" type="presParOf" srcId="{98967FCD-E4DB-445F-B804-BE1598E3B352}" destId="{987CAB60-F765-457A-8640-C24462B63106}" srcOrd="3" destOrd="0" presId="urn:microsoft.com/office/officeart/2005/8/layout/funnel1"/>
    <dgm:cxn modelId="{A62D358C-2D5C-4859-B9C3-F800DBC1F9EE}" type="presParOf" srcId="{98967FCD-E4DB-445F-B804-BE1598E3B352}" destId="{3D61C4AC-5C2F-404C-B67B-363C43676BA5}" srcOrd="4" destOrd="0" presId="urn:microsoft.com/office/officeart/2005/8/layout/funnel1"/>
    <dgm:cxn modelId="{222C4A3F-A907-4E8C-9923-EB8966889073}" type="presParOf" srcId="{98967FCD-E4DB-445F-B804-BE1598E3B352}" destId="{41078B5B-2023-4955-8549-523AD5DE5261}" srcOrd="5" destOrd="0" presId="urn:microsoft.com/office/officeart/2005/8/layout/funnel1"/>
    <dgm:cxn modelId="{069330F4-8A27-4E64-9119-8A3CF57FF717}" type="presParOf" srcId="{98967FCD-E4DB-445F-B804-BE1598E3B352}" destId="{60F0CE86-FC06-42A5-9344-FBE57C0F1691}" srcOrd="6" destOrd="0" presId="urn:microsoft.com/office/officeart/2005/8/layout/funne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EF4D42-B5DF-443E-AB17-4EC33A3CB578}" type="doc">
      <dgm:prSet loTypeId="urn:microsoft.com/office/officeart/2005/8/layout/hierarchy5" loCatId="hierarchy" qsTypeId="urn:microsoft.com/office/officeart/2005/8/quickstyle/simple1" qsCatId="simple" csTypeId="urn:microsoft.com/office/officeart/2005/8/colors/colorful3" csCatId="colorful" phldr="1"/>
      <dgm:spPr/>
      <dgm:t>
        <a:bodyPr/>
        <a:lstStyle/>
        <a:p>
          <a:endParaRPr lang="pt-BR"/>
        </a:p>
      </dgm:t>
    </dgm:pt>
    <dgm:pt modelId="{DD419725-77A1-4E29-841E-20268ABA3D72}">
      <dgm:prSet phldrT="[Texto]" custT="1">
        <dgm:style>
          <a:lnRef idx="2">
            <a:schemeClr val="accent2"/>
          </a:lnRef>
          <a:fillRef idx="1">
            <a:schemeClr val="lt1"/>
          </a:fillRef>
          <a:effectRef idx="0">
            <a:schemeClr val="accent2"/>
          </a:effectRef>
          <a:fontRef idx="minor">
            <a:schemeClr val="dk1"/>
          </a:fontRef>
        </dgm:style>
      </dgm:prSet>
      <dgm:spPr>
        <a:xfrm>
          <a:off x="82602" y="1781756"/>
          <a:ext cx="1118482" cy="311517"/>
        </a:xfrm>
        <a:prstGeom prst="roundRect">
          <a:avLst>
            <a:gd name="adj" fmla="val 10000"/>
          </a:avLst>
        </a:prstGeom>
        <a:solidFill>
          <a:sysClr val="window" lastClr="FFFFFF"/>
        </a:solidFill>
        <a:ln w="12700" cap="flat" cmpd="sng" algn="ctr">
          <a:solidFill>
            <a:srgbClr val="ED7D31"/>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Paisagem natural</a:t>
          </a:r>
        </a:p>
      </dgm:t>
    </dgm:pt>
    <dgm:pt modelId="{93C7B946-9E66-47ED-971C-0DF1E7A9300F}" type="parTrans" cxnId="{0C69B271-78F3-469E-A5A6-ED51F23AD437}">
      <dgm:prSet/>
      <dgm:spPr/>
      <dgm:t>
        <a:bodyPr/>
        <a:lstStyle/>
        <a:p>
          <a:pPr algn="ctr"/>
          <a:endParaRPr lang="pt-BR" sz="1600">
            <a:latin typeface="+mn-lt"/>
          </a:endParaRPr>
        </a:p>
      </dgm:t>
    </dgm:pt>
    <dgm:pt modelId="{FA0310BA-0967-481A-BED3-854BF11747C8}" type="sibTrans" cxnId="{0C69B271-78F3-469E-A5A6-ED51F23AD437}">
      <dgm:prSet/>
      <dgm:spPr/>
      <dgm:t>
        <a:bodyPr/>
        <a:lstStyle/>
        <a:p>
          <a:pPr algn="ctr"/>
          <a:endParaRPr lang="pt-BR" sz="1600">
            <a:latin typeface="+mn-lt"/>
          </a:endParaRPr>
        </a:p>
      </dgm:t>
    </dgm:pt>
    <dgm:pt modelId="{A64BBCD1-5EB7-4B12-A25E-8BB89179762E}">
      <dgm:prSet phldrT="[Texto]" custT="1">
        <dgm:style>
          <a:lnRef idx="2">
            <a:schemeClr val="accent4"/>
          </a:lnRef>
          <a:fillRef idx="1">
            <a:schemeClr val="lt1"/>
          </a:fillRef>
          <a:effectRef idx="0">
            <a:schemeClr val="accent4"/>
          </a:effectRef>
          <a:fontRef idx="minor">
            <a:schemeClr val="dk1"/>
          </a:fontRef>
        </dgm:style>
      </dgm:prSet>
      <dgm:spPr>
        <a:xfrm>
          <a:off x="1437993" y="1775815"/>
          <a:ext cx="1153355" cy="311517"/>
        </a:xfrm>
        <a:prstGeom prst="roundRect">
          <a:avLst>
            <a:gd name="adj" fmla="val 10000"/>
          </a:avLst>
        </a:prstGeom>
        <a:solidFill>
          <a:sysClr val="window" lastClr="FFFFFF"/>
        </a:solidFill>
        <a:ln w="12700" cap="flat" cmpd="sng" algn="ctr">
          <a:solidFill>
            <a:srgbClr val="FFC000"/>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Cobertura da terra</a:t>
          </a:r>
        </a:p>
      </dgm:t>
    </dgm:pt>
    <dgm:pt modelId="{0B05EF5F-38FE-43AC-B9F2-90C2AB768183}" type="parTrans" cxnId="{5AEBFEC6-81EC-4F2D-AA96-C17EE177E948}">
      <dgm:prSet custT="1"/>
      <dgm:spPr>
        <a:xfrm rot="21513817">
          <a:off x="1201047" y="1926920"/>
          <a:ext cx="236983" cy="15249"/>
        </a:xfrm>
        <a:custGeom>
          <a:avLst/>
          <a:gdLst/>
          <a:ahLst/>
          <a:cxnLst/>
          <a:rect l="0" t="0" r="0" b="0"/>
          <a:pathLst>
            <a:path>
              <a:moveTo>
                <a:pt x="0" y="7624"/>
              </a:moveTo>
              <a:lnTo>
                <a:pt x="236983" y="7624"/>
              </a:lnTo>
            </a:path>
          </a:pathLst>
        </a:custGeom>
        <a:noFill/>
        <a:ln w="12700" cap="flat" cmpd="sng" algn="ctr">
          <a:solidFill>
            <a:srgbClr val="FFC000">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BF63482B-94DE-438F-97BE-C4214CAA0389}" type="sibTrans" cxnId="{5AEBFEC6-81EC-4F2D-AA96-C17EE177E948}">
      <dgm:prSet/>
      <dgm:spPr/>
      <dgm:t>
        <a:bodyPr/>
        <a:lstStyle/>
        <a:p>
          <a:pPr algn="ctr"/>
          <a:endParaRPr lang="pt-BR" sz="1600">
            <a:latin typeface="+mn-lt"/>
          </a:endParaRPr>
        </a:p>
      </dgm:t>
    </dgm:pt>
    <dgm:pt modelId="{B42736FD-D8DF-4DBE-AF40-A0BB477C26F7}">
      <dgm:prSet phldrT="[Texto]" custT="1">
        <dgm:style>
          <a:lnRef idx="2">
            <a:schemeClr val="accent5"/>
          </a:lnRef>
          <a:fillRef idx="1">
            <a:schemeClr val="lt1"/>
          </a:fillRef>
          <a:effectRef idx="0">
            <a:schemeClr val="accent5"/>
          </a:effectRef>
          <a:fontRef idx="minor">
            <a:schemeClr val="dk1"/>
          </a:fontRef>
        </dgm:style>
      </dgm:prSet>
      <dgm:spPr>
        <a:xfrm>
          <a:off x="2808991" y="1106805"/>
          <a:ext cx="1153384" cy="311517"/>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Águas</a:t>
          </a:r>
        </a:p>
      </dgm:t>
    </dgm:pt>
    <dgm:pt modelId="{6F531495-2E7A-4B8E-9639-557919AD3528}" type="parTrans" cxnId="{AD6E58AE-C0D7-49CE-9DAA-005B0F154151}">
      <dgm:prSet custT="1"/>
      <dgm:spPr>
        <a:xfrm rot="17281243">
          <a:off x="2348408" y="1589444"/>
          <a:ext cx="703522" cy="15249"/>
        </a:xfrm>
        <a:custGeom>
          <a:avLst/>
          <a:gdLst/>
          <a:ahLst/>
          <a:cxnLst/>
          <a:rect l="0" t="0" r="0" b="0"/>
          <a:pathLst>
            <a:path>
              <a:moveTo>
                <a:pt x="0" y="7624"/>
              </a:moveTo>
              <a:lnTo>
                <a:pt x="703522" y="7624"/>
              </a:lnTo>
            </a:path>
          </a:pathLst>
        </a:custGeom>
        <a:noFill/>
        <a:ln w="12700" cap="flat" cmpd="sng" algn="ctr">
          <a:solidFill>
            <a:srgbClr val="5B9BD5">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1C9F7C06-F9B8-4469-ABD8-222FBB7D039B}" type="sibTrans" cxnId="{AD6E58AE-C0D7-49CE-9DAA-005B0F154151}">
      <dgm:prSet/>
      <dgm:spPr/>
      <dgm:t>
        <a:bodyPr/>
        <a:lstStyle/>
        <a:p>
          <a:pPr algn="ctr"/>
          <a:endParaRPr lang="pt-BR" sz="1600">
            <a:latin typeface="+mn-lt"/>
          </a:endParaRPr>
        </a:p>
      </dgm:t>
    </dgm:pt>
    <dgm:pt modelId="{BDBD8DC5-9A20-4B31-8D26-C8DB47D18060}">
      <dgm:prSet phldrT="[Texto]" custT="1">
        <dgm:style>
          <a:lnRef idx="2">
            <a:schemeClr val="accent5"/>
          </a:lnRef>
          <a:fillRef idx="1">
            <a:schemeClr val="lt1"/>
          </a:fillRef>
          <a:effectRef idx="0">
            <a:schemeClr val="accent5"/>
          </a:effectRef>
          <a:fontRef idx="minor">
            <a:schemeClr val="dk1"/>
          </a:fontRef>
        </dgm:style>
      </dgm:prSet>
      <dgm:spPr>
        <a:xfrm>
          <a:off x="2828257" y="1771491"/>
          <a:ext cx="1153355" cy="311517"/>
        </a:xfrm>
        <a:prstGeom prst="roundRect">
          <a:avLst/>
        </a:prstGeom>
        <a:solidFill>
          <a:sysClr val="window" lastClr="FFFFFF"/>
        </a:solidFill>
        <a:ln w="12700" cap="flat" cmpd="sng" algn="ctr">
          <a:solidFill>
            <a:srgbClr val="5B9BD5"/>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Áreas de mineração</a:t>
          </a:r>
        </a:p>
      </dgm:t>
    </dgm:pt>
    <dgm:pt modelId="{914D34DB-54F1-400D-BB16-242A29D73CAD}" type="parTrans" cxnId="{6E33D418-7448-4A8A-AE57-CB4C1DE754BE}">
      <dgm:prSet custT="1"/>
      <dgm:spPr>
        <a:xfrm rot="21537257">
          <a:off x="2591329" y="1921787"/>
          <a:ext cx="236948" cy="15249"/>
        </a:xfrm>
        <a:custGeom>
          <a:avLst/>
          <a:gdLst/>
          <a:ahLst/>
          <a:cxnLst/>
          <a:rect l="0" t="0" r="0" b="0"/>
          <a:pathLst>
            <a:path>
              <a:moveTo>
                <a:pt x="0" y="7624"/>
              </a:moveTo>
              <a:lnTo>
                <a:pt x="236948" y="7624"/>
              </a:lnTo>
            </a:path>
          </a:pathLst>
        </a:custGeom>
        <a:noFill/>
        <a:ln w="12700" cap="flat" cmpd="sng" algn="ctr">
          <a:solidFill>
            <a:srgbClr val="5B9BD5">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165F3A96-633B-4312-A6C9-2E45E0453B24}" type="sibTrans" cxnId="{6E33D418-7448-4A8A-AE57-CB4C1DE754BE}">
      <dgm:prSet/>
      <dgm:spPr/>
      <dgm:t>
        <a:bodyPr/>
        <a:lstStyle/>
        <a:p>
          <a:pPr algn="ctr"/>
          <a:endParaRPr lang="pt-BR" sz="1600">
            <a:latin typeface="+mn-lt"/>
          </a:endParaRPr>
        </a:p>
      </dgm:t>
    </dgm:pt>
    <dgm:pt modelId="{D151895C-28AD-4551-9ADB-7E77A01C13E3}">
      <dgm:prSet phldrT="[Texto]" custT="1">
        <dgm:style>
          <a:lnRef idx="2">
            <a:schemeClr val="accent5"/>
          </a:lnRef>
          <a:fillRef idx="1">
            <a:schemeClr val="lt1"/>
          </a:fillRef>
          <a:effectRef idx="0">
            <a:schemeClr val="accent5"/>
          </a:effectRef>
          <a:fontRef idx="minor">
            <a:schemeClr val="dk1"/>
          </a:fontRef>
        </dgm:style>
      </dgm:prSet>
      <dgm:spPr>
        <a:xfrm>
          <a:off x="2828257" y="2428281"/>
          <a:ext cx="1153355" cy="311517"/>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Vegetação</a:t>
          </a:r>
        </a:p>
      </dgm:t>
    </dgm:pt>
    <dgm:pt modelId="{0D077E02-D908-482E-900B-E1BD652956F3}" type="parTrans" cxnId="{0E0AB2B1-5E42-48F9-8F6E-14291F7299D6}">
      <dgm:prSet custT="1"/>
      <dgm:spPr>
        <a:xfrm rot="4202649">
          <a:off x="2362730" y="2250182"/>
          <a:ext cx="694144" cy="15249"/>
        </a:xfrm>
        <a:custGeom>
          <a:avLst/>
          <a:gdLst/>
          <a:ahLst/>
          <a:cxnLst/>
          <a:rect l="0" t="0" r="0" b="0"/>
          <a:pathLst>
            <a:path>
              <a:moveTo>
                <a:pt x="0" y="7624"/>
              </a:moveTo>
              <a:lnTo>
                <a:pt x="694144" y="7624"/>
              </a:lnTo>
            </a:path>
          </a:pathLst>
        </a:custGeom>
        <a:noFill/>
        <a:ln w="12700" cap="flat" cmpd="sng" algn="ctr">
          <a:solidFill>
            <a:srgbClr val="5B9BD5">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FA61579C-6D58-46DF-9ECE-8D69A1AFF7E1}" type="sibTrans" cxnId="{0E0AB2B1-5E42-48F9-8F6E-14291F7299D6}">
      <dgm:prSet/>
      <dgm:spPr/>
      <dgm:t>
        <a:bodyPr/>
        <a:lstStyle/>
        <a:p>
          <a:pPr algn="ctr"/>
          <a:endParaRPr lang="pt-BR" sz="1600">
            <a:latin typeface="+mn-lt"/>
          </a:endParaRPr>
        </a:p>
      </dgm:t>
    </dgm:pt>
    <dgm:pt modelId="{B5412E3A-6B03-4AA1-BC97-FFBD246496EA}">
      <dgm:prSet phldrT="[Texto]" custT="1">
        <dgm:style>
          <a:lnRef idx="2">
            <a:schemeClr val="accent6"/>
          </a:lnRef>
          <a:fillRef idx="1">
            <a:schemeClr val="lt1"/>
          </a:fillRef>
          <a:effectRef idx="0">
            <a:schemeClr val="accent6"/>
          </a:effectRef>
          <a:fontRef idx="minor">
            <a:schemeClr val="dk1"/>
          </a:fontRef>
        </dgm:style>
      </dgm:prSet>
      <dgm:spPr>
        <a:xfrm>
          <a:off x="4218521" y="2124390"/>
          <a:ext cx="1076490" cy="27257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Campos</a:t>
          </a:r>
        </a:p>
      </dgm:t>
    </dgm:pt>
    <dgm:pt modelId="{23865587-02B3-4403-85B4-9B94C4EE3D76}" type="parTrans" cxnId="{2AA6872B-2F99-4BC0-ACD7-F223E0F29BE9}">
      <dgm:prSet custT="1"/>
      <dgm:spPr>
        <a:xfrm rot="18373697">
          <a:off x="3899638" y="2414735"/>
          <a:ext cx="400858" cy="15249"/>
        </a:xfrm>
        <a:custGeom>
          <a:avLst/>
          <a:gdLst/>
          <a:ahLst/>
          <a:cxnLst/>
          <a:rect l="0" t="0" r="0" b="0"/>
          <a:pathLst>
            <a:path>
              <a:moveTo>
                <a:pt x="0" y="7624"/>
              </a:moveTo>
              <a:lnTo>
                <a:pt x="400858"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16826EF9-DBCB-482F-B376-DDE97D2CBF1E}" type="sibTrans" cxnId="{2AA6872B-2F99-4BC0-ACD7-F223E0F29BE9}">
      <dgm:prSet/>
      <dgm:spPr/>
      <dgm:t>
        <a:bodyPr/>
        <a:lstStyle/>
        <a:p>
          <a:pPr algn="ctr"/>
          <a:endParaRPr lang="pt-BR" sz="1600">
            <a:latin typeface="+mn-lt"/>
          </a:endParaRPr>
        </a:p>
      </dgm:t>
    </dgm:pt>
    <dgm:pt modelId="{64DBB8EE-7A9B-4D71-9EC0-4435822AC991}">
      <dgm:prSet phldrT="[Texto]" custT="1"/>
      <dgm:spPr>
        <a:xfrm>
          <a:off x="23375" y="232675"/>
          <a:ext cx="1249471" cy="297126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Classe</a:t>
          </a:r>
          <a:endParaRPr lang="pt-BR" sz="600" b="1">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7D5E4B54-9D57-433D-8057-E0BB2D9BFC6E}" type="parTrans" cxnId="{4A06CA3F-1070-4829-8948-B8D6F837441F}">
      <dgm:prSet/>
      <dgm:spPr/>
      <dgm:t>
        <a:bodyPr/>
        <a:lstStyle/>
        <a:p>
          <a:pPr algn="ctr"/>
          <a:endParaRPr lang="pt-BR" sz="1600">
            <a:latin typeface="+mn-lt"/>
          </a:endParaRPr>
        </a:p>
      </dgm:t>
    </dgm:pt>
    <dgm:pt modelId="{E510F4AF-43DF-41DC-B148-0906250EC5AA}" type="sibTrans" cxnId="{4A06CA3F-1070-4829-8948-B8D6F837441F}">
      <dgm:prSet/>
      <dgm:spPr/>
      <dgm:t>
        <a:bodyPr/>
        <a:lstStyle/>
        <a:p>
          <a:pPr algn="ctr"/>
          <a:endParaRPr lang="pt-BR" sz="1600">
            <a:latin typeface="+mn-lt"/>
          </a:endParaRPr>
        </a:p>
      </dgm:t>
    </dgm:pt>
    <dgm:pt modelId="{804578FE-281C-4C08-A8DB-0AF878AE76D4}">
      <dgm:prSet phldrT="[Texto]" custT="1"/>
      <dgm:spPr>
        <a:xfrm>
          <a:off x="1391301" y="232675"/>
          <a:ext cx="1249471" cy="297126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a:t>
          </a:r>
          <a:endParaRPr lang="pt-BR" sz="600" b="1">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B04F4D9D-4676-48BE-85C1-DEDCEB51E5CB}" type="parTrans" cxnId="{49453FBB-502A-44CB-93E8-5F41A252B4A3}">
      <dgm:prSet/>
      <dgm:spPr/>
      <dgm:t>
        <a:bodyPr/>
        <a:lstStyle/>
        <a:p>
          <a:pPr algn="ctr"/>
          <a:endParaRPr lang="pt-BR" sz="1600">
            <a:latin typeface="+mn-lt"/>
          </a:endParaRPr>
        </a:p>
      </dgm:t>
    </dgm:pt>
    <dgm:pt modelId="{116C9570-C25A-478E-9B5F-686A3C04E026}" type="sibTrans" cxnId="{49453FBB-502A-44CB-93E8-5F41A252B4A3}">
      <dgm:prSet/>
      <dgm:spPr/>
      <dgm:t>
        <a:bodyPr/>
        <a:lstStyle/>
        <a:p>
          <a:pPr algn="ctr"/>
          <a:endParaRPr lang="pt-BR" sz="1600">
            <a:latin typeface="+mn-lt"/>
          </a:endParaRPr>
        </a:p>
      </dgm:t>
    </dgm:pt>
    <dgm:pt modelId="{EA904DB0-5EB1-46E1-B0F3-3F30EDE2647D}">
      <dgm:prSet phldrT="[Texto]" custT="1"/>
      <dgm:spPr>
        <a:xfrm>
          <a:off x="2759227" y="232675"/>
          <a:ext cx="1249471" cy="297126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 subordinada</a:t>
          </a:r>
        </a:p>
      </dgm:t>
    </dgm:pt>
    <dgm:pt modelId="{3731ABAB-B573-4EA0-B023-53078493C76D}" type="parTrans" cxnId="{B1FF605A-2A22-4B64-9633-B580FD321749}">
      <dgm:prSet/>
      <dgm:spPr/>
      <dgm:t>
        <a:bodyPr/>
        <a:lstStyle/>
        <a:p>
          <a:pPr algn="ctr"/>
          <a:endParaRPr lang="pt-BR" sz="1600">
            <a:latin typeface="+mn-lt"/>
          </a:endParaRPr>
        </a:p>
      </dgm:t>
    </dgm:pt>
    <dgm:pt modelId="{152F0DC1-476D-4C2F-8624-C42EDAD86F56}" type="sibTrans" cxnId="{B1FF605A-2A22-4B64-9633-B580FD321749}">
      <dgm:prSet/>
      <dgm:spPr/>
      <dgm:t>
        <a:bodyPr/>
        <a:lstStyle/>
        <a:p>
          <a:pPr algn="ctr"/>
          <a:endParaRPr lang="pt-BR" sz="1600">
            <a:latin typeface="+mn-lt"/>
          </a:endParaRPr>
        </a:p>
      </dgm:t>
    </dgm:pt>
    <dgm:pt modelId="{3E095483-6038-4B5B-AB6C-D33E67029F1E}">
      <dgm:prSet custT="1"/>
      <dgm:spPr>
        <a:xfrm>
          <a:off x="4127152" y="232675"/>
          <a:ext cx="1249471" cy="297126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Subconjuntos</a:t>
          </a:r>
          <a:endParaRPr lang="pt-BR" sz="600" b="1">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4A39D6FC-D996-456D-A071-438E853F2C18}" type="parTrans" cxnId="{2E3FAE7E-FF78-471A-B72F-CF48A01FB551}">
      <dgm:prSet/>
      <dgm:spPr/>
      <dgm:t>
        <a:bodyPr/>
        <a:lstStyle/>
        <a:p>
          <a:pPr algn="ctr"/>
          <a:endParaRPr lang="pt-BR" sz="1600">
            <a:latin typeface="+mn-lt"/>
          </a:endParaRPr>
        </a:p>
      </dgm:t>
    </dgm:pt>
    <dgm:pt modelId="{49C6180C-B290-48E0-B19E-A9C4BA2269C4}" type="sibTrans" cxnId="{2E3FAE7E-FF78-471A-B72F-CF48A01FB551}">
      <dgm:prSet/>
      <dgm:spPr/>
      <dgm:t>
        <a:bodyPr/>
        <a:lstStyle/>
        <a:p>
          <a:pPr algn="ctr"/>
          <a:endParaRPr lang="pt-BR" sz="1600">
            <a:latin typeface="+mn-lt"/>
          </a:endParaRPr>
        </a:p>
      </dgm:t>
    </dgm:pt>
    <dgm:pt modelId="{9F934FD2-079B-4528-ADC8-3EBDD22D624F}">
      <dgm:prSet custT="1">
        <dgm:style>
          <a:lnRef idx="2">
            <a:schemeClr val="accent6"/>
          </a:lnRef>
          <a:fillRef idx="1">
            <a:schemeClr val="lt1"/>
          </a:fillRef>
          <a:effectRef idx="0">
            <a:schemeClr val="accent6"/>
          </a:effectRef>
          <a:fontRef idx="minor">
            <a:schemeClr val="dk1"/>
          </a:fontRef>
        </dgm:style>
      </dgm:prSet>
      <dgm:spPr>
        <a:xfrm>
          <a:off x="4218521" y="2441389"/>
          <a:ext cx="1076490" cy="27257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Matas</a:t>
          </a:r>
        </a:p>
      </dgm:t>
    </dgm:pt>
    <dgm:pt modelId="{D9FC1E96-3F3D-4172-8F91-55F9AFB351BD}" type="parTrans" cxnId="{F7E3B35F-C696-4BF7-AABA-F6E28A13612F}">
      <dgm:prSet custT="1"/>
      <dgm:spPr>
        <a:xfrm rot="21507719">
          <a:off x="3981570" y="2573234"/>
          <a:ext cx="236994" cy="15249"/>
        </a:xfrm>
        <a:custGeom>
          <a:avLst/>
          <a:gdLst/>
          <a:ahLst/>
          <a:cxnLst/>
          <a:rect l="0" t="0" r="0" b="0"/>
          <a:pathLst>
            <a:path>
              <a:moveTo>
                <a:pt x="0" y="7624"/>
              </a:moveTo>
              <a:lnTo>
                <a:pt x="236994"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2D1433F5-7B38-4994-9B4F-8FBD7A77BBB1}" type="sibTrans" cxnId="{F7E3B35F-C696-4BF7-AABA-F6E28A13612F}">
      <dgm:prSet/>
      <dgm:spPr/>
      <dgm:t>
        <a:bodyPr/>
        <a:lstStyle/>
        <a:p>
          <a:pPr algn="ctr"/>
          <a:endParaRPr lang="pt-BR" sz="1600">
            <a:latin typeface="+mn-lt"/>
          </a:endParaRPr>
        </a:p>
      </dgm:t>
    </dgm:pt>
    <dgm:pt modelId="{1FDFA441-8A08-4B5A-B99A-56ECC97382BD}">
      <dgm:prSet custT="1">
        <dgm:style>
          <a:lnRef idx="2">
            <a:schemeClr val="accent6"/>
          </a:lnRef>
          <a:fillRef idx="1">
            <a:schemeClr val="lt1"/>
          </a:fillRef>
          <a:effectRef idx="0">
            <a:schemeClr val="accent6"/>
          </a:effectRef>
          <a:fontRef idx="minor">
            <a:schemeClr val="dk1"/>
          </a:fontRef>
        </dgm:style>
      </dgm:prSet>
      <dgm:spPr>
        <a:xfrm>
          <a:off x="4218521" y="2758388"/>
          <a:ext cx="1076490" cy="27257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Florestas</a:t>
          </a:r>
        </a:p>
      </dgm:t>
    </dgm:pt>
    <dgm:pt modelId="{4B4EDE46-2CD7-4D3C-9C55-AA24BCCDA6F7}" type="parTrans" cxnId="{E6408FD3-5371-4965-A4FB-FB1067602A10}">
      <dgm:prSet custT="1"/>
      <dgm:spPr>
        <a:xfrm rot="3160136">
          <a:off x="3904733" y="2731734"/>
          <a:ext cx="390668" cy="15249"/>
        </a:xfrm>
        <a:custGeom>
          <a:avLst/>
          <a:gdLst/>
          <a:ahLst/>
          <a:cxnLst/>
          <a:rect l="0" t="0" r="0" b="0"/>
          <a:pathLst>
            <a:path>
              <a:moveTo>
                <a:pt x="0" y="7624"/>
              </a:moveTo>
              <a:lnTo>
                <a:pt x="390668"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C15875BC-50AB-4F8C-8CBA-FD8E3999E3FD}" type="sibTrans" cxnId="{E6408FD3-5371-4965-A4FB-FB1067602A10}">
      <dgm:prSet/>
      <dgm:spPr/>
      <dgm:t>
        <a:bodyPr/>
        <a:lstStyle/>
        <a:p>
          <a:pPr algn="ctr"/>
          <a:endParaRPr lang="pt-BR" sz="1600">
            <a:latin typeface="+mn-lt"/>
          </a:endParaRPr>
        </a:p>
      </dgm:t>
    </dgm:pt>
    <dgm:pt modelId="{726E73D5-D768-4DCC-AAD9-11A0C790DB0E}">
      <dgm:prSet custT="1">
        <dgm:style>
          <a:lnRef idx="2">
            <a:schemeClr val="accent6"/>
          </a:lnRef>
          <a:fillRef idx="1">
            <a:schemeClr val="lt1"/>
          </a:fillRef>
          <a:effectRef idx="0">
            <a:schemeClr val="accent6"/>
          </a:effectRef>
          <a:fontRef idx="minor">
            <a:schemeClr val="dk1"/>
          </a:fontRef>
        </dgm:style>
      </dgm:prSet>
      <dgm:spPr>
        <a:xfrm>
          <a:off x="4218551" y="643627"/>
          <a:ext cx="1090313" cy="27838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Alagados</a:t>
          </a:r>
        </a:p>
      </dgm:t>
    </dgm:pt>
    <dgm:pt modelId="{57FAE1C1-754B-4EEE-A092-FA6AFD2FC63E}" type="parTrans" cxnId="{53776152-631F-42D3-884D-D0301304F833}">
      <dgm:prSet custT="1"/>
      <dgm:spPr>
        <a:xfrm rot="17886096">
          <a:off x="3818536" y="1015068"/>
          <a:ext cx="543854" cy="15249"/>
        </a:xfrm>
        <a:custGeom>
          <a:avLst/>
          <a:gdLst/>
          <a:ahLst/>
          <a:cxnLst/>
          <a:rect l="0" t="0" r="0" b="0"/>
          <a:pathLst>
            <a:path>
              <a:moveTo>
                <a:pt x="0" y="7624"/>
              </a:moveTo>
              <a:lnTo>
                <a:pt x="543854"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303D67EE-F7D0-493C-9AE5-EC3B25DF9E6E}" type="sibTrans" cxnId="{53776152-631F-42D3-884D-D0301304F833}">
      <dgm:prSet/>
      <dgm:spPr/>
      <dgm:t>
        <a:bodyPr/>
        <a:lstStyle/>
        <a:p>
          <a:pPr algn="ctr"/>
          <a:endParaRPr lang="pt-BR" sz="1600">
            <a:latin typeface="+mn-lt"/>
          </a:endParaRPr>
        </a:p>
      </dgm:t>
    </dgm:pt>
    <dgm:pt modelId="{CE1D3AB0-B83B-4C45-9AFC-B6AFF2075B18}">
      <dgm:prSet custT="1">
        <dgm:style>
          <a:lnRef idx="2">
            <a:schemeClr val="accent6"/>
          </a:lnRef>
          <a:fillRef idx="1">
            <a:schemeClr val="lt1"/>
          </a:fillRef>
          <a:effectRef idx="0">
            <a:schemeClr val="accent6"/>
          </a:effectRef>
          <a:fontRef idx="minor">
            <a:schemeClr val="dk1"/>
          </a:fontRef>
        </dgm:style>
      </dgm:prSet>
      <dgm:spPr>
        <a:xfrm>
          <a:off x="4218551" y="966436"/>
          <a:ext cx="1076490" cy="27257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Cursos de águas</a:t>
          </a:r>
        </a:p>
      </dgm:t>
    </dgm:pt>
    <dgm:pt modelId="{5B20C6AF-DCE4-40DB-8B2E-5F51182A4F8E}" type="parTrans" cxnId="{D62900BB-7F09-47F3-94A4-7E72545B4C12}">
      <dgm:prSet custT="1"/>
      <dgm:spPr>
        <a:xfrm rot="19682300">
          <a:off x="3939488" y="1175020"/>
          <a:ext cx="301950" cy="15249"/>
        </a:xfrm>
        <a:custGeom>
          <a:avLst/>
          <a:gdLst/>
          <a:ahLst/>
          <a:cxnLst/>
          <a:rect l="0" t="0" r="0" b="0"/>
          <a:pathLst>
            <a:path>
              <a:moveTo>
                <a:pt x="0" y="7624"/>
              </a:moveTo>
              <a:lnTo>
                <a:pt x="301950"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7E205B6E-E43B-4A2B-AA6B-AFF526DB2023}" type="sibTrans" cxnId="{D62900BB-7F09-47F3-94A4-7E72545B4C12}">
      <dgm:prSet/>
      <dgm:spPr/>
      <dgm:t>
        <a:bodyPr/>
        <a:lstStyle/>
        <a:p>
          <a:pPr algn="ctr"/>
          <a:endParaRPr lang="pt-BR" sz="1600">
            <a:latin typeface="+mn-lt"/>
          </a:endParaRPr>
        </a:p>
      </dgm:t>
    </dgm:pt>
    <dgm:pt modelId="{43D0CD52-0411-4293-8791-D3D056DDBF2B}">
      <dgm:prSet custT="1">
        <dgm:style>
          <a:lnRef idx="2">
            <a:schemeClr val="accent6"/>
          </a:lnRef>
          <a:fillRef idx="1">
            <a:schemeClr val="lt1"/>
          </a:fillRef>
          <a:effectRef idx="0">
            <a:schemeClr val="accent6"/>
          </a:effectRef>
          <a:fontRef idx="minor">
            <a:schemeClr val="dk1"/>
          </a:fontRef>
        </dgm:style>
      </dgm:prSet>
      <dgm:spPr>
        <a:xfrm>
          <a:off x="4218551" y="1283435"/>
          <a:ext cx="1076490" cy="27257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Pântanos</a:t>
          </a:r>
        </a:p>
      </dgm:t>
    </dgm:pt>
    <dgm:pt modelId="{DDF96DC3-D25C-4650-98ED-540C7BA8D442}" type="parTrans" cxnId="{972F2185-24CC-4E63-A6F7-A7442960B541}">
      <dgm:prSet custT="1"/>
      <dgm:spPr>
        <a:xfrm rot="1891720">
          <a:off x="3940192" y="1333519"/>
          <a:ext cx="300541" cy="15249"/>
        </a:xfrm>
        <a:custGeom>
          <a:avLst/>
          <a:gdLst/>
          <a:ahLst/>
          <a:cxnLst/>
          <a:rect l="0" t="0" r="0" b="0"/>
          <a:pathLst>
            <a:path>
              <a:moveTo>
                <a:pt x="0" y="7624"/>
              </a:moveTo>
              <a:lnTo>
                <a:pt x="300541"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9BBCEED1-9813-4A31-B22A-697A4F99D6E3}" type="sibTrans" cxnId="{972F2185-24CC-4E63-A6F7-A7442960B541}">
      <dgm:prSet/>
      <dgm:spPr/>
      <dgm:t>
        <a:bodyPr/>
        <a:lstStyle/>
        <a:p>
          <a:pPr algn="ctr"/>
          <a:endParaRPr lang="pt-BR" sz="1600">
            <a:latin typeface="+mn-lt"/>
          </a:endParaRPr>
        </a:p>
      </dgm:t>
    </dgm:pt>
    <dgm:pt modelId="{469D6CD6-3D7E-4D62-B319-EBBC974012D1}">
      <dgm:prSet custT="1">
        <dgm:style>
          <a:lnRef idx="2">
            <a:schemeClr val="accent6"/>
          </a:lnRef>
          <a:fillRef idx="1">
            <a:schemeClr val="lt1"/>
          </a:fillRef>
          <a:effectRef idx="0">
            <a:schemeClr val="accent6"/>
          </a:effectRef>
          <a:fontRef idx="minor">
            <a:schemeClr val="dk1"/>
          </a:fontRef>
        </dgm:style>
      </dgm:prSet>
      <dgm:spPr>
        <a:xfrm>
          <a:off x="4218551" y="1600434"/>
          <a:ext cx="1076490" cy="272578"/>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Rios</a:t>
          </a:r>
        </a:p>
      </dgm:t>
    </dgm:pt>
    <dgm:pt modelId="{A50A1AA1-916C-46E6-A052-9D8E969B81B4}" type="parTrans" cxnId="{096E4EAB-B388-4C5C-96FF-B60DC61DACA7}">
      <dgm:prSet custT="1"/>
      <dgm:spPr>
        <a:xfrm rot="3697132">
          <a:off x="3820994" y="1492019"/>
          <a:ext cx="538937" cy="15249"/>
        </a:xfrm>
        <a:custGeom>
          <a:avLst/>
          <a:gdLst/>
          <a:ahLst/>
          <a:cxnLst/>
          <a:rect l="0" t="0" r="0" b="0"/>
          <a:pathLst>
            <a:path>
              <a:moveTo>
                <a:pt x="0" y="7624"/>
              </a:moveTo>
              <a:lnTo>
                <a:pt x="538937" y="7624"/>
              </a:lnTo>
            </a:path>
          </a:pathLst>
        </a:custGeom>
        <a:noFill/>
        <a:ln w="12700" cap="flat" cmpd="sng" algn="ctr">
          <a:solidFill>
            <a:srgbClr val="70AD47">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3078C922-83FC-4A98-857A-6D8C183311CE}" type="sibTrans" cxnId="{096E4EAB-B388-4C5C-96FF-B60DC61DACA7}">
      <dgm:prSet/>
      <dgm:spPr/>
      <dgm:t>
        <a:bodyPr/>
        <a:lstStyle/>
        <a:p>
          <a:pPr algn="ctr"/>
          <a:endParaRPr lang="pt-BR" sz="1600">
            <a:latin typeface="+mn-lt"/>
          </a:endParaRPr>
        </a:p>
      </dgm:t>
    </dgm:pt>
    <dgm:pt modelId="{DD15816B-5A97-4463-B44A-456F68E17229}" type="pres">
      <dgm:prSet presAssocID="{AAEF4D42-B5DF-443E-AB17-4EC33A3CB578}" presName="mainComposite" presStyleCnt="0">
        <dgm:presLayoutVars>
          <dgm:chPref val="1"/>
          <dgm:dir/>
          <dgm:animOne val="branch"/>
          <dgm:animLvl val="lvl"/>
          <dgm:resizeHandles val="exact"/>
        </dgm:presLayoutVars>
      </dgm:prSet>
      <dgm:spPr/>
    </dgm:pt>
    <dgm:pt modelId="{34BCB656-DCDE-4756-BA1C-9B8A80E20F95}" type="pres">
      <dgm:prSet presAssocID="{AAEF4D42-B5DF-443E-AB17-4EC33A3CB578}" presName="hierFlow" presStyleCnt="0"/>
      <dgm:spPr/>
    </dgm:pt>
    <dgm:pt modelId="{31452E5F-5B4A-4B92-9F8F-B12E6BB0E3F5}" type="pres">
      <dgm:prSet presAssocID="{AAEF4D42-B5DF-443E-AB17-4EC33A3CB578}" presName="firstBuf" presStyleCnt="0"/>
      <dgm:spPr/>
    </dgm:pt>
    <dgm:pt modelId="{D44C11D1-8C70-435C-A78A-F7D09D0208A6}" type="pres">
      <dgm:prSet presAssocID="{AAEF4D42-B5DF-443E-AB17-4EC33A3CB578}" presName="hierChild1" presStyleCnt="0">
        <dgm:presLayoutVars>
          <dgm:chPref val="1"/>
          <dgm:animOne val="branch"/>
          <dgm:animLvl val="lvl"/>
        </dgm:presLayoutVars>
      </dgm:prSet>
      <dgm:spPr/>
    </dgm:pt>
    <dgm:pt modelId="{953869E3-A348-463E-B121-375C95858553}" type="pres">
      <dgm:prSet presAssocID="{DD419725-77A1-4E29-841E-20268ABA3D72}" presName="Name17" presStyleCnt="0"/>
      <dgm:spPr/>
    </dgm:pt>
    <dgm:pt modelId="{37315875-A390-40DE-BA19-47DD0354C174}" type="pres">
      <dgm:prSet presAssocID="{DD419725-77A1-4E29-841E-20268ABA3D72}" presName="level1Shape" presStyleLbl="node0" presStyleIdx="0" presStyleCnt="1" custScaleX="188846" custScaleY="105194" custLinFactY="-6681" custLinFactNeighborY="-100000">
        <dgm:presLayoutVars>
          <dgm:chPref val="3"/>
        </dgm:presLayoutVars>
      </dgm:prSet>
      <dgm:spPr/>
    </dgm:pt>
    <dgm:pt modelId="{CEAE5CE8-1334-4FB5-9C10-720DE4A610C5}" type="pres">
      <dgm:prSet presAssocID="{DD419725-77A1-4E29-841E-20268ABA3D72}" presName="hierChild2" presStyleCnt="0"/>
      <dgm:spPr/>
    </dgm:pt>
    <dgm:pt modelId="{1355E893-37D7-4E32-BB2B-F2C36980FE68}" type="pres">
      <dgm:prSet presAssocID="{0B05EF5F-38FE-43AC-B9F2-90C2AB768183}" presName="Name25" presStyleLbl="parChTrans1D2" presStyleIdx="0" presStyleCnt="1"/>
      <dgm:spPr/>
    </dgm:pt>
    <dgm:pt modelId="{1899B2E8-8E32-46E2-BFC1-FC4F744E9B9E}" type="pres">
      <dgm:prSet presAssocID="{0B05EF5F-38FE-43AC-B9F2-90C2AB768183}" presName="connTx" presStyleLbl="parChTrans1D2" presStyleIdx="0" presStyleCnt="1"/>
      <dgm:spPr/>
    </dgm:pt>
    <dgm:pt modelId="{47021C4C-9346-4DD2-93A7-B087FCA59A2B}" type="pres">
      <dgm:prSet presAssocID="{A64BBCD1-5EB7-4B12-A25E-8BB89179762E}" presName="Name30" presStyleCnt="0"/>
      <dgm:spPr/>
    </dgm:pt>
    <dgm:pt modelId="{03B355C0-4902-4DD3-ADC8-99189F6B3443}" type="pres">
      <dgm:prSet presAssocID="{A64BBCD1-5EB7-4B12-A25E-8BB89179762E}" presName="level2Shape" presStyleLbl="node2" presStyleIdx="0" presStyleCnt="1" custScaleX="194734" custScaleY="105194" custLinFactY="-8687" custLinFactNeighborY="-100000"/>
      <dgm:spPr/>
    </dgm:pt>
    <dgm:pt modelId="{8F35B586-A456-4912-BE25-A9A49BD16674}" type="pres">
      <dgm:prSet presAssocID="{A64BBCD1-5EB7-4B12-A25E-8BB89179762E}" presName="hierChild3" presStyleCnt="0"/>
      <dgm:spPr/>
    </dgm:pt>
    <dgm:pt modelId="{EDE2A0F2-3E3A-4C6B-92BE-8297AA578B1A}" type="pres">
      <dgm:prSet presAssocID="{6F531495-2E7A-4B8E-9639-557919AD3528}" presName="Name25" presStyleLbl="parChTrans1D3" presStyleIdx="0" presStyleCnt="3"/>
      <dgm:spPr/>
    </dgm:pt>
    <dgm:pt modelId="{15D0BD92-4302-4D99-B878-F60B4EA26D53}" type="pres">
      <dgm:prSet presAssocID="{6F531495-2E7A-4B8E-9639-557919AD3528}" presName="connTx" presStyleLbl="parChTrans1D3" presStyleIdx="0" presStyleCnt="3"/>
      <dgm:spPr/>
    </dgm:pt>
    <dgm:pt modelId="{96D09AA5-5466-4031-9B64-D604198FFF1E}" type="pres">
      <dgm:prSet presAssocID="{B42736FD-D8DF-4DBE-AF40-A0BB477C26F7}" presName="Name30" presStyleCnt="0"/>
      <dgm:spPr/>
    </dgm:pt>
    <dgm:pt modelId="{E1586E3F-6BC0-4FC9-A856-10B27A673F7B}" type="pres">
      <dgm:prSet presAssocID="{B42736FD-D8DF-4DBE-AF40-A0BB477C26F7}" presName="level2Shape" presStyleLbl="node3" presStyleIdx="0" presStyleCnt="3" custScaleX="194739" custScaleY="105194" custLinFactY="-46781" custLinFactNeighborX="-3253" custLinFactNeighborY="-100000"/>
      <dgm:spPr/>
    </dgm:pt>
    <dgm:pt modelId="{ADC4548E-5F14-46A0-A7D1-539DE1922EB6}" type="pres">
      <dgm:prSet presAssocID="{B42736FD-D8DF-4DBE-AF40-A0BB477C26F7}" presName="hierChild3" presStyleCnt="0"/>
      <dgm:spPr/>
    </dgm:pt>
    <dgm:pt modelId="{A4A80DBA-511E-42C6-B9C3-829A29AD0AA7}" type="pres">
      <dgm:prSet presAssocID="{57FAE1C1-754B-4EEE-A092-FA6AFD2FC63E}" presName="Name25" presStyleLbl="parChTrans1D4" presStyleIdx="0" presStyleCnt="7"/>
      <dgm:spPr/>
    </dgm:pt>
    <dgm:pt modelId="{0C60BB76-064E-48B6-AED8-495308D3DE87}" type="pres">
      <dgm:prSet presAssocID="{57FAE1C1-754B-4EEE-A092-FA6AFD2FC63E}" presName="connTx" presStyleLbl="parChTrans1D4" presStyleIdx="0" presStyleCnt="7"/>
      <dgm:spPr/>
    </dgm:pt>
    <dgm:pt modelId="{2B58A639-D041-49A8-9146-3036E7EDB716}" type="pres">
      <dgm:prSet presAssocID="{726E73D5-D768-4DCC-AAD9-11A0C790DB0E}" presName="Name30" presStyleCnt="0"/>
      <dgm:spPr/>
    </dgm:pt>
    <dgm:pt modelId="{F1ECDEDE-5549-4FAF-9E0E-E35B5D18DCF4}" type="pres">
      <dgm:prSet presAssocID="{726E73D5-D768-4DCC-AAD9-11A0C790DB0E}" presName="level2Shape" presStyleLbl="node4" presStyleIdx="0" presStyleCnt="7" custScaleX="184090" custScaleY="94007" custLinFactY="-48214" custLinFactNeighborY="-100000"/>
      <dgm:spPr/>
    </dgm:pt>
    <dgm:pt modelId="{5C968CB6-FE0F-47CA-A8EB-5BD5AF0B82EB}" type="pres">
      <dgm:prSet presAssocID="{726E73D5-D768-4DCC-AAD9-11A0C790DB0E}" presName="hierChild3" presStyleCnt="0"/>
      <dgm:spPr/>
    </dgm:pt>
    <dgm:pt modelId="{FDB9E50C-37F8-4509-B692-467E49296180}" type="pres">
      <dgm:prSet presAssocID="{5B20C6AF-DCE4-40DB-8B2E-5F51182A4F8E}" presName="Name25" presStyleLbl="parChTrans1D4" presStyleIdx="1" presStyleCnt="7"/>
      <dgm:spPr/>
    </dgm:pt>
    <dgm:pt modelId="{7F7BF95D-00EC-4012-B925-9EF7E991AB98}" type="pres">
      <dgm:prSet presAssocID="{5B20C6AF-DCE4-40DB-8B2E-5F51182A4F8E}" presName="connTx" presStyleLbl="parChTrans1D4" presStyleIdx="1" presStyleCnt="7"/>
      <dgm:spPr/>
    </dgm:pt>
    <dgm:pt modelId="{E8C9F637-9B09-49DE-9E38-2E027D625634}" type="pres">
      <dgm:prSet presAssocID="{CE1D3AB0-B83B-4C45-9AFC-B6AFF2075B18}" presName="Name30" presStyleCnt="0"/>
      <dgm:spPr/>
    </dgm:pt>
    <dgm:pt modelId="{11DC8A96-B751-483B-A3C4-70B64916400F}" type="pres">
      <dgm:prSet presAssocID="{CE1D3AB0-B83B-4C45-9AFC-B6AFF2075B18}" presName="level2Shape" presStyleLbl="node4" presStyleIdx="1" presStyleCnt="7" custScaleX="181756" custScaleY="92045" custLinFactY="-48214" custLinFactNeighborY="-100000"/>
      <dgm:spPr/>
    </dgm:pt>
    <dgm:pt modelId="{698D0246-FFCB-4EE2-87B3-2B351BB4FE0E}" type="pres">
      <dgm:prSet presAssocID="{CE1D3AB0-B83B-4C45-9AFC-B6AFF2075B18}" presName="hierChild3" presStyleCnt="0"/>
      <dgm:spPr/>
    </dgm:pt>
    <dgm:pt modelId="{1547D3E8-57E4-4D15-8D3E-673744267CBC}" type="pres">
      <dgm:prSet presAssocID="{DDF96DC3-D25C-4650-98ED-540C7BA8D442}" presName="Name25" presStyleLbl="parChTrans1D4" presStyleIdx="2" presStyleCnt="7"/>
      <dgm:spPr/>
    </dgm:pt>
    <dgm:pt modelId="{32985D14-DCBD-4DC0-AA67-2FD237F3885C}" type="pres">
      <dgm:prSet presAssocID="{DDF96DC3-D25C-4650-98ED-540C7BA8D442}" presName="connTx" presStyleLbl="parChTrans1D4" presStyleIdx="2" presStyleCnt="7"/>
      <dgm:spPr/>
    </dgm:pt>
    <dgm:pt modelId="{9B4ADEC3-0B79-4935-8064-C699B2DF35BC}" type="pres">
      <dgm:prSet presAssocID="{43D0CD52-0411-4293-8791-D3D056DDBF2B}" presName="Name30" presStyleCnt="0"/>
      <dgm:spPr/>
    </dgm:pt>
    <dgm:pt modelId="{42DFE077-8C53-406B-A044-30A2D28C4DD5}" type="pres">
      <dgm:prSet presAssocID="{43D0CD52-0411-4293-8791-D3D056DDBF2B}" presName="level2Shape" presStyleLbl="node4" presStyleIdx="2" presStyleCnt="7" custScaleX="181756" custScaleY="92045" custLinFactY="-48214" custLinFactNeighborY="-100000"/>
      <dgm:spPr/>
    </dgm:pt>
    <dgm:pt modelId="{C8C66A23-1D88-48D4-9EDB-87C2A684B772}" type="pres">
      <dgm:prSet presAssocID="{43D0CD52-0411-4293-8791-D3D056DDBF2B}" presName="hierChild3" presStyleCnt="0"/>
      <dgm:spPr/>
    </dgm:pt>
    <dgm:pt modelId="{1E5BAAB5-F0BA-45D7-BAE2-B97E5AF77332}" type="pres">
      <dgm:prSet presAssocID="{A50A1AA1-916C-46E6-A052-9D8E969B81B4}" presName="Name25" presStyleLbl="parChTrans1D4" presStyleIdx="3" presStyleCnt="7"/>
      <dgm:spPr/>
    </dgm:pt>
    <dgm:pt modelId="{F5C8BB05-FA78-4277-8D48-F81BB09DECF3}" type="pres">
      <dgm:prSet presAssocID="{A50A1AA1-916C-46E6-A052-9D8E969B81B4}" presName="connTx" presStyleLbl="parChTrans1D4" presStyleIdx="3" presStyleCnt="7"/>
      <dgm:spPr/>
    </dgm:pt>
    <dgm:pt modelId="{0E4285B5-1CAD-407B-BC1C-04ECB646EF45}" type="pres">
      <dgm:prSet presAssocID="{469D6CD6-3D7E-4D62-B319-EBBC974012D1}" presName="Name30" presStyleCnt="0"/>
      <dgm:spPr/>
    </dgm:pt>
    <dgm:pt modelId="{97781AA5-F761-4F02-98E2-7DABEE4FF5DB}" type="pres">
      <dgm:prSet presAssocID="{469D6CD6-3D7E-4D62-B319-EBBC974012D1}" presName="level2Shape" presStyleLbl="node4" presStyleIdx="3" presStyleCnt="7" custScaleX="181756" custScaleY="92045" custLinFactY="-48214" custLinFactNeighborY="-100000"/>
      <dgm:spPr/>
    </dgm:pt>
    <dgm:pt modelId="{BCCD595B-17F9-4B8E-B554-6CB6B660A8D3}" type="pres">
      <dgm:prSet presAssocID="{469D6CD6-3D7E-4D62-B319-EBBC974012D1}" presName="hierChild3" presStyleCnt="0"/>
      <dgm:spPr/>
    </dgm:pt>
    <dgm:pt modelId="{B03A670F-81C0-4628-AA37-A0CCE5C77C6F}" type="pres">
      <dgm:prSet presAssocID="{914D34DB-54F1-400D-BB16-242A29D73CAD}" presName="Name25" presStyleLbl="parChTrans1D3" presStyleIdx="1" presStyleCnt="3"/>
      <dgm:spPr/>
    </dgm:pt>
    <dgm:pt modelId="{08E3355A-6221-459A-B705-5887A98C4B84}" type="pres">
      <dgm:prSet presAssocID="{914D34DB-54F1-400D-BB16-242A29D73CAD}" presName="connTx" presStyleLbl="parChTrans1D3" presStyleIdx="1" presStyleCnt="3"/>
      <dgm:spPr/>
    </dgm:pt>
    <dgm:pt modelId="{A085852F-757B-496A-94A1-A28C3F0C0D53}" type="pres">
      <dgm:prSet presAssocID="{BDBD8DC5-9A20-4B31-8D26-C8DB47D18060}" presName="Name30" presStyleCnt="0"/>
      <dgm:spPr/>
    </dgm:pt>
    <dgm:pt modelId="{42E9CF01-853F-4DE6-BECE-1D9A96F3BDF0}" type="pres">
      <dgm:prSet presAssocID="{BDBD8DC5-9A20-4B31-8D26-C8DB47D18060}" presName="level2Shape" presStyleLbl="node3" presStyleIdx="1" presStyleCnt="3" custScaleX="194734" custScaleY="105194" custLinFactNeighborY="-42522"/>
      <dgm:spPr>
        <a:prstGeom prst="roundRect">
          <a:avLst/>
        </a:prstGeom>
      </dgm:spPr>
    </dgm:pt>
    <dgm:pt modelId="{47494AAF-B39C-48EB-8DDA-97A00DADAACF}" type="pres">
      <dgm:prSet presAssocID="{BDBD8DC5-9A20-4B31-8D26-C8DB47D18060}" presName="hierChild3" presStyleCnt="0"/>
      <dgm:spPr/>
    </dgm:pt>
    <dgm:pt modelId="{4E57492A-3F1A-4AF0-83F8-1EE8F6AAE59D}" type="pres">
      <dgm:prSet presAssocID="{0D077E02-D908-482E-900B-E1BD652956F3}" presName="Name25" presStyleLbl="parChTrans1D3" presStyleIdx="2" presStyleCnt="3"/>
      <dgm:spPr/>
    </dgm:pt>
    <dgm:pt modelId="{0BA19A5A-59F0-4BC2-8726-63590AF51C4A}" type="pres">
      <dgm:prSet presAssocID="{0D077E02-D908-482E-900B-E1BD652956F3}" presName="connTx" presStyleLbl="parChTrans1D3" presStyleIdx="2" presStyleCnt="3"/>
      <dgm:spPr/>
    </dgm:pt>
    <dgm:pt modelId="{5D8E88A1-CD84-4BBD-827B-78F3EC3697F8}" type="pres">
      <dgm:prSet presAssocID="{D151895C-28AD-4551-9ADB-7E77A01C13E3}" presName="Name30" presStyleCnt="0"/>
      <dgm:spPr/>
    </dgm:pt>
    <dgm:pt modelId="{B7586874-76C8-4414-8CBE-1676677C4F18}" type="pres">
      <dgm:prSet presAssocID="{D151895C-28AD-4551-9ADB-7E77A01C13E3}" presName="level2Shape" presStyleLbl="node3" presStyleIdx="2" presStyleCnt="3" custScaleX="194734" custScaleY="105194" custLinFactNeighborY="-76180"/>
      <dgm:spPr/>
    </dgm:pt>
    <dgm:pt modelId="{7CE21D24-15E8-42F5-81BD-672C8D1C1D53}" type="pres">
      <dgm:prSet presAssocID="{D151895C-28AD-4551-9ADB-7E77A01C13E3}" presName="hierChild3" presStyleCnt="0"/>
      <dgm:spPr/>
    </dgm:pt>
    <dgm:pt modelId="{41808FF7-3CAD-4DC9-992B-5307FCED3D5E}" type="pres">
      <dgm:prSet presAssocID="{23865587-02B3-4403-85B4-9B94C4EE3D76}" presName="Name25" presStyleLbl="parChTrans1D4" presStyleIdx="4" presStyleCnt="7"/>
      <dgm:spPr/>
    </dgm:pt>
    <dgm:pt modelId="{4CCCA92F-8642-4BB9-907E-EFCDFCED3C29}" type="pres">
      <dgm:prSet presAssocID="{23865587-02B3-4403-85B4-9B94C4EE3D76}" presName="connTx" presStyleLbl="parChTrans1D4" presStyleIdx="4" presStyleCnt="7"/>
      <dgm:spPr/>
    </dgm:pt>
    <dgm:pt modelId="{FB2B1E6A-CAFE-43E7-8C8F-3D69EAFFEF99}" type="pres">
      <dgm:prSet presAssocID="{B5412E3A-6B03-4AA1-BC97-FFBD246496EA}" presName="Name30" presStyleCnt="0"/>
      <dgm:spPr/>
    </dgm:pt>
    <dgm:pt modelId="{AAFCEE76-E13B-446D-ACDD-6A39E0608D99}" type="pres">
      <dgm:prSet presAssocID="{B5412E3A-6B03-4AA1-BC97-FFBD246496EA}" presName="level2Shape" presStyleLbl="node4" presStyleIdx="4" presStyleCnt="7" custScaleX="181756" custScaleY="92045" custLinFactNeighborY="-78328"/>
      <dgm:spPr/>
    </dgm:pt>
    <dgm:pt modelId="{4647B474-73A3-4733-B32F-DDF86B55312F}" type="pres">
      <dgm:prSet presAssocID="{B5412E3A-6B03-4AA1-BC97-FFBD246496EA}" presName="hierChild3" presStyleCnt="0"/>
      <dgm:spPr/>
    </dgm:pt>
    <dgm:pt modelId="{66C02DBE-07E9-4505-A94A-4862029FB8E1}" type="pres">
      <dgm:prSet presAssocID="{D9FC1E96-3F3D-4172-8F91-55F9AFB351BD}" presName="Name25" presStyleLbl="parChTrans1D4" presStyleIdx="5" presStyleCnt="7"/>
      <dgm:spPr/>
    </dgm:pt>
    <dgm:pt modelId="{A7220826-DAAD-486B-B513-D33241294BED}" type="pres">
      <dgm:prSet presAssocID="{D9FC1E96-3F3D-4172-8F91-55F9AFB351BD}" presName="connTx" presStyleLbl="parChTrans1D4" presStyleIdx="5" presStyleCnt="7"/>
      <dgm:spPr/>
    </dgm:pt>
    <dgm:pt modelId="{65DA891F-7FDF-45C8-A758-5F34932DFA01}" type="pres">
      <dgm:prSet presAssocID="{9F934FD2-079B-4528-ADC8-3EBDD22D624F}" presName="Name30" presStyleCnt="0"/>
      <dgm:spPr/>
    </dgm:pt>
    <dgm:pt modelId="{DCE5FD2E-3E7D-4730-B01A-FA1EE46D43F9}" type="pres">
      <dgm:prSet presAssocID="{9F934FD2-079B-4528-ADC8-3EBDD22D624F}" presName="level2Shape" presStyleLbl="node4" presStyleIdx="5" presStyleCnt="7" custScaleX="181756" custScaleY="92045" custLinFactNeighborY="-78328"/>
      <dgm:spPr/>
    </dgm:pt>
    <dgm:pt modelId="{45C27DDC-A2A9-4F6B-9529-BB0C2BDB61C4}" type="pres">
      <dgm:prSet presAssocID="{9F934FD2-079B-4528-ADC8-3EBDD22D624F}" presName="hierChild3" presStyleCnt="0"/>
      <dgm:spPr/>
    </dgm:pt>
    <dgm:pt modelId="{2BA7EFB4-5BD2-452B-A431-97ABA0282750}" type="pres">
      <dgm:prSet presAssocID="{4B4EDE46-2CD7-4D3C-9C55-AA24BCCDA6F7}" presName="Name25" presStyleLbl="parChTrans1D4" presStyleIdx="6" presStyleCnt="7"/>
      <dgm:spPr/>
    </dgm:pt>
    <dgm:pt modelId="{52E024DB-4B56-40B1-9BA6-1843FED57CBC}" type="pres">
      <dgm:prSet presAssocID="{4B4EDE46-2CD7-4D3C-9C55-AA24BCCDA6F7}" presName="connTx" presStyleLbl="parChTrans1D4" presStyleIdx="6" presStyleCnt="7"/>
      <dgm:spPr/>
    </dgm:pt>
    <dgm:pt modelId="{8F38B7C2-DE9E-4917-AE79-8E89EE86DFC6}" type="pres">
      <dgm:prSet presAssocID="{1FDFA441-8A08-4B5A-B99A-56ECC97382BD}" presName="Name30" presStyleCnt="0"/>
      <dgm:spPr/>
    </dgm:pt>
    <dgm:pt modelId="{FD51A31E-79DD-42DD-BC46-767871DD8CD0}" type="pres">
      <dgm:prSet presAssocID="{1FDFA441-8A08-4B5A-B99A-56ECC97382BD}" presName="level2Shape" presStyleLbl="node4" presStyleIdx="6" presStyleCnt="7" custScaleX="181756" custScaleY="92045" custLinFactNeighborY="-78328"/>
      <dgm:spPr/>
    </dgm:pt>
    <dgm:pt modelId="{7CEEA7E3-8B03-46B7-AC1B-D202C68638AE}" type="pres">
      <dgm:prSet presAssocID="{1FDFA441-8A08-4B5A-B99A-56ECC97382BD}" presName="hierChild3" presStyleCnt="0"/>
      <dgm:spPr/>
    </dgm:pt>
    <dgm:pt modelId="{76CAB9F3-424D-4C48-8078-30A77F2E50C0}" type="pres">
      <dgm:prSet presAssocID="{AAEF4D42-B5DF-443E-AB17-4EC33A3CB578}" presName="bgShapesFlow" presStyleCnt="0"/>
      <dgm:spPr/>
    </dgm:pt>
    <dgm:pt modelId="{A8B72EC7-AD20-4631-859D-C38ABB2FEDE3}" type="pres">
      <dgm:prSet presAssocID="{64DBB8EE-7A9B-4D71-9EC0-4435822AC991}" presName="rectComp" presStyleCnt="0"/>
      <dgm:spPr/>
    </dgm:pt>
    <dgm:pt modelId="{0DD267EE-5B7D-4A3D-B043-BBCB874DAAE1}" type="pres">
      <dgm:prSet presAssocID="{64DBB8EE-7A9B-4D71-9EC0-4435822AC991}" presName="bgRect" presStyleLbl="bgShp" presStyleIdx="0" presStyleCnt="4" custScaleX="175802" custScaleY="85000"/>
      <dgm:spPr/>
    </dgm:pt>
    <dgm:pt modelId="{03E19803-6D48-40ED-9304-15FC108895F2}" type="pres">
      <dgm:prSet presAssocID="{64DBB8EE-7A9B-4D71-9EC0-4435822AC991}" presName="bgRectTx" presStyleLbl="bgShp" presStyleIdx="0" presStyleCnt="4">
        <dgm:presLayoutVars>
          <dgm:bulletEnabled val="1"/>
        </dgm:presLayoutVars>
      </dgm:prSet>
      <dgm:spPr/>
    </dgm:pt>
    <dgm:pt modelId="{A0A269DB-8CF3-476A-8340-94A41C377CFC}" type="pres">
      <dgm:prSet presAssocID="{64DBB8EE-7A9B-4D71-9EC0-4435822AC991}" presName="spComp" presStyleCnt="0"/>
      <dgm:spPr/>
    </dgm:pt>
    <dgm:pt modelId="{F2E1FEF9-0B7D-4951-A15A-6BF6594A9157}" type="pres">
      <dgm:prSet presAssocID="{64DBB8EE-7A9B-4D71-9EC0-4435822AC991}" presName="hSp" presStyleCnt="0"/>
      <dgm:spPr/>
    </dgm:pt>
    <dgm:pt modelId="{3706B5BD-E09E-4D0B-9ACC-9EE997E83698}" type="pres">
      <dgm:prSet presAssocID="{804578FE-281C-4C08-A8DB-0AF878AE76D4}" presName="rectComp" presStyleCnt="0"/>
      <dgm:spPr/>
    </dgm:pt>
    <dgm:pt modelId="{D443A850-84C3-42D6-A285-77044588663D}" type="pres">
      <dgm:prSet presAssocID="{804578FE-281C-4C08-A8DB-0AF878AE76D4}" presName="bgRect" presStyleLbl="bgShp" presStyleIdx="1" presStyleCnt="4" custScaleX="175802" custScaleY="85000"/>
      <dgm:spPr/>
    </dgm:pt>
    <dgm:pt modelId="{3BC0C682-49AF-4444-935B-C31FD7B7E03D}" type="pres">
      <dgm:prSet presAssocID="{804578FE-281C-4C08-A8DB-0AF878AE76D4}" presName="bgRectTx" presStyleLbl="bgShp" presStyleIdx="1" presStyleCnt="4">
        <dgm:presLayoutVars>
          <dgm:bulletEnabled val="1"/>
        </dgm:presLayoutVars>
      </dgm:prSet>
      <dgm:spPr/>
    </dgm:pt>
    <dgm:pt modelId="{DA0B0916-780D-495B-9D1F-E51BBA82EE21}" type="pres">
      <dgm:prSet presAssocID="{804578FE-281C-4C08-A8DB-0AF878AE76D4}" presName="spComp" presStyleCnt="0"/>
      <dgm:spPr/>
    </dgm:pt>
    <dgm:pt modelId="{C5F545E5-2E3C-455E-BA2E-73E30D8D2983}" type="pres">
      <dgm:prSet presAssocID="{804578FE-281C-4C08-A8DB-0AF878AE76D4}" presName="hSp" presStyleCnt="0"/>
      <dgm:spPr/>
    </dgm:pt>
    <dgm:pt modelId="{80297A8E-C315-4AD0-854B-C0DDA8E69F41}" type="pres">
      <dgm:prSet presAssocID="{EA904DB0-5EB1-46E1-B0F3-3F30EDE2647D}" presName="rectComp" presStyleCnt="0"/>
      <dgm:spPr/>
    </dgm:pt>
    <dgm:pt modelId="{A41E6833-938D-4779-A65A-8045F3E4418F}" type="pres">
      <dgm:prSet presAssocID="{EA904DB0-5EB1-46E1-B0F3-3F30EDE2647D}" presName="bgRect" presStyleLbl="bgShp" presStyleIdx="2" presStyleCnt="4" custScaleX="175802" custScaleY="85000"/>
      <dgm:spPr/>
    </dgm:pt>
    <dgm:pt modelId="{BD79B523-34AB-48F8-A91C-B8DA7B6FF4C4}" type="pres">
      <dgm:prSet presAssocID="{EA904DB0-5EB1-46E1-B0F3-3F30EDE2647D}" presName="bgRectTx" presStyleLbl="bgShp" presStyleIdx="2" presStyleCnt="4">
        <dgm:presLayoutVars>
          <dgm:bulletEnabled val="1"/>
        </dgm:presLayoutVars>
      </dgm:prSet>
      <dgm:spPr/>
    </dgm:pt>
    <dgm:pt modelId="{168A74BA-CE40-457B-B4CF-30C2025CAC44}" type="pres">
      <dgm:prSet presAssocID="{EA904DB0-5EB1-46E1-B0F3-3F30EDE2647D}" presName="spComp" presStyleCnt="0"/>
      <dgm:spPr/>
    </dgm:pt>
    <dgm:pt modelId="{4B5C13A6-261F-430B-A82E-B342A0B17519}" type="pres">
      <dgm:prSet presAssocID="{EA904DB0-5EB1-46E1-B0F3-3F30EDE2647D}" presName="hSp" presStyleCnt="0"/>
      <dgm:spPr/>
    </dgm:pt>
    <dgm:pt modelId="{3455E638-74ED-47F5-9584-EBED34001872}" type="pres">
      <dgm:prSet presAssocID="{3E095483-6038-4B5B-AB6C-D33E67029F1E}" presName="rectComp" presStyleCnt="0"/>
      <dgm:spPr/>
    </dgm:pt>
    <dgm:pt modelId="{68E4FB85-AA7A-4203-BCDA-5A036A8A75AB}" type="pres">
      <dgm:prSet presAssocID="{3E095483-6038-4B5B-AB6C-D33E67029F1E}" presName="bgRect" presStyleLbl="bgShp" presStyleIdx="3" presStyleCnt="4" custScaleX="175802" custScaleY="85000"/>
      <dgm:spPr/>
    </dgm:pt>
    <dgm:pt modelId="{E7906961-795F-4052-8A3B-F308D7FEA4C7}" type="pres">
      <dgm:prSet presAssocID="{3E095483-6038-4B5B-AB6C-D33E67029F1E}" presName="bgRectTx" presStyleLbl="bgShp" presStyleIdx="3" presStyleCnt="4">
        <dgm:presLayoutVars>
          <dgm:bulletEnabled val="1"/>
        </dgm:presLayoutVars>
      </dgm:prSet>
      <dgm:spPr/>
    </dgm:pt>
  </dgm:ptLst>
  <dgm:cxnLst>
    <dgm:cxn modelId="{6447B900-EAE9-40B6-B6AB-68CDA9FA9305}" type="presOf" srcId="{DDF96DC3-D25C-4650-98ED-540C7BA8D442}" destId="{1547D3E8-57E4-4D15-8D3E-673744267CBC}" srcOrd="0" destOrd="0" presId="urn:microsoft.com/office/officeart/2005/8/layout/hierarchy5"/>
    <dgm:cxn modelId="{4DF7CF02-406A-45E4-B248-B8FB00058073}" type="presOf" srcId="{4B4EDE46-2CD7-4D3C-9C55-AA24BCCDA6F7}" destId="{2BA7EFB4-5BD2-452B-A431-97ABA0282750}" srcOrd="0" destOrd="0" presId="urn:microsoft.com/office/officeart/2005/8/layout/hierarchy5"/>
    <dgm:cxn modelId="{5D4D4106-B3F5-4A97-9D9A-08DADF928B25}" type="presOf" srcId="{3E095483-6038-4B5B-AB6C-D33E67029F1E}" destId="{68E4FB85-AA7A-4203-BCDA-5A036A8A75AB}" srcOrd="0" destOrd="0" presId="urn:microsoft.com/office/officeart/2005/8/layout/hierarchy5"/>
    <dgm:cxn modelId="{6E33D418-7448-4A8A-AE57-CB4C1DE754BE}" srcId="{A64BBCD1-5EB7-4B12-A25E-8BB89179762E}" destId="{BDBD8DC5-9A20-4B31-8D26-C8DB47D18060}" srcOrd="1" destOrd="0" parTransId="{914D34DB-54F1-400D-BB16-242A29D73CAD}" sibTransId="{165F3A96-633B-4312-A6C9-2E45E0453B24}"/>
    <dgm:cxn modelId="{1B3B7F1E-A0F2-4A7A-9FE0-51E3A360B0FB}" type="presOf" srcId="{AAEF4D42-B5DF-443E-AB17-4EC33A3CB578}" destId="{DD15816B-5A97-4463-B44A-456F68E17229}" srcOrd="0" destOrd="0" presId="urn:microsoft.com/office/officeart/2005/8/layout/hierarchy5"/>
    <dgm:cxn modelId="{2AA6872B-2F99-4BC0-ACD7-F223E0F29BE9}" srcId="{D151895C-28AD-4551-9ADB-7E77A01C13E3}" destId="{B5412E3A-6B03-4AA1-BC97-FFBD246496EA}" srcOrd="0" destOrd="0" parTransId="{23865587-02B3-4403-85B4-9B94C4EE3D76}" sibTransId="{16826EF9-DBCB-482F-B376-DDE97D2CBF1E}"/>
    <dgm:cxn modelId="{C79A0330-C962-4235-89C5-6458F5EF1098}" type="presOf" srcId="{3E095483-6038-4B5B-AB6C-D33E67029F1E}" destId="{E7906961-795F-4052-8A3B-F308D7FEA4C7}" srcOrd="1" destOrd="0" presId="urn:microsoft.com/office/officeart/2005/8/layout/hierarchy5"/>
    <dgm:cxn modelId="{79E89131-B7B0-401F-A1A3-A4645448B1C7}" type="presOf" srcId="{6F531495-2E7A-4B8E-9639-557919AD3528}" destId="{EDE2A0F2-3E3A-4C6B-92BE-8297AA578B1A}" srcOrd="0" destOrd="0" presId="urn:microsoft.com/office/officeart/2005/8/layout/hierarchy5"/>
    <dgm:cxn modelId="{BC058B33-3AF3-4914-A57C-6060284C65AE}" type="presOf" srcId="{726E73D5-D768-4DCC-AAD9-11A0C790DB0E}" destId="{F1ECDEDE-5549-4FAF-9E0E-E35B5D18DCF4}" srcOrd="0" destOrd="0" presId="urn:microsoft.com/office/officeart/2005/8/layout/hierarchy5"/>
    <dgm:cxn modelId="{4C07BB33-A514-45E8-9192-FD0B0F880696}" type="presOf" srcId="{A64BBCD1-5EB7-4B12-A25E-8BB89179762E}" destId="{03B355C0-4902-4DD3-ADC8-99189F6B3443}" srcOrd="0" destOrd="0" presId="urn:microsoft.com/office/officeart/2005/8/layout/hierarchy5"/>
    <dgm:cxn modelId="{F2D96237-CB65-4F49-8591-E10E86C266DF}" type="presOf" srcId="{914D34DB-54F1-400D-BB16-242A29D73CAD}" destId="{08E3355A-6221-459A-B705-5887A98C4B84}" srcOrd="1" destOrd="0" presId="urn:microsoft.com/office/officeart/2005/8/layout/hierarchy5"/>
    <dgm:cxn modelId="{88C8CE37-176A-4181-9C87-0DDE4927DCEB}" type="presOf" srcId="{B5412E3A-6B03-4AA1-BC97-FFBD246496EA}" destId="{AAFCEE76-E13B-446D-ACDD-6A39E0608D99}" srcOrd="0" destOrd="0" presId="urn:microsoft.com/office/officeart/2005/8/layout/hierarchy5"/>
    <dgm:cxn modelId="{018FB339-FF28-4F08-84DD-B7CDE2678641}" type="presOf" srcId="{DDF96DC3-D25C-4650-98ED-540C7BA8D442}" destId="{32985D14-DCBD-4DC0-AA67-2FD237F3885C}" srcOrd="1" destOrd="0" presId="urn:microsoft.com/office/officeart/2005/8/layout/hierarchy5"/>
    <dgm:cxn modelId="{8BFF593C-BD45-4DBD-96C4-7D30A7C777EE}" type="presOf" srcId="{0D077E02-D908-482E-900B-E1BD652956F3}" destId="{0BA19A5A-59F0-4BC2-8726-63590AF51C4A}" srcOrd="1" destOrd="0" presId="urn:microsoft.com/office/officeart/2005/8/layout/hierarchy5"/>
    <dgm:cxn modelId="{4A06CA3F-1070-4829-8948-B8D6F837441F}" srcId="{AAEF4D42-B5DF-443E-AB17-4EC33A3CB578}" destId="{64DBB8EE-7A9B-4D71-9EC0-4435822AC991}" srcOrd="1" destOrd="0" parTransId="{7D5E4B54-9D57-433D-8057-E0BB2D9BFC6E}" sibTransId="{E510F4AF-43DF-41DC-B148-0906250EC5AA}"/>
    <dgm:cxn modelId="{6ABC255D-2ED0-44CD-A126-4410D3BBE627}" type="presOf" srcId="{23865587-02B3-4403-85B4-9B94C4EE3D76}" destId="{41808FF7-3CAD-4DC9-992B-5307FCED3D5E}" srcOrd="0" destOrd="0" presId="urn:microsoft.com/office/officeart/2005/8/layout/hierarchy5"/>
    <dgm:cxn modelId="{5376AA5F-B183-4DB8-A652-32470080607A}" type="presOf" srcId="{6F531495-2E7A-4B8E-9639-557919AD3528}" destId="{15D0BD92-4302-4D99-B878-F60B4EA26D53}" srcOrd="1" destOrd="0" presId="urn:microsoft.com/office/officeart/2005/8/layout/hierarchy5"/>
    <dgm:cxn modelId="{F7E3B35F-C696-4BF7-AABA-F6E28A13612F}" srcId="{D151895C-28AD-4551-9ADB-7E77A01C13E3}" destId="{9F934FD2-079B-4528-ADC8-3EBDD22D624F}" srcOrd="1" destOrd="0" parTransId="{D9FC1E96-3F3D-4172-8F91-55F9AFB351BD}" sibTransId="{2D1433F5-7B38-4994-9B4F-8FBD7A77BBB1}"/>
    <dgm:cxn modelId="{4F179F41-0D9B-4909-8624-FE95AD9C6FDA}" type="presOf" srcId="{804578FE-281C-4C08-A8DB-0AF878AE76D4}" destId="{3BC0C682-49AF-4444-935B-C31FD7B7E03D}" srcOrd="1" destOrd="0" presId="urn:microsoft.com/office/officeart/2005/8/layout/hierarchy5"/>
    <dgm:cxn modelId="{185D2463-84BE-4A0F-B97C-79CE56A167C0}" type="presOf" srcId="{5B20C6AF-DCE4-40DB-8B2E-5F51182A4F8E}" destId="{7F7BF95D-00EC-4012-B925-9EF7E991AB98}" srcOrd="1" destOrd="0" presId="urn:microsoft.com/office/officeart/2005/8/layout/hierarchy5"/>
    <dgm:cxn modelId="{5B643863-B5EB-4CE7-978C-9C8532335F7E}" type="presOf" srcId="{EA904DB0-5EB1-46E1-B0F3-3F30EDE2647D}" destId="{BD79B523-34AB-48F8-A91C-B8DA7B6FF4C4}" srcOrd="1" destOrd="0" presId="urn:microsoft.com/office/officeart/2005/8/layout/hierarchy5"/>
    <dgm:cxn modelId="{D23AB743-5386-4EA6-B8D0-F578E1CCD99A}" type="presOf" srcId="{EA904DB0-5EB1-46E1-B0F3-3F30EDE2647D}" destId="{A41E6833-938D-4779-A65A-8045F3E4418F}" srcOrd="0" destOrd="0" presId="urn:microsoft.com/office/officeart/2005/8/layout/hierarchy5"/>
    <dgm:cxn modelId="{38355F69-DE83-4858-B326-444834E4C613}" type="presOf" srcId="{CE1D3AB0-B83B-4C45-9AFC-B6AFF2075B18}" destId="{11DC8A96-B751-483B-A3C4-70B64916400F}" srcOrd="0" destOrd="0" presId="urn:microsoft.com/office/officeart/2005/8/layout/hierarchy5"/>
    <dgm:cxn modelId="{0C539D6D-E6F7-4B97-A825-EAA6A56C95D1}" type="presOf" srcId="{9F934FD2-079B-4528-ADC8-3EBDD22D624F}" destId="{DCE5FD2E-3E7D-4730-B01A-FA1EE46D43F9}" srcOrd="0" destOrd="0" presId="urn:microsoft.com/office/officeart/2005/8/layout/hierarchy5"/>
    <dgm:cxn modelId="{EB0CF16D-6EDA-4102-AF69-C3A4A4D8E8C6}" type="presOf" srcId="{A50A1AA1-916C-46E6-A052-9D8E969B81B4}" destId="{1E5BAAB5-F0BA-45D7-BAE2-B97E5AF77332}" srcOrd="0" destOrd="0" presId="urn:microsoft.com/office/officeart/2005/8/layout/hierarchy5"/>
    <dgm:cxn modelId="{0C69B271-78F3-469E-A5A6-ED51F23AD437}" srcId="{AAEF4D42-B5DF-443E-AB17-4EC33A3CB578}" destId="{DD419725-77A1-4E29-841E-20268ABA3D72}" srcOrd="0" destOrd="0" parTransId="{93C7B946-9E66-47ED-971C-0DF1E7A9300F}" sibTransId="{FA0310BA-0967-481A-BED3-854BF11747C8}"/>
    <dgm:cxn modelId="{53776152-631F-42D3-884D-D0301304F833}" srcId="{B42736FD-D8DF-4DBE-AF40-A0BB477C26F7}" destId="{726E73D5-D768-4DCC-AAD9-11A0C790DB0E}" srcOrd="0" destOrd="0" parTransId="{57FAE1C1-754B-4EEE-A092-FA6AFD2FC63E}" sibTransId="{303D67EE-F7D0-493C-9AE5-EC3B25DF9E6E}"/>
    <dgm:cxn modelId="{D3C74B78-C694-409A-8749-ABEA2E08B6C7}" type="presOf" srcId="{469D6CD6-3D7E-4D62-B319-EBBC974012D1}" destId="{97781AA5-F761-4F02-98E2-7DABEE4FF5DB}" srcOrd="0" destOrd="0" presId="urn:microsoft.com/office/officeart/2005/8/layout/hierarchy5"/>
    <dgm:cxn modelId="{6BD01579-C84E-476E-8372-041021B0E13C}" type="presOf" srcId="{D151895C-28AD-4551-9ADB-7E77A01C13E3}" destId="{B7586874-76C8-4414-8CBE-1676677C4F18}" srcOrd="0" destOrd="0" presId="urn:microsoft.com/office/officeart/2005/8/layout/hierarchy5"/>
    <dgm:cxn modelId="{B1FF605A-2A22-4B64-9633-B580FD321749}" srcId="{AAEF4D42-B5DF-443E-AB17-4EC33A3CB578}" destId="{EA904DB0-5EB1-46E1-B0F3-3F30EDE2647D}" srcOrd="3" destOrd="0" parTransId="{3731ABAB-B573-4EA0-B023-53078493C76D}" sibTransId="{152F0DC1-476D-4C2F-8624-C42EDAD86F56}"/>
    <dgm:cxn modelId="{2E3FAE7E-FF78-471A-B72F-CF48A01FB551}" srcId="{AAEF4D42-B5DF-443E-AB17-4EC33A3CB578}" destId="{3E095483-6038-4B5B-AB6C-D33E67029F1E}" srcOrd="4" destOrd="0" parTransId="{4A39D6FC-D996-456D-A071-438E853F2C18}" sibTransId="{49C6180C-B290-48E0-B19E-A9C4BA2269C4}"/>
    <dgm:cxn modelId="{03F78E83-D2EE-4152-AC57-95749B8254AD}" type="presOf" srcId="{B42736FD-D8DF-4DBE-AF40-A0BB477C26F7}" destId="{E1586E3F-6BC0-4FC9-A856-10B27A673F7B}" srcOrd="0" destOrd="0" presId="urn:microsoft.com/office/officeart/2005/8/layout/hierarchy5"/>
    <dgm:cxn modelId="{972F2185-24CC-4E63-A6F7-A7442960B541}" srcId="{B42736FD-D8DF-4DBE-AF40-A0BB477C26F7}" destId="{43D0CD52-0411-4293-8791-D3D056DDBF2B}" srcOrd="2" destOrd="0" parTransId="{DDF96DC3-D25C-4650-98ED-540C7BA8D442}" sibTransId="{9BBCEED1-9813-4A31-B22A-697A4F99D6E3}"/>
    <dgm:cxn modelId="{D1FF1E86-0137-4147-BD75-D684D284F745}" type="presOf" srcId="{57FAE1C1-754B-4EEE-A092-FA6AFD2FC63E}" destId="{0C60BB76-064E-48B6-AED8-495308D3DE87}" srcOrd="1" destOrd="0" presId="urn:microsoft.com/office/officeart/2005/8/layout/hierarchy5"/>
    <dgm:cxn modelId="{5FD3628C-1626-4F26-BFD2-B1953B7A8DA5}" type="presOf" srcId="{43D0CD52-0411-4293-8791-D3D056DDBF2B}" destId="{42DFE077-8C53-406B-A044-30A2D28C4DD5}" srcOrd="0" destOrd="0" presId="urn:microsoft.com/office/officeart/2005/8/layout/hierarchy5"/>
    <dgm:cxn modelId="{FA23128D-94D1-477F-A774-BF7310E888B4}" type="presOf" srcId="{0B05EF5F-38FE-43AC-B9F2-90C2AB768183}" destId="{1355E893-37D7-4E32-BB2B-F2C36980FE68}" srcOrd="0" destOrd="0" presId="urn:microsoft.com/office/officeart/2005/8/layout/hierarchy5"/>
    <dgm:cxn modelId="{A48E689B-9069-4C93-8D79-AA7219402B96}" type="presOf" srcId="{0D077E02-D908-482E-900B-E1BD652956F3}" destId="{4E57492A-3F1A-4AF0-83F8-1EE8F6AAE59D}" srcOrd="0" destOrd="0" presId="urn:microsoft.com/office/officeart/2005/8/layout/hierarchy5"/>
    <dgm:cxn modelId="{728BD3A3-77C7-427B-98D5-BA29D1B3B407}" type="presOf" srcId="{64DBB8EE-7A9B-4D71-9EC0-4435822AC991}" destId="{03E19803-6D48-40ED-9304-15FC108895F2}" srcOrd="1" destOrd="0" presId="urn:microsoft.com/office/officeart/2005/8/layout/hierarchy5"/>
    <dgm:cxn modelId="{F8A90AA6-8E30-42C8-971F-B3F3CAB60EB0}" type="presOf" srcId="{5B20C6AF-DCE4-40DB-8B2E-5F51182A4F8E}" destId="{FDB9E50C-37F8-4509-B692-467E49296180}" srcOrd="0" destOrd="0" presId="urn:microsoft.com/office/officeart/2005/8/layout/hierarchy5"/>
    <dgm:cxn modelId="{3A81E4A6-0EEB-47FA-BEA4-1CF1C087EF19}" type="presOf" srcId="{804578FE-281C-4C08-A8DB-0AF878AE76D4}" destId="{D443A850-84C3-42D6-A285-77044588663D}" srcOrd="0" destOrd="0" presId="urn:microsoft.com/office/officeart/2005/8/layout/hierarchy5"/>
    <dgm:cxn modelId="{096E4EAB-B388-4C5C-96FF-B60DC61DACA7}" srcId="{B42736FD-D8DF-4DBE-AF40-A0BB477C26F7}" destId="{469D6CD6-3D7E-4D62-B319-EBBC974012D1}" srcOrd="3" destOrd="0" parTransId="{A50A1AA1-916C-46E6-A052-9D8E969B81B4}" sibTransId="{3078C922-83FC-4A98-857A-6D8C183311CE}"/>
    <dgm:cxn modelId="{A8D2B9AB-EDC6-4DCD-B7DE-82C42CBD717C}" type="presOf" srcId="{BDBD8DC5-9A20-4B31-8D26-C8DB47D18060}" destId="{42E9CF01-853F-4DE6-BECE-1D9A96F3BDF0}" srcOrd="0" destOrd="0" presId="urn:microsoft.com/office/officeart/2005/8/layout/hierarchy5"/>
    <dgm:cxn modelId="{B374BDAD-6426-4487-8992-E4AAAF4151BD}" type="presOf" srcId="{D9FC1E96-3F3D-4172-8F91-55F9AFB351BD}" destId="{66C02DBE-07E9-4505-A94A-4862029FB8E1}" srcOrd="0" destOrd="0" presId="urn:microsoft.com/office/officeart/2005/8/layout/hierarchy5"/>
    <dgm:cxn modelId="{AD6E58AE-C0D7-49CE-9DAA-005B0F154151}" srcId="{A64BBCD1-5EB7-4B12-A25E-8BB89179762E}" destId="{B42736FD-D8DF-4DBE-AF40-A0BB477C26F7}" srcOrd="0" destOrd="0" parTransId="{6F531495-2E7A-4B8E-9639-557919AD3528}" sibTransId="{1C9F7C06-F9B8-4469-ABD8-222FBB7D039B}"/>
    <dgm:cxn modelId="{4E5782AF-1D36-4621-986B-86C50F9D6118}" type="presOf" srcId="{64DBB8EE-7A9B-4D71-9EC0-4435822AC991}" destId="{0DD267EE-5B7D-4A3D-B043-BBCB874DAAE1}" srcOrd="0" destOrd="0" presId="urn:microsoft.com/office/officeart/2005/8/layout/hierarchy5"/>
    <dgm:cxn modelId="{0E0AB2B1-5E42-48F9-8F6E-14291F7299D6}" srcId="{A64BBCD1-5EB7-4B12-A25E-8BB89179762E}" destId="{D151895C-28AD-4551-9ADB-7E77A01C13E3}" srcOrd="2" destOrd="0" parTransId="{0D077E02-D908-482E-900B-E1BD652956F3}" sibTransId="{FA61579C-6D58-46DF-9ECE-8D69A1AFF7E1}"/>
    <dgm:cxn modelId="{D62900BB-7F09-47F3-94A4-7E72545B4C12}" srcId="{B42736FD-D8DF-4DBE-AF40-A0BB477C26F7}" destId="{CE1D3AB0-B83B-4C45-9AFC-B6AFF2075B18}" srcOrd="1" destOrd="0" parTransId="{5B20C6AF-DCE4-40DB-8B2E-5F51182A4F8E}" sibTransId="{7E205B6E-E43B-4A2B-AA6B-AFF526DB2023}"/>
    <dgm:cxn modelId="{49453FBB-502A-44CB-93E8-5F41A252B4A3}" srcId="{AAEF4D42-B5DF-443E-AB17-4EC33A3CB578}" destId="{804578FE-281C-4C08-A8DB-0AF878AE76D4}" srcOrd="2" destOrd="0" parTransId="{B04F4D9D-4676-48BE-85C1-DEDCEB51E5CB}" sibTransId="{116C9570-C25A-478E-9B5F-686A3C04E026}"/>
    <dgm:cxn modelId="{3946ADC3-B855-47B9-94AB-4C6D7CC9BCF8}" type="presOf" srcId="{1FDFA441-8A08-4B5A-B99A-56ECC97382BD}" destId="{FD51A31E-79DD-42DD-BC46-767871DD8CD0}" srcOrd="0" destOrd="0" presId="urn:microsoft.com/office/officeart/2005/8/layout/hierarchy5"/>
    <dgm:cxn modelId="{CAF722C4-3C7E-47F1-9AC9-27FC3061438D}" type="presOf" srcId="{57FAE1C1-754B-4EEE-A092-FA6AFD2FC63E}" destId="{A4A80DBA-511E-42C6-B9C3-829A29AD0AA7}" srcOrd="0" destOrd="0" presId="urn:microsoft.com/office/officeart/2005/8/layout/hierarchy5"/>
    <dgm:cxn modelId="{10047BC5-536E-41F8-80A9-7A51E8487C92}" type="presOf" srcId="{0B05EF5F-38FE-43AC-B9F2-90C2AB768183}" destId="{1899B2E8-8E32-46E2-BFC1-FC4F744E9B9E}" srcOrd="1" destOrd="0" presId="urn:microsoft.com/office/officeart/2005/8/layout/hierarchy5"/>
    <dgm:cxn modelId="{5AEBFEC6-81EC-4F2D-AA96-C17EE177E948}" srcId="{DD419725-77A1-4E29-841E-20268ABA3D72}" destId="{A64BBCD1-5EB7-4B12-A25E-8BB89179762E}" srcOrd="0" destOrd="0" parTransId="{0B05EF5F-38FE-43AC-B9F2-90C2AB768183}" sibTransId="{BF63482B-94DE-438F-97BE-C4214CAA0389}"/>
    <dgm:cxn modelId="{E6408FD3-5371-4965-A4FB-FB1067602A10}" srcId="{D151895C-28AD-4551-9ADB-7E77A01C13E3}" destId="{1FDFA441-8A08-4B5A-B99A-56ECC97382BD}" srcOrd="2" destOrd="0" parTransId="{4B4EDE46-2CD7-4D3C-9C55-AA24BCCDA6F7}" sibTransId="{C15875BC-50AB-4F8C-8CBA-FD8E3999E3FD}"/>
    <dgm:cxn modelId="{9C3EF0D7-CC91-4120-8F6D-7EC6C844CF79}" type="presOf" srcId="{A50A1AA1-916C-46E6-A052-9D8E969B81B4}" destId="{F5C8BB05-FA78-4277-8D48-F81BB09DECF3}" srcOrd="1" destOrd="0" presId="urn:microsoft.com/office/officeart/2005/8/layout/hierarchy5"/>
    <dgm:cxn modelId="{478208F1-5ADB-4BA6-A1FF-7A593D449178}" type="presOf" srcId="{4B4EDE46-2CD7-4D3C-9C55-AA24BCCDA6F7}" destId="{52E024DB-4B56-40B1-9BA6-1843FED57CBC}" srcOrd="1" destOrd="0" presId="urn:microsoft.com/office/officeart/2005/8/layout/hierarchy5"/>
    <dgm:cxn modelId="{A93C3FF2-F5AE-4BD6-82A0-CD7FF038D603}" type="presOf" srcId="{23865587-02B3-4403-85B4-9B94C4EE3D76}" destId="{4CCCA92F-8642-4BB9-907E-EFCDFCED3C29}" srcOrd="1" destOrd="0" presId="urn:microsoft.com/office/officeart/2005/8/layout/hierarchy5"/>
    <dgm:cxn modelId="{BE9D4CFA-55A6-4357-A393-952AEFE3BB40}" type="presOf" srcId="{914D34DB-54F1-400D-BB16-242A29D73CAD}" destId="{B03A670F-81C0-4628-AA37-A0CCE5C77C6F}" srcOrd="0" destOrd="0" presId="urn:microsoft.com/office/officeart/2005/8/layout/hierarchy5"/>
    <dgm:cxn modelId="{81D661FB-21C1-4775-A85C-F39F1BF09061}" type="presOf" srcId="{DD419725-77A1-4E29-841E-20268ABA3D72}" destId="{37315875-A390-40DE-BA19-47DD0354C174}" srcOrd="0" destOrd="0" presId="urn:microsoft.com/office/officeart/2005/8/layout/hierarchy5"/>
    <dgm:cxn modelId="{8E9CDFFC-57CC-48A1-A178-8459E9D052A1}" type="presOf" srcId="{D9FC1E96-3F3D-4172-8F91-55F9AFB351BD}" destId="{A7220826-DAAD-486B-B513-D33241294BED}" srcOrd="1" destOrd="0" presId="urn:microsoft.com/office/officeart/2005/8/layout/hierarchy5"/>
    <dgm:cxn modelId="{27B556B6-BB07-47E1-B74E-80D431B94EBC}" type="presParOf" srcId="{DD15816B-5A97-4463-B44A-456F68E17229}" destId="{34BCB656-DCDE-4756-BA1C-9B8A80E20F95}" srcOrd="0" destOrd="0" presId="urn:microsoft.com/office/officeart/2005/8/layout/hierarchy5"/>
    <dgm:cxn modelId="{F8D82539-4B12-40DF-BE21-D3DE2782E1FE}" type="presParOf" srcId="{34BCB656-DCDE-4756-BA1C-9B8A80E20F95}" destId="{31452E5F-5B4A-4B92-9F8F-B12E6BB0E3F5}" srcOrd="0" destOrd="0" presId="urn:microsoft.com/office/officeart/2005/8/layout/hierarchy5"/>
    <dgm:cxn modelId="{0D51C3EB-F2D7-4C18-971E-35C249504F52}" type="presParOf" srcId="{34BCB656-DCDE-4756-BA1C-9B8A80E20F95}" destId="{D44C11D1-8C70-435C-A78A-F7D09D0208A6}" srcOrd="1" destOrd="0" presId="urn:microsoft.com/office/officeart/2005/8/layout/hierarchy5"/>
    <dgm:cxn modelId="{50BADEFF-BE1C-486B-9F30-AF2025277324}" type="presParOf" srcId="{D44C11D1-8C70-435C-A78A-F7D09D0208A6}" destId="{953869E3-A348-463E-B121-375C95858553}" srcOrd="0" destOrd="0" presId="urn:microsoft.com/office/officeart/2005/8/layout/hierarchy5"/>
    <dgm:cxn modelId="{E5AFD89F-8EBE-4BD1-A7BC-B0F22B201813}" type="presParOf" srcId="{953869E3-A348-463E-B121-375C95858553}" destId="{37315875-A390-40DE-BA19-47DD0354C174}" srcOrd="0" destOrd="0" presId="urn:microsoft.com/office/officeart/2005/8/layout/hierarchy5"/>
    <dgm:cxn modelId="{F6446BD8-CB98-4F3F-AFEE-AD84E7A4078E}" type="presParOf" srcId="{953869E3-A348-463E-B121-375C95858553}" destId="{CEAE5CE8-1334-4FB5-9C10-720DE4A610C5}" srcOrd="1" destOrd="0" presId="urn:microsoft.com/office/officeart/2005/8/layout/hierarchy5"/>
    <dgm:cxn modelId="{FB08BFFA-83FB-4214-9FCC-F06D22AB157C}" type="presParOf" srcId="{CEAE5CE8-1334-4FB5-9C10-720DE4A610C5}" destId="{1355E893-37D7-4E32-BB2B-F2C36980FE68}" srcOrd="0" destOrd="0" presId="urn:microsoft.com/office/officeart/2005/8/layout/hierarchy5"/>
    <dgm:cxn modelId="{D9026555-7B76-4133-ACDE-28A827C70346}" type="presParOf" srcId="{1355E893-37D7-4E32-BB2B-F2C36980FE68}" destId="{1899B2E8-8E32-46E2-BFC1-FC4F744E9B9E}" srcOrd="0" destOrd="0" presId="urn:microsoft.com/office/officeart/2005/8/layout/hierarchy5"/>
    <dgm:cxn modelId="{3FCBDC4D-07DC-44AB-917D-1CF20E00CF41}" type="presParOf" srcId="{CEAE5CE8-1334-4FB5-9C10-720DE4A610C5}" destId="{47021C4C-9346-4DD2-93A7-B087FCA59A2B}" srcOrd="1" destOrd="0" presId="urn:microsoft.com/office/officeart/2005/8/layout/hierarchy5"/>
    <dgm:cxn modelId="{4749B1D4-FC9F-48B4-A776-BE263FA59202}" type="presParOf" srcId="{47021C4C-9346-4DD2-93A7-B087FCA59A2B}" destId="{03B355C0-4902-4DD3-ADC8-99189F6B3443}" srcOrd="0" destOrd="0" presId="urn:microsoft.com/office/officeart/2005/8/layout/hierarchy5"/>
    <dgm:cxn modelId="{D66DBD08-C6AB-44A4-9326-2910DA869144}" type="presParOf" srcId="{47021C4C-9346-4DD2-93A7-B087FCA59A2B}" destId="{8F35B586-A456-4912-BE25-A9A49BD16674}" srcOrd="1" destOrd="0" presId="urn:microsoft.com/office/officeart/2005/8/layout/hierarchy5"/>
    <dgm:cxn modelId="{DB336AE7-1FCD-42B1-B781-52FDA09E8DED}" type="presParOf" srcId="{8F35B586-A456-4912-BE25-A9A49BD16674}" destId="{EDE2A0F2-3E3A-4C6B-92BE-8297AA578B1A}" srcOrd="0" destOrd="0" presId="urn:microsoft.com/office/officeart/2005/8/layout/hierarchy5"/>
    <dgm:cxn modelId="{48968475-9C9C-4991-9ECA-99891F6F316E}" type="presParOf" srcId="{EDE2A0F2-3E3A-4C6B-92BE-8297AA578B1A}" destId="{15D0BD92-4302-4D99-B878-F60B4EA26D53}" srcOrd="0" destOrd="0" presId="urn:microsoft.com/office/officeart/2005/8/layout/hierarchy5"/>
    <dgm:cxn modelId="{0B7785A0-8162-433D-B36A-AE1B960B1F48}" type="presParOf" srcId="{8F35B586-A456-4912-BE25-A9A49BD16674}" destId="{96D09AA5-5466-4031-9B64-D604198FFF1E}" srcOrd="1" destOrd="0" presId="urn:microsoft.com/office/officeart/2005/8/layout/hierarchy5"/>
    <dgm:cxn modelId="{D69D76CB-9521-4E53-8854-5663262E026B}" type="presParOf" srcId="{96D09AA5-5466-4031-9B64-D604198FFF1E}" destId="{E1586E3F-6BC0-4FC9-A856-10B27A673F7B}" srcOrd="0" destOrd="0" presId="urn:microsoft.com/office/officeart/2005/8/layout/hierarchy5"/>
    <dgm:cxn modelId="{FC5CD58E-1C4D-454A-8ED8-644CFA6481D7}" type="presParOf" srcId="{96D09AA5-5466-4031-9B64-D604198FFF1E}" destId="{ADC4548E-5F14-46A0-A7D1-539DE1922EB6}" srcOrd="1" destOrd="0" presId="urn:microsoft.com/office/officeart/2005/8/layout/hierarchy5"/>
    <dgm:cxn modelId="{74C5F505-6EF6-453E-9E0B-D9DA4BD6C8A0}" type="presParOf" srcId="{ADC4548E-5F14-46A0-A7D1-539DE1922EB6}" destId="{A4A80DBA-511E-42C6-B9C3-829A29AD0AA7}" srcOrd="0" destOrd="0" presId="urn:microsoft.com/office/officeart/2005/8/layout/hierarchy5"/>
    <dgm:cxn modelId="{B2574068-690D-4E8B-892E-BBAABBBA8930}" type="presParOf" srcId="{A4A80DBA-511E-42C6-B9C3-829A29AD0AA7}" destId="{0C60BB76-064E-48B6-AED8-495308D3DE87}" srcOrd="0" destOrd="0" presId="urn:microsoft.com/office/officeart/2005/8/layout/hierarchy5"/>
    <dgm:cxn modelId="{1988B5B9-F9CE-4DE0-9CBA-91402B012810}" type="presParOf" srcId="{ADC4548E-5F14-46A0-A7D1-539DE1922EB6}" destId="{2B58A639-D041-49A8-9146-3036E7EDB716}" srcOrd="1" destOrd="0" presId="urn:microsoft.com/office/officeart/2005/8/layout/hierarchy5"/>
    <dgm:cxn modelId="{B4EEC112-6776-4C64-A9EB-54ECCECDD179}" type="presParOf" srcId="{2B58A639-D041-49A8-9146-3036E7EDB716}" destId="{F1ECDEDE-5549-4FAF-9E0E-E35B5D18DCF4}" srcOrd="0" destOrd="0" presId="urn:microsoft.com/office/officeart/2005/8/layout/hierarchy5"/>
    <dgm:cxn modelId="{D2003B64-6F8B-4A4E-BFFB-5F27214E7F9B}" type="presParOf" srcId="{2B58A639-D041-49A8-9146-3036E7EDB716}" destId="{5C968CB6-FE0F-47CA-A8EB-5BD5AF0B82EB}" srcOrd="1" destOrd="0" presId="urn:microsoft.com/office/officeart/2005/8/layout/hierarchy5"/>
    <dgm:cxn modelId="{9DE6AB72-7BB0-49D4-BD83-0E38B9933B52}" type="presParOf" srcId="{ADC4548E-5F14-46A0-A7D1-539DE1922EB6}" destId="{FDB9E50C-37F8-4509-B692-467E49296180}" srcOrd="2" destOrd="0" presId="urn:microsoft.com/office/officeart/2005/8/layout/hierarchy5"/>
    <dgm:cxn modelId="{3AB6E8BA-D3BE-48A1-A82D-533C4A64F956}" type="presParOf" srcId="{FDB9E50C-37F8-4509-B692-467E49296180}" destId="{7F7BF95D-00EC-4012-B925-9EF7E991AB98}" srcOrd="0" destOrd="0" presId="urn:microsoft.com/office/officeart/2005/8/layout/hierarchy5"/>
    <dgm:cxn modelId="{A5BBAEC9-3C8B-4F42-A7A7-1E05A1792249}" type="presParOf" srcId="{ADC4548E-5F14-46A0-A7D1-539DE1922EB6}" destId="{E8C9F637-9B09-49DE-9E38-2E027D625634}" srcOrd="3" destOrd="0" presId="urn:microsoft.com/office/officeart/2005/8/layout/hierarchy5"/>
    <dgm:cxn modelId="{BB65B0E7-4BAE-49E3-8751-9242D371AB09}" type="presParOf" srcId="{E8C9F637-9B09-49DE-9E38-2E027D625634}" destId="{11DC8A96-B751-483B-A3C4-70B64916400F}" srcOrd="0" destOrd="0" presId="urn:microsoft.com/office/officeart/2005/8/layout/hierarchy5"/>
    <dgm:cxn modelId="{51AA43BC-96AA-4198-BD19-64883C954A34}" type="presParOf" srcId="{E8C9F637-9B09-49DE-9E38-2E027D625634}" destId="{698D0246-FFCB-4EE2-87B3-2B351BB4FE0E}" srcOrd="1" destOrd="0" presId="urn:microsoft.com/office/officeart/2005/8/layout/hierarchy5"/>
    <dgm:cxn modelId="{52D93334-8266-4897-B440-B52969EE4EA9}" type="presParOf" srcId="{ADC4548E-5F14-46A0-A7D1-539DE1922EB6}" destId="{1547D3E8-57E4-4D15-8D3E-673744267CBC}" srcOrd="4" destOrd="0" presId="urn:microsoft.com/office/officeart/2005/8/layout/hierarchy5"/>
    <dgm:cxn modelId="{10C78453-B94B-4C6D-9EA6-4B96B55730B9}" type="presParOf" srcId="{1547D3E8-57E4-4D15-8D3E-673744267CBC}" destId="{32985D14-DCBD-4DC0-AA67-2FD237F3885C}" srcOrd="0" destOrd="0" presId="urn:microsoft.com/office/officeart/2005/8/layout/hierarchy5"/>
    <dgm:cxn modelId="{884AAA4E-78A7-4D13-AEDA-D62AF8EB443E}" type="presParOf" srcId="{ADC4548E-5F14-46A0-A7D1-539DE1922EB6}" destId="{9B4ADEC3-0B79-4935-8064-C699B2DF35BC}" srcOrd="5" destOrd="0" presId="urn:microsoft.com/office/officeart/2005/8/layout/hierarchy5"/>
    <dgm:cxn modelId="{4252933C-BBC0-420C-8292-084CB078EB8F}" type="presParOf" srcId="{9B4ADEC3-0B79-4935-8064-C699B2DF35BC}" destId="{42DFE077-8C53-406B-A044-30A2D28C4DD5}" srcOrd="0" destOrd="0" presId="urn:microsoft.com/office/officeart/2005/8/layout/hierarchy5"/>
    <dgm:cxn modelId="{6CEF3DFF-64E7-4614-9506-17A25F5492C9}" type="presParOf" srcId="{9B4ADEC3-0B79-4935-8064-C699B2DF35BC}" destId="{C8C66A23-1D88-48D4-9EDB-87C2A684B772}" srcOrd="1" destOrd="0" presId="urn:microsoft.com/office/officeart/2005/8/layout/hierarchy5"/>
    <dgm:cxn modelId="{2DCC76A0-32B8-4B3B-A25F-974AA4B66DC5}" type="presParOf" srcId="{ADC4548E-5F14-46A0-A7D1-539DE1922EB6}" destId="{1E5BAAB5-F0BA-45D7-BAE2-B97E5AF77332}" srcOrd="6" destOrd="0" presId="urn:microsoft.com/office/officeart/2005/8/layout/hierarchy5"/>
    <dgm:cxn modelId="{E1D57E68-1842-49A7-B84E-393E7C20764B}" type="presParOf" srcId="{1E5BAAB5-F0BA-45D7-BAE2-B97E5AF77332}" destId="{F5C8BB05-FA78-4277-8D48-F81BB09DECF3}" srcOrd="0" destOrd="0" presId="urn:microsoft.com/office/officeart/2005/8/layout/hierarchy5"/>
    <dgm:cxn modelId="{B5BBFCD6-F026-40B8-82AC-27EBC084654A}" type="presParOf" srcId="{ADC4548E-5F14-46A0-A7D1-539DE1922EB6}" destId="{0E4285B5-1CAD-407B-BC1C-04ECB646EF45}" srcOrd="7" destOrd="0" presId="urn:microsoft.com/office/officeart/2005/8/layout/hierarchy5"/>
    <dgm:cxn modelId="{3B8DBACC-B144-4C93-AC61-AC8329D2C741}" type="presParOf" srcId="{0E4285B5-1CAD-407B-BC1C-04ECB646EF45}" destId="{97781AA5-F761-4F02-98E2-7DABEE4FF5DB}" srcOrd="0" destOrd="0" presId="urn:microsoft.com/office/officeart/2005/8/layout/hierarchy5"/>
    <dgm:cxn modelId="{8C1EFF23-F88E-4A9C-A094-E943DB602D53}" type="presParOf" srcId="{0E4285B5-1CAD-407B-BC1C-04ECB646EF45}" destId="{BCCD595B-17F9-4B8E-B554-6CB6B660A8D3}" srcOrd="1" destOrd="0" presId="urn:microsoft.com/office/officeart/2005/8/layout/hierarchy5"/>
    <dgm:cxn modelId="{4568A3BC-0D98-485C-9530-A47B626629CF}" type="presParOf" srcId="{8F35B586-A456-4912-BE25-A9A49BD16674}" destId="{B03A670F-81C0-4628-AA37-A0CCE5C77C6F}" srcOrd="2" destOrd="0" presId="urn:microsoft.com/office/officeart/2005/8/layout/hierarchy5"/>
    <dgm:cxn modelId="{10DE270C-766D-4F3A-A5B4-CF3F4869C224}" type="presParOf" srcId="{B03A670F-81C0-4628-AA37-A0CCE5C77C6F}" destId="{08E3355A-6221-459A-B705-5887A98C4B84}" srcOrd="0" destOrd="0" presId="urn:microsoft.com/office/officeart/2005/8/layout/hierarchy5"/>
    <dgm:cxn modelId="{73D53FFF-D073-4FDB-BEB6-DA63799C6E01}" type="presParOf" srcId="{8F35B586-A456-4912-BE25-A9A49BD16674}" destId="{A085852F-757B-496A-94A1-A28C3F0C0D53}" srcOrd="3" destOrd="0" presId="urn:microsoft.com/office/officeart/2005/8/layout/hierarchy5"/>
    <dgm:cxn modelId="{0F9F798A-B748-42EF-B486-1E5A10CFBB1E}" type="presParOf" srcId="{A085852F-757B-496A-94A1-A28C3F0C0D53}" destId="{42E9CF01-853F-4DE6-BECE-1D9A96F3BDF0}" srcOrd="0" destOrd="0" presId="urn:microsoft.com/office/officeart/2005/8/layout/hierarchy5"/>
    <dgm:cxn modelId="{F3CE1345-4444-4A58-BB67-62EB04577334}" type="presParOf" srcId="{A085852F-757B-496A-94A1-A28C3F0C0D53}" destId="{47494AAF-B39C-48EB-8DDA-97A00DADAACF}" srcOrd="1" destOrd="0" presId="urn:microsoft.com/office/officeart/2005/8/layout/hierarchy5"/>
    <dgm:cxn modelId="{67FF2174-9E23-4DF8-8A20-5625DF2EEF77}" type="presParOf" srcId="{8F35B586-A456-4912-BE25-A9A49BD16674}" destId="{4E57492A-3F1A-4AF0-83F8-1EE8F6AAE59D}" srcOrd="4" destOrd="0" presId="urn:microsoft.com/office/officeart/2005/8/layout/hierarchy5"/>
    <dgm:cxn modelId="{7DED2D36-4F9F-4322-8C0C-D30D696D93EB}" type="presParOf" srcId="{4E57492A-3F1A-4AF0-83F8-1EE8F6AAE59D}" destId="{0BA19A5A-59F0-4BC2-8726-63590AF51C4A}" srcOrd="0" destOrd="0" presId="urn:microsoft.com/office/officeart/2005/8/layout/hierarchy5"/>
    <dgm:cxn modelId="{A5546E56-7A0F-49F7-866F-879A9BEA0B95}" type="presParOf" srcId="{8F35B586-A456-4912-BE25-A9A49BD16674}" destId="{5D8E88A1-CD84-4BBD-827B-78F3EC3697F8}" srcOrd="5" destOrd="0" presId="urn:microsoft.com/office/officeart/2005/8/layout/hierarchy5"/>
    <dgm:cxn modelId="{5A6B999B-0D5C-4EB4-9E05-518044940D8A}" type="presParOf" srcId="{5D8E88A1-CD84-4BBD-827B-78F3EC3697F8}" destId="{B7586874-76C8-4414-8CBE-1676677C4F18}" srcOrd="0" destOrd="0" presId="urn:microsoft.com/office/officeart/2005/8/layout/hierarchy5"/>
    <dgm:cxn modelId="{251EF961-B621-4FD9-BF37-419120DC62C9}" type="presParOf" srcId="{5D8E88A1-CD84-4BBD-827B-78F3EC3697F8}" destId="{7CE21D24-15E8-42F5-81BD-672C8D1C1D53}" srcOrd="1" destOrd="0" presId="urn:microsoft.com/office/officeart/2005/8/layout/hierarchy5"/>
    <dgm:cxn modelId="{B4A2BADB-F752-4C6A-A0A2-0D858E51A014}" type="presParOf" srcId="{7CE21D24-15E8-42F5-81BD-672C8D1C1D53}" destId="{41808FF7-3CAD-4DC9-992B-5307FCED3D5E}" srcOrd="0" destOrd="0" presId="urn:microsoft.com/office/officeart/2005/8/layout/hierarchy5"/>
    <dgm:cxn modelId="{3209F752-5838-48F6-B246-24F86354A31E}" type="presParOf" srcId="{41808FF7-3CAD-4DC9-992B-5307FCED3D5E}" destId="{4CCCA92F-8642-4BB9-907E-EFCDFCED3C29}" srcOrd="0" destOrd="0" presId="urn:microsoft.com/office/officeart/2005/8/layout/hierarchy5"/>
    <dgm:cxn modelId="{A1E510C0-7C13-4F67-A2CA-B04299BF956B}" type="presParOf" srcId="{7CE21D24-15E8-42F5-81BD-672C8D1C1D53}" destId="{FB2B1E6A-CAFE-43E7-8C8F-3D69EAFFEF99}" srcOrd="1" destOrd="0" presId="urn:microsoft.com/office/officeart/2005/8/layout/hierarchy5"/>
    <dgm:cxn modelId="{791831AA-150C-4737-8896-76E07DFFC6E6}" type="presParOf" srcId="{FB2B1E6A-CAFE-43E7-8C8F-3D69EAFFEF99}" destId="{AAFCEE76-E13B-446D-ACDD-6A39E0608D99}" srcOrd="0" destOrd="0" presId="urn:microsoft.com/office/officeart/2005/8/layout/hierarchy5"/>
    <dgm:cxn modelId="{475169D1-636B-43E4-AF58-C10468DEBEF7}" type="presParOf" srcId="{FB2B1E6A-CAFE-43E7-8C8F-3D69EAFFEF99}" destId="{4647B474-73A3-4733-B32F-DDF86B55312F}" srcOrd="1" destOrd="0" presId="urn:microsoft.com/office/officeart/2005/8/layout/hierarchy5"/>
    <dgm:cxn modelId="{30682A1B-1578-473B-97C4-CAB63D53208A}" type="presParOf" srcId="{7CE21D24-15E8-42F5-81BD-672C8D1C1D53}" destId="{66C02DBE-07E9-4505-A94A-4862029FB8E1}" srcOrd="2" destOrd="0" presId="urn:microsoft.com/office/officeart/2005/8/layout/hierarchy5"/>
    <dgm:cxn modelId="{1D7A7F96-EBA1-4131-AFA2-7CAC7536BFD7}" type="presParOf" srcId="{66C02DBE-07E9-4505-A94A-4862029FB8E1}" destId="{A7220826-DAAD-486B-B513-D33241294BED}" srcOrd="0" destOrd="0" presId="urn:microsoft.com/office/officeart/2005/8/layout/hierarchy5"/>
    <dgm:cxn modelId="{708AEF49-7E8E-4030-A35F-1C5C215681B3}" type="presParOf" srcId="{7CE21D24-15E8-42F5-81BD-672C8D1C1D53}" destId="{65DA891F-7FDF-45C8-A758-5F34932DFA01}" srcOrd="3" destOrd="0" presId="urn:microsoft.com/office/officeart/2005/8/layout/hierarchy5"/>
    <dgm:cxn modelId="{D20A1426-9DBC-44A0-88C0-BDCEDEE65A61}" type="presParOf" srcId="{65DA891F-7FDF-45C8-A758-5F34932DFA01}" destId="{DCE5FD2E-3E7D-4730-B01A-FA1EE46D43F9}" srcOrd="0" destOrd="0" presId="urn:microsoft.com/office/officeart/2005/8/layout/hierarchy5"/>
    <dgm:cxn modelId="{FF4AF58C-7659-4E3D-A4B1-76FD111819A3}" type="presParOf" srcId="{65DA891F-7FDF-45C8-A758-5F34932DFA01}" destId="{45C27DDC-A2A9-4F6B-9529-BB0C2BDB61C4}" srcOrd="1" destOrd="0" presId="urn:microsoft.com/office/officeart/2005/8/layout/hierarchy5"/>
    <dgm:cxn modelId="{BB4FE5E3-6FB5-4640-9BD8-A05B6A89E644}" type="presParOf" srcId="{7CE21D24-15E8-42F5-81BD-672C8D1C1D53}" destId="{2BA7EFB4-5BD2-452B-A431-97ABA0282750}" srcOrd="4" destOrd="0" presId="urn:microsoft.com/office/officeart/2005/8/layout/hierarchy5"/>
    <dgm:cxn modelId="{0AC182FE-DD50-4576-A0CA-4C82F7577CF5}" type="presParOf" srcId="{2BA7EFB4-5BD2-452B-A431-97ABA0282750}" destId="{52E024DB-4B56-40B1-9BA6-1843FED57CBC}" srcOrd="0" destOrd="0" presId="urn:microsoft.com/office/officeart/2005/8/layout/hierarchy5"/>
    <dgm:cxn modelId="{8E17850F-8A73-4159-81F5-4D5924436556}" type="presParOf" srcId="{7CE21D24-15E8-42F5-81BD-672C8D1C1D53}" destId="{8F38B7C2-DE9E-4917-AE79-8E89EE86DFC6}" srcOrd="5" destOrd="0" presId="urn:microsoft.com/office/officeart/2005/8/layout/hierarchy5"/>
    <dgm:cxn modelId="{0F8CFFE5-EA8D-4C1F-B5F3-400E92C0B23C}" type="presParOf" srcId="{8F38B7C2-DE9E-4917-AE79-8E89EE86DFC6}" destId="{FD51A31E-79DD-42DD-BC46-767871DD8CD0}" srcOrd="0" destOrd="0" presId="urn:microsoft.com/office/officeart/2005/8/layout/hierarchy5"/>
    <dgm:cxn modelId="{C0445F1C-0802-43B4-8895-6A792A9AA161}" type="presParOf" srcId="{8F38B7C2-DE9E-4917-AE79-8E89EE86DFC6}" destId="{7CEEA7E3-8B03-46B7-AC1B-D202C68638AE}" srcOrd="1" destOrd="0" presId="urn:microsoft.com/office/officeart/2005/8/layout/hierarchy5"/>
    <dgm:cxn modelId="{1A61AFEB-857D-4E15-B40B-18706BB74ACE}" type="presParOf" srcId="{DD15816B-5A97-4463-B44A-456F68E17229}" destId="{76CAB9F3-424D-4C48-8078-30A77F2E50C0}" srcOrd="1" destOrd="0" presId="urn:microsoft.com/office/officeart/2005/8/layout/hierarchy5"/>
    <dgm:cxn modelId="{4FF6BECC-781B-487A-9483-F309FB3B1287}" type="presParOf" srcId="{76CAB9F3-424D-4C48-8078-30A77F2E50C0}" destId="{A8B72EC7-AD20-4631-859D-C38ABB2FEDE3}" srcOrd="0" destOrd="0" presId="urn:microsoft.com/office/officeart/2005/8/layout/hierarchy5"/>
    <dgm:cxn modelId="{C3F5AEA4-BA13-4894-B3E8-C44166082434}" type="presParOf" srcId="{A8B72EC7-AD20-4631-859D-C38ABB2FEDE3}" destId="{0DD267EE-5B7D-4A3D-B043-BBCB874DAAE1}" srcOrd="0" destOrd="0" presId="urn:microsoft.com/office/officeart/2005/8/layout/hierarchy5"/>
    <dgm:cxn modelId="{C2F33588-F623-4B35-9ACC-DEB8D7D70F9B}" type="presParOf" srcId="{A8B72EC7-AD20-4631-859D-C38ABB2FEDE3}" destId="{03E19803-6D48-40ED-9304-15FC108895F2}" srcOrd="1" destOrd="0" presId="urn:microsoft.com/office/officeart/2005/8/layout/hierarchy5"/>
    <dgm:cxn modelId="{BDD0ADAA-B8F2-44D0-8112-5A6EBA955A2A}" type="presParOf" srcId="{76CAB9F3-424D-4C48-8078-30A77F2E50C0}" destId="{A0A269DB-8CF3-476A-8340-94A41C377CFC}" srcOrd="1" destOrd="0" presId="urn:microsoft.com/office/officeart/2005/8/layout/hierarchy5"/>
    <dgm:cxn modelId="{67394942-71FC-4B45-853A-F9A4E710C239}" type="presParOf" srcId="{A0A269DB-8CF3-476A-8340-94A41C377CFC}" destId="{F2E1FEF9-0B7D-4951-A15A-6BF6594A9157}" srcOrd="0" destOrd="0" presId="urn:microsoft.com/office/officeart/2005/8/layout/hierarchy5"/>
    <dgm:cxn modelId="{C129B272-0954-41BE-9998-ECB9B3BFFAC7}" type="presParOf" srcId="{76CAB9F3-424D-4C48-8078-30A77F2E50C0}" destId="{3706B5BD-E09E-4D0B-9ACC-9EE997E83698}" srcOrd="2" destOrd="0" presId="urn:microsoft.com/office/officeart/2005/8/layout/hierarchy5"/>
    <dgm:cxn modelId="{FE43EA3D-8D91-4D0C-BA49-0388F98E4C49}" type="presParOf" srcId="{3706B5BD-E09E-4D0B-9ACC-9EE997E83698}" destId="{D443A850-84C3-42D6-A285-77044588663D}" srcOrd="0" destOrd="0" presId="urn:microsoft.com/office/officeart/2005/8/layout/hierarchy5"/>
    <dgm:cxn modelId="{71899DEF-03DE-473C-8B0D-D7C527116927}" type="presParOf" srcId="{3706B5BD-E09E-4D0B-9ACC-9EE997E83698}" destId="{3BC0C682-49AF-4444-935B-C31FD7B7E03D}" srcOrd="1" destOrd="0" presId="urn:microsoft.com/office/officeart/2005/8/layout/hierarchy5"/>
    <dgm:cxn modelId="{5747F979-0D87-4836-ACDB-829A7FA5C4CE}" type="presParOf" srcId="{76CAB9F3-424D-4C48-8078-30A77F2E50C0}" destId="{DA0B0916-780D-495B-9D1F-E51BBA82EE21}" srcOrd="3" destOrd="0" presId="urn:microsoft.com/office/officeart/2005/8/layout/hierarchy5"/>
    <dgm:cxn modelId="{E9DE1431-8A31-4039-8041-7E4BE86C0D1F}" type="presParOf" srcId="{DA0B0916-780D-495B-9D1F-E51BBA82EE21}" destId="{C5F545E5-2E3C-455E-BA2E-73E30D8D2983}" srcOrd="0" destOrd="0" presId="urn:microsoft.com/office/officeart/2005/8/layout/hierarchy5"/>
    <dgm:cxn modelId="{C5D32A7F-B71A-4D97-A7E2-560CB9F328FD}" type="presParOf" srcId="{76CAB9F3-424D-4C48-8078-30A77F2E50C0}" destId="{80297A8E-C315-4AD0-854B-C0DDA8E69F41}" srcOrd="4" destOrd="0" presId="urn:microsoft.com/office/officeart/2005/8/layout/hierarchy5"/>
    <dgm:cxn modelId="{0822F789-3514-4627-B36D-192077570DB0}" type="presParOf" srcId="{80297A8E-C315-4AD0-854B-C0DDA8E69F41}" destId="{A41E6833-938D-4779-A65A-8045F3E4418F}" srcOrd="0" destOrd="0" presId="urn:microsoft.com/office/officeart/2005/8/layout/hierarchy5"/>
    <dgm:cxn modelId="{915D62B0-1D4F-450C-B298-1FA8A312EF9E}" type="presParOf" srcId="{80297A8E-C315-4AD0-854B-C0DDA8E69F41}" destId="{BD79B523-34AB-48F8-A91C-B8DA7B6FF4C4}" srcOrd="1" destOrd="0" presId="urn:microsoft.com/office/officeart/2005/8/layout/hierarchy5"/>
    <dgm:cxn modelId="{AAFF18CF-1670-4941-9295-6F4010718841}" type="presParOf" srcId="{76CAB9F3-424D-4C48-8078-30A77F2E50C0}" destId="{168A74BA-CE40-457B-B4CF-30C2025CAC44}" srcOrd="5" destOrd="0" presId="urn:microsoft.com/office/officeart/2005/8/layout/hierarchy5"/>
    <dgm:cxn modelId="{F59D9D52-E345-4378-B082-1D834F843D19}" type="presParOf" srcId="{168A74BA-CE40-457B-B4CF-30C2025CAC44}" destId="{4B5C13A6-261F-430B-A82E-B342A0B17519}" srcOrd="0" destOrd="0" presId="urn:microsoft.com/office/officeart/2005/8/layout/hierarchy5"/>
    <dgm:cxn modelId="{92319307-D560-4704-AE61-1308408988E5}" type="presParOf" srcId="{76CAB9F3-424D-4C48-8078-30A77F2E50C0}" destId="{3455E638-74ED-47F5-9584-EBED34001872}" srcOrd="6" destOrd="0" presId="urn:microsoft.com/office/officeart/2005/8/layout/hierarchy5"/>
    <dgm:cxn modelId="{A141ACFD-9591-4723-9545-8A9BC90A65AA}" type="presParOf" srcId="{3455E638-74ED-47F5-9584-EBED34001872}" destId="{68E4FB85-AA7A-4203-BCDA-5A036A8A75AB}" srcOrd="0" destOrd="0" presId="urn:microsoft.com/office/officeart/2005/8/layout/hierarchy5"/>
    <dgm:cxn modelId="{9BFCB567-9769-490A-913D-08E8EA10BE50}" type="presParOf" srcId="{3455E638-74ED-47F5-9584-EBED34001872}" destId="{E7906961-795F-4052-8A3B-F308D7FEA4C7}" srcOrd="1" destOrd="0" presId="urn:microsoft.com/office/officeart/2005/8/layout/hierarchy5"/>
  </dgm:cxnLst>
  <dgm:bg/>
  <dgm:whole>
    <a:ln w="6350">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EF4D42-B5DF-443E-AB17-4EC33A3CB578}" type="doc">
      <dgm:prSet loTypeId="urn:microsoft.com/office/officeart/2005/8/layout/hierarchy5" loCatId="hierarchy" qsTypeId="urn:microsoft.com/office/officeart/2005/8/quickstyle/simple1" qsCatId="simple" csTypeId="urn:microsoft.com/office/officeart/2005/8/colors/colorful3" csCatId="colorful" phldr="1"/>
      <dgm:spPr/>
      <dgm:t>
        <a:bodyPr/>
        <a:lstStyle/>
        <a:p>
          <a:endParaRPr lang="pt-BR"/>
        </a:p>
      </dgm:t>
    </dgm:pt>
    <dgm:pt modelId="{DD419725-77A1-4E29-841E-20268ABA3D72}">
      <dgm:prSet phldrT="[Texto]" custT="1">
        <dgm:style>
          <a:lnRef idx="2">
            <a:schemeClr val="accent2"/>
          </a:lnRef>
          <a:fillRef idx="1">
            <a:schemeClr val="lt1"/>
          </a:fillRef>
          <a:effectRef idx="0">
            <a:schemeClr val="accent2"/>
          </a:effectRef>
          <a:fontRef idx="minor">
            <a:schemeClr val="dk1"/>
          </a:fontRef>
        </dgm:style>
      </dgm:prSet>
      <dgm:spPr>
        <a:xfrm>
          <a:off x="52073" y="2545312"/>
          <a:ext cx="1006854" cy="202052"/>
        </a:xfrm>
        <a:prstGeom prst="roundRect">
          <a:avLst>
            <a:gd name="adj" fmla="val 10000"/>
          </a:avLst>
        </a:prstGeom>
        <a:solidFill>
          <a:sysClr val="window" lastClr="FFFFFF"/>
        </a:solidFill>
        <a:ln w="12700" cap="flat" cmpd="sng" algn="ctr">
          <a:solidFill>
            <a:srgbClr val="ED7D31"/>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Paisagem cultural</a:t>
          </a:r>
        </a:p>
      </dgm:t>
    </dgm:pt>
    <dgm:pt modelId="{93C7B946-9E66-47ED-971C-0DF1E7A9300F}" type="parTrans" cxnId="{0C69B271-78F3-469E-A5A6-ED51F23AD437}">
      <dgm:prSet/>
      <dgm:spPr/>
      <dgm:t>
        <a:bodyPr/>
        <a:lstStyle/>
        <a:p>
          <a:pPr algn="ctr"/>
          <a:endParaRPr lang="pt-BR" sz="1600">
            <a:latin typeface="+mn-lt"/>
          </a:endParaRPr>
        </a:p>
      </dgm:t>
    </dgm:pt>
    <dgm:pt modelId="{FA0310BA-0967-481A-BED3-854BF11747C8}" type="sibTrans" cxnId="{0C69B271-78F3-469E-A5A6-ED51F23AD437}">
      <dgm:prSet/>
      <dgm:spPr/>
      <dgm:t>
        <a:bodyPr/>
        <a:lstStyle/>
        <a:p>
          <a:pPr algn="ctr"/>
          <a:endParaRPr lang="pt-BR" sz="1600">
            <a:latin typeface="+mn-lt"/>
          </a:endParaRPr>
        </a:p>
      </dgm:t>
    </dgm:pt>
    <dgm:pt modelId="{A64BBCD1-5EB7-4B12-A25E-8BB89179762E}">
      <dgm:prSet phldrT="[Texto]" custT="1">
        <dgm:style>
          <a:lnRef idx="2">
            <a:schemeClr val="accent4"/>
          </a:lnRef>
          <a:fillRef idx="1">
            <a:schemeClr val="lt1"/>
          </a:fillRef>
          <a:effectRef idx="0">
            <a:schemeClr val="accent4"/>
          </a:effectRef>
          <a:fontRef idx="minor">
            <a:schemeClr val="dk1"/>
          </a:fontRef>
        </dgm:style>
      </dgm:prSet>
      <dgm:spPr>
        <a:xfrm>
          <a:off x="1278063" y="1121573"/>
          <a:ext cx="989640" cy="202052"/>
        </a:xfrm>
        <a:prstGeom prst="roundRect">
          <a:avLst>
            <a:gd name="adj" fmla="val 10000"/>
          </a:avLst>
        </a:prstGeom>
        <a:solidFill>
          <a:sysClr val="window" lastClr="FFFFFF"/>
        </a:solidFill>
        <a:ln w="12700" cap="flat" cmpd="sng" algn="ctr">
          <a:solidFill>
            <a:srgbClr val="FFC000"/>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Áreas urbanizadas</a:t>
          </a:r>
        </a:p>
      </dgm:t>
    </dgm:pt>
    <dgm:pt modelId="{0B05EF5F-38FE-43AC-B9F2-90C2AB768183}" type="parTrans" cxnId="{5AEBFEC6-81EC-4F2D-AA96-C17EE177E948}">
      <dgm:prSet custT="1"/>
      <dgm:spPr>
        <a:xfrm rot="16725003">
          <a:off x="448243" y="1932332"/>
          <a:ext cx="1440504" cy="4273"/>
        </a:xfrm>
        <a:custGeom>
          <a:avLst/>
          <a:gdLst/>
          <a:ahLst/>
          <a:cxnLst/>
          <a:rect l="0" t="0" r="0" b="0"/>
          <a:pathLst>
            <a:path>
              <a:moveTo>
                <a:pt x="0" y="2136"/>
              </a:moveTo>
              <a:lnTo>
                <a:pt x="1440504" y="2136"/>
              </a:lnTo>
            </a:path>
          </a:pathLst>
        </a:custGeom>
        <a:noFill/>
        <a:ln w="12700" cap="flat" cmpd="sng" algn="ctr">
          <a:solidFill>
            <a:srgbClr val="FFC000">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BF63482B-94DE-438F-97BE-C4214CAA0389}" type="sibTrans" cxnId="{5AEBFEC6-81EC-4F2D-AA96-C17EE177E948}">
      <dgm:prSet/>
      <dgm:spPr/>
      <dgm:t>
        <a:bodyPr/>
        <a:lstStyle/>
        <a:p>
          <a:pPr algn="ctr"/>
          <a:endParaRPr lang="pt-BR" sz="1600">
            <a:latin typeface="+mn-lt"/>
          </a:endParaRPr>
        </a:p>
      </dgm:t>
    </dgm:pt>
    <dgm:pt modelId="{B42736FD-D8DF-4DBE-AF40-A0BB477C26F7}">
      <dgm:prSet phldrT="[Texto]" custT="1">
        <dgm:style>
          <a:lnRef idx="2">
            <a:schemeClr val="accent5"/>
          </a:lnRef>
          <a:fillRef idx="1">
            <a:schemeClr val="lt1"/>
          </a:fillRef>
          <a:effectRef idx="0">
            <a:schemeClr val="accent5"/>
          </a:effectRef>
          <a:fontRef idx="minor">
            <a:schemeClr val="dk1"/>
          </a:fontRef>
        </dgm:style>
      </dgm:prSet>
      <dgm:spPr>
        <a:xfrm>
          <a:off x="2447793" y="866549"/>
          <a:ext cx="1034674" cy="202052"/>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Cidades</a:t>
          </a:r>
        </a:p>
      </dgm:t>
    </dgm:pt>
    <dgm:pt modelId="{6F531495-2E7A-4B8E-9639-557919AD3528}" type="parTrans" cxnId="{AD6E58AE-C0D7-49CE-9DAA-005B0F154151}">
      <dgm:prSet custT="1"/>
      <dgm:spPr>
        <a:xfrm rot="18313716">
          <a:off x="2201647" y="1092950"/>
          <a:ext cx="312201" cy="4273"/>
        </a:xfrm>
        <a:custGeom>
          <a:avLst/>
          <a:gdLst/>
          <a:ahLst/>
          <a:cxnLst/>
          <a:rect l="0" t="0" r="0" b="0"/>
          <a:pathLst>
            <a:path>
              <a:moveTo>
                <a:pt x="0" y="2136"/>
              </a:moveTo>
              <a:lnTo>
                <a:pt x="312201" y="2136"/>
              </a:lnTo>
            </a:path>
          </a:pathLst>
        </a:custGeom>
        <a:noFill/>
        <a:ln w="12700" cap="flat" cmpd="sng" algn="ctr">
          <a:solidFill>
            <a:srgbClr val="5B9BD5">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1C9F7C06-F9B8-4469-ABD8-222FBB7D039B}" type="sibTrans" cxnId="{AD6E58AE-C0D7-49CE-9DAA-005B0F154151}">
      <dgm:prSet/>
      <dgm:spPr/>
      <dgm:t>
        <a:bodyPr/>
        <a:lstStyle/>
        <a:p>
          <a:pPr algn="ctr"/>
          <a:endParaRPr lang="pt-BR" sz="1600">
            <a:latin typeface="+mn-lt"/>
          </a:endParaRPr>
        </a:p>
      </dgm:t>
    </dgm:pt>
    <dgm:pt modelId="{D151895C-28AD-4551-9ADB-7E77A01C13E3}">
      <dgm:prSet phldrT="[Texto]" custT="1">
        <dgm:style>
          <a:lnRef idx="2">
            <a:schemeClr val="accent5"/>
          </a:lnRef>
          <a:fillRef idx="1">
            <a:schemeClr val="lt1"/>
          </a:fillRef>
          <a:effectRef idx="0">
            <a:schemeClr val="accent5"/>
          </a:effectRef>
          <a:fontRef idx="minor">
            <a:schemeClr val="dk1"/>
          </a:fontRef>
        </dgm:style>
      </dgm:prSet>
      <dgm:spPr>
        <a:xfrm>
          <a:off x="2460290" y="1119782"/>
          <a:ext cx="1023706" cy="202052"/>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lgn="ctr">
            <a:buNone/>
          </a:pPr>
          <a:r>
            <a:rPr lang="pt-BR" sz="800">
              <a:solidFill>
                <a:sysClr val="windowText" lastClr="000000"/>
              </a:solidFill>
              <a:latin typeface="Calibri" panose="020F0502020204030204"/>
              <a:ea typeface="+mn-ea"/>
              <a:cs typeface="Times New Roman" panose="02020603050405020304" pitchFamily="18" charset="0"/>
            </a:rPr>
            <a:t>Vilas</a:t>
          </a:r>
        </a:p>
      </dgm:t>
    </dgm:pt>
    <dgm:pt modelId="{0D077E02-D908-482E-900B-E1BD652956F3}" type="parTrans" cxnId="{0E0AB2B1-5E42-48F9-8F6E-14291F7299D6}">
      <dgm:prSet custT="1"/>
      <dgm:spPr>
        <a:xfrm rot="21568029">
          <a:off x="2267699" y="1219567"/>
          <a:ext cx="192595" cy="4273"/>
        </a:xfrm>
        <a:custGeom>
          <a:avLst/>
          <a:gdLst/>
          <a:ahLst/>
          <a:cxnLst/>
          <a:rect l="0" t="0" r="0" b="0"/>
          <a:pathLst>
            <a:path>
              <a:moveTo>
                <a:pt x="0" y="2136"/>
              </a:moveTo>
              <a:lnTo>
                <a:pt x="192595" y="2136"/>
              </a:lnTo>
            </a:path>
          </a:pathLst>
        </a:custGeom>
        <a:noFill/>
        <a:ln w="12700" cap="flat" cmpd="sng" algn="ctr">
          <a:solidFill>
            <a:srgbClr val="5B9BD5">
              <a:hueOff val="0"/>
              <a:satOff val="0"/>
              <a:lumOff val="0"/>
              <a:alphaOff val="0"/>
            </a:srgbClr>
          </a:solidFill>
          <a:prstDash val="solid"/>
          <a:miter lim="800000"/>
        </a:ln>
        <a:effectLst/>
      </dgm:spPr>
      <dgm:t>
        <a:bodyPr/>
        <a:lstStyle/>
        <a:p>
          <a:pPr algn="ctr">
            <a:buNone/>
          </a:pPr>
          <a:endParaRPr lang="pt-BR" sz="400">
            <a:solidFill>
              <a:sysClr val="windowText" lastClr="000000">
                <a:hueOff val="0"/>
                <a:satOff val="0"/>
                <a:lumOff val="0"/>
                <a:alphaOff val="0"/>
              </a:sysClr>
            </a:solidFill>
            <a:latin typeface="Calibri" panose="020F0502020204030204"/>
            <a:ea typeface="+mn-ea"/>
            <a:cs typeface="+mn-cs"/>
          </a:endParaRPr>
        </a:p>
      </dgm:t>
    </dgm:pt>
    <dgm:pt modelId="{FA61579C-6D58-46DF-9ECE-8D69A1AFF7E1}" type="sibTrans" cxnId="{0E0AB2B1-5E42-48F9-8F6E-14291F7299D6}">
      <dgm:prSet/>
      <dgm:spPr/>
      <dgm:t>
        <a:bodyPr/>
        <a:lstStyle/>
        <a:p>
          <a:pPr algn="ctr"/>
          <a:endParaRPr lang="pt-BR" sz="1600">
            <a:latin typeface="+mn-lt"/>
          </a:endParaRPr>
        </a:p>
      </dgm:t>
    </dgm:pt>
    <dgm:pt modelId="{64DBB8EE-7A9B-4D71-9EC0-4435822AC991}">
      <dgm:prSet phldrT="[Texto]" custT="1"/>
      <dgm:spPr>
        <a:xfrm>
          <a:off x="0" y="0"/>
          <a:ext cx="1091711" cy="799274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Classe</a:t>
          </a:r>
          <a:endParaRPr lang="pt-BR" sz="600" b="1">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7D5E4B54-9D57-433D-8057-E0BB2D9BFC6E}" type="parTrans" cxnId="{4A06CA3F-1070-4829-8948-B8D6F837441F}">
      <dgm:prSet/>
      <dgm:spPr/>
      <dgm:t>
        <a:bodyPr/>
        <a:lstStyle/>
        <a:p>
          <a:pPr algn="ctr"/>
          <a:endParaRPr lang="pt-BR" sz="1600">
            <a:latin typeface="+mn-lt"/>
          </a:endParaRPr>
        </a:p>
      </dgm:t>
    </dgm:pt>
    <dgm:pt modelId="{E510F4AF-43DF-41DC-B148-0906250EC5AA}" type="sibTrans" cxnId="{4A06CA3F-1070-4829-8948-B8D6F837441F}">
      <dgm:prSet/>
      <dgm:spPr/>
      <dgm:t>
        <a:bodyPr/>
        <a:lstStyle/>
        <a:p>
          <a:pPr algn="ctr"/>
          <a:endParaRPr lang="pt-BR" sz="1600">
            <a:latin typeface="+mn-lt"/>
          </a:endParaRPr>
        </a:p>
      </dgm:t>
    </dgm:pt>
    <dgm:pt modelId="{804578FE-281C-4C08-A8DB-0AF878AE76D4}">
      <dgm:prSet phldrT="[Texto]" custT="1"/>
      <dgm:spPr>
        <a:xfrm>
          <a:off x="1211549" y="40"/>
          <a:ext cx="1105896" cy="799274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a:t>
          </a:r>
          <a:endParaRPr lang="pt-BR" sz="600" b="1">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B04F4D9D-4676-48BE-85C1-DEDCEB51E5CB}" type="parTrans" cxnId="{49453FBB-502A-44CB-93E8-5F41A252B4A3}">
      <dgm:prSet/>
      <dgm:spPr/>
      <dgm:t>
        <a:bodyPr/>
        <a:lstStyle/>
        <a:p>
          <a:pPr algn="ctr"/>
          <a:endParaRPr lang="pt-BR" sz="1600">
            <a:latin typeface="+mn-lt"/>
          </a:endParaRPr>
        </a:p>
      </dgm:t>
    </dgm:pt>
    <dgm:pt modelId="{116C9570-C25A-478E-9B5F-686A3C04E026}" type="sibTrans" cxnId="{49453FBB-502A-44CB-93E8-5F41A252B4A3}">
      <dgm:prSet/>
      <dgm:spPr/>
      <dgm:t>
        <a:bodyPr/>
        <a:lstStyle/>
        <a:p>
          <a:pPr algn="ctr"/>
          <a:endParaRPr lang="pt-BR" sz="1600">
            <a:latin typeface="+mn-lt"/>
          </a:endParaRPr>
        </a:p>
      </dgm:t>
    </dgm:pt>
    <dgm:pt modelId="{EA904DB0-5EB1-46E1-B0F3-3F30EDE2647D}">
      <dgm:prSet phldrT="[Texto]" custT="1"/>
      <dgm:spPr>
        <a:xfrm>
          <a:off x="2396096" y="40"/>
          <a:ext cx="1161614" cy="799274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 subordinada</a:t>
          </a:r>
        </a:p>
      </dgm:t>
    </dgm:pt>
    <dgm:pt modelId="{3731ABAB-B573-4EA0-B023-53078493C76D}" type="parTrans" cxnId="{B1FF605A-2A22-4B64-9633-B580FD321749}">
      <dgm:prSet/>
      <dgm:spPr/>
      <dgm:t>
        <a:bodyPr/>
        <a:lstStyle/>
        <a:p>
          <a:pPr algn="ctr"/>
          <a:endParaRPr lang="pt-BR" sz="1600">
            <a:latin typeface="+mn-lt"/>
          </a:endParaRPr>
        </a:p>
      </dgm:t>
    </dgm:pt>
    <dgm:pt modelId="{152F0DC1-476D-4C2F-8624-C42EDAD86F56}" type="sibTrans" cxnId="{B1FF605A-2A22-4B64-9633-B580FD321749}">
      <dgm:prSet/>
      <dgm:spPr/>
      <dgm:t>
        <a:bodyPr/>
        <a:lstStyle/>
        <a:p>
          <a:pPr algn="ctr"/>
          <a:endParaRPr lang="pt-BR" sz="1600">
            <a:latin typeface="+mn-lt"/>
          </a:endParaRPr>
        </a:p>
      </dgm:t>
    </dgm:pt>
    <dgm:pt modelId="{3E095483-6038-4B5B-AB6C-D33E67029F1E}">
      <dgm:prSet custT="1"/>
      <dgm:spPr>
        <a:xfrm>
          <a:off x="3670980" y="40"/>
          <a:ext cx="1729019" cy="7992740"/>
        </a:xfrm>
        <a:prstGeom prst="roundRect">
          <a:avLst>
            <a:gd name="adj" fmla="val 10000"/>
          </a:avLst>
        </a:prstGeom>
        <a:solidFill>
          <a:sysClr val="window" lastClr="FFFFFF">
            <a:lumMod val="95000"/>
          </a:sysClr>
        </a:solidFill>
        <a:ln>
          <a:noFill/>
        </a:ln>
        <a:effectLst/>
      </dgm:spPr>
      <dgm:t>
        <a:bodyPr tIns="108000" anchor="t" anchorCtr="0"/>
        <a:lstStyle/>
        <a:p>
          <a:pPr algn="ctr">
            <a:buNone/>
          </a:pPr>
          <a:r>
            <a:rPr lang="pt-BR" sz="800" b="1">
              <a:solidFill>
                <a:sysClr val="windowText" lastClr="000000">
                  <a:hueOff val="0"/>
                  <a:satOff val="0"/>
                  <a:lumOff val="0"/>
                  <a:alphaOff val="0"/>
                </a:sysClr>
              </a:solidFill>
              <a:latin typeface="Calibri" panose="020F0502020204030204"/>
              <a:ea typeface="+mn-ea"/>
              <a:cs typeface="Times New Roman" panose="02020603050405020304" pitchFamily="18" charset="0"/>
            </a:rPr>
            <a:t>Subconjuntos</a:t>
          </a:r>
          <a:endParaRPr lang="pt-BR" sz="600" b="1">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4A39D6FC-D996-456D-A071-438E853F2C18}" type="parTrans" cxnId="{2E3FAE7E-FF78-471A-B72F-CF48A01FB551}">
      <dgm:prSet/>
      <dgm:spPr/>
      <dgm:t>
        <a:bodyPr/>
        <a:lstStyle/>
        <a:p>
          <a:pPr algn="ctr"/>
          <a:endParaRPr lang="pt-BR" sz="1600">
            <a:latin typeface="+mn-lt"/>
          </a:endParaRPr>
        </a:p>
      </dgm:t>
    </dgm:pt>
    <dgm:pt modelId="{49C6180C-B290-48E0-B19E-A9C4BA2269C4}" type="sibTrans" cxnId="{2E3FAE7E-FF78-471A-B72F-CF48A01FB551}">
      <dgm:prSet/>
      <dgm:spPr/>
      <dgm:t>
        <a:bodyPr/>
        <a:lstStyle/>
        <a:p>
          <a:pPr algn="ctr"/>
          <a:endParaRPr lang="pt-BR" sz="1600">
            <a:latin typeface="+mn-lt"/>
          </a:endParaRPr>
        </a:p>
      </dgm:t>
    </dgm:pt>
    <dgm:pt modelId="{35E0B479-F29C-49FC-8E1C-E9E206FCBD5C}">
      <dgm:prSet custT="1">
        <dgm:style>
          <a:lnRef idx="2">
            <a:schemeClr val="accent4"/>
          </a:lnRef>
          <a:fillRef idx="1">
            <a:schemeClr val="lt1"/>
          </a:fillRef>
          <a:effectRef idx="0">
            <a:schemeClr val="accent4"/>
          </a:effectRef>
          <a:fontRef idx="minor">
            <a:schemeClr val="dk1"/>
          </a:fontRef>
        </dgm:style>
      </dgm:prSet>
      <dgm:spPr>
        <a:xfrm>
          <a:off x="1278063" y="4067132"/>
          <a:ext cx="988629" cy="192075"/>
        </a:xfrm>
        <a:prstGeom prst="roundRect">
          <a:avLst>
            <a:gd name="adj" fmla="val 10000"/>
          </a:avLst>
        </a:prstGeom>
        <a:solidFill>
          <a:sysClr val="window" lastClr="FFFFFF"/>
        </a:solidFill>
        <a:ln w="12700" cap="flat" cmpd="sng" algn="ctr">
          <a:solidFill>
            <a:srgbClr val="FFC000"/>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Áreas agrícolas</a:t>
          </a:r>
        </a:p>
      </dgm:t>
    </dgm:pt>
    <dgm:pt modelId="{3CE1E480-9160-4CAE-867D-CE24C8425515}" type="parTrans" cxnId="{500B470A-2423-4E66-9959-514088A03141}">
      <dgm:prSet/>
      <dgm:spPr>
        <a:xfrm rot="4906764">
          <a:off x="402205" y="3402617"/>
          <a:ext cx="1532579" cy="4273"/>
        </a:xfrm>
        <a:custGeom>
          <a:avLst/>
          <a:gdLst/>
          <a:ahLst/>
          <a:cxnLst/>
          <a:rect l="0" t="0" r="0" b="0"/>
          <a:pathLst>
            <a:path>
              <a:moveTo>
                <a:pt x="0" y="2136"/>
              </a:moveTo>
              <a:lnTo>
                <a:pt x="1532579" y="2136"/>
              </a:lnTo>
            </a:path>
          </a:pathLst>
        </a:custGeom>
        <a:noFill/>
        <a:ln w="12700" cap="flat" cmpd="sng" algn="ctr">
          <a:solidFill>
            <a:srgbClr val="FFC000">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DC651EAB-91F9-48D0-B546-31538D22DA9C}" type="sibTrans" cxnId="{500B470A-2423-4E66-9959-514088A03141}">
      <dgm:prSet/>
      <dgm:spPr/>
      <dgm:t>
        <a:bodyPr/>
        <a:lstStyle/>
        <a:p>
          <a:endParaRPr lang="pt-BR"/>
        </a:p>
      </dgm:t>
    </dgm:pt>
    <dgm:pt modelId="{9AC227E2-C726-4F92-BA81-D6B44A0C1760}">
      <dgm:prSet custT="1">
        <dgm:style>
          <a:lnRef idx="2">
            <a:schemeClr val="accent5"/>
          </a:lnRef>
          <a:fillRef idx="1">
            <a:schemeClr val="lt1"/>
          </a:fillRef>
          <a:effectRef idx="0">
            <a:schemeClr val="accent5"/>
          </a:effectRef>
          <a:fontRef idx="minor">
            <a:schemeClr val="dk1"/>
          </a:fontRef>
        </dgm:style>
      </dgm:prSet>
      <dgm:spPr>
        <a:xfrm>
          <a:off x="2460290" y="1387593"/>
          <a:ext cx="1023706" cy="257921"/>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Complexos industriais</a:t>
          </a:r>
        </a:p>
      </dgm:t>
    </dgm:pt>
    <dgm:pt modelId="{8BD127F1-1C42-4DF7-A54E-3ED11DD272FE}" type="parTrans" cxnId="{7657DA97-8D4E-4F45-8CC9-ED41BC7E8325}">
      <dgm:prSet/>
      <dgm:spPr>
        <a:xfrm rot="3406133">
          <a:off x="2188284" y="1367440"/>
          <a:ext cx="351424" cy="4273"/>
        </a:xfrm>
        <a:custGeom>
          <a:avLst/>
          <a:gdLst/>
          <a:ahLst/>
          <a:cxnLst/>
          <a:rect l="0" t="0" r="0" b="0"/>
          <a:pathLst>
            <a:path>
              <a:moveTo>
                <a:pt x="0" y="2136"/>
              </a:moveTo>
              <a:lnTo>
                <a:pt x="351424" y="2136"/>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412CC1D3-CC8B-4B77-B940-5E9B85686D80}" type="sibTrans" cxnId="{7657DA97-8D4E-4F45-8CC9-ED41BC7E8325}">
      <dgm:prSet/>
      <dgm:spPr/>
      <dgm:t>
        <a:bodyPr/>
        <a:lstStyle/>
        <a:p>
          <a:endParaRPr lang="pt-BR"/>
        </a:p>
      </dgm:t>
    </dgm:pt>
    <dgm:pt modelId="{20586453-1A9E-444A-98A9-F420DF390444}">
      <dgm:prSet custT="1">
        <dgm:style>
          <a:lnRef idx="2">
            <a:schemeClr val="accent5"/>
          </a:lnRef>
          <a:fillRef idx="1">
            <a:schemeClr val="lt1"/>
          </a:fillRef>
          <a:effectRef idx="0">
            <a:schemeClr val="accent5"/>
          </a:effectRef>
          <a:fontRef idx="minor">
            <a:schemeClr val="dk1"/>
          </a:fontRef>
        </dgm:style>
      </dgm:prSet>
      <dgm:spPr>
        <a:xfrm>
          <a:off x="2459279" y="1831175"/>
          <a:ext cx="1023706" cy="364600"/>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Estabelecimento agropecuário</a:t>
          </a:r>
        </a:p>
      </dgm:t>
    </dgm:pt>
    <dgm:pt modelId="{50FE541B-C784-4D32-B9F9-6F8647C63CE9}" type="parTrans" cxnId="{3ADE5468-0722-4E81-8D98-65639F279A0C}">
      <dgm:prSet/>
      <dgm:spPr>
        <a:xfrm rot="16507161">
          <a:off x="1283834" y="3086186"/>
          <a:ext cx="2158303" cy="4273"/>
        </a:xfrm>
        <a:custGeom>
          <a:avLst/>
          <a:gdLst/>
          <a:ahLst/>
          <a:cxnLst/>
          <a:rect l="0" t="0" r="0" b="0"/>
          <a:pathLst>
            <a:path>
              <a:moveTo>
                <a:pt x="0" y="2136"/>
              </a:moveTo>
              <a:lnTo>
                <a:pt x="2158303" y="2136"/>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4285C24A-F656-4DB1-A5DC-75C1AF2D7F14}" type="sibTrans" cxnId="{3ADE5468-0722-4E81-8D98-65639F279A0C}">
      <dgm:prSet/>
      <dgm:spPr/>
      <dgm:t>
        <a:bodyPr/>
        <a:lstStyle/>
        <a:p>
          <a:endParaRPr lang="pt-BR"/>
        </a:p>
      </dgm:t>
    </dgm:pt>
    <dgm:pt modelId="{C203F73A-822C-4F55-A77B-0F958A674B80}">
      <dgm:prSet custT="1">
        <dgm:style>
          <a:lnRef idx="2">
            <a:schemeClr val="accent5"/>
          </a:lnRef>
          <a:fillRef idx="1">
            <a:schemeClr val="lt1"/>
          </a:fillRef>
          <a:effectRef idx="0">
            <a:schemeClr val="accent5"/>
          </a:effectRef>
          <a:fontRef idx="minor">
            <a:schemeClr val="dk1"/>
          </a:fontRef>
        </dgm:style>
      </dgm:prSet>
      <dgm:spPr>
        <a:xfrm>
          <a:off x="2459279" y="2925512"/>
          <a:ext cx="1023706" cy="192075"/>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Práticas agrícolas</a:t>
          </a:r>
        </a:p>
      </dgm:t>
    </dgm:pt>
    <dgm:pt modelId="{6C5E6E5D-D745-441A-A356-DE5DA49A5D62}" type="parTrans" cxnId="{9F733C97-BCF4-41FB-94AE-562AA81871F1}">
      <dgm:prSet/>
      <dgm:spPr>
        <a:xfrm rot="16774525">
          <a:off x="1784111" y="3590223"/>
          <a:ext cx="1157750" cy="4273"/>
        </a:xfrm>
        <a:custGeom>
          <a:avLst/>
          <a:gdLst/>
          <a:ahLst/>
          <a:cxnLst/>
          <a:rect l="0" t="0" r="0" b="0"/>
          <a:pathLst>
            <a:path>
              <a:moveTo>
                <a:pt x="0" y="2136"/>
              </a:moveTo>
              <a:lnTo>
                <a:pt x="1157750" y="2136"/>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F3692625-1B9D-4F0A-98EC-60D187FB773D}" type="sibTrans" cxnId="{9F733C97-BCF4-41FB-94AE-562AA81871F1}">
      <dgm:prSet/>
      <dgm:spPr/>
      <dgm:t>
        <a:bodyPr/>
        <a:lstStyle/>
        <a:p>
          <a:endParaRPr lang="pt-BR"/>
        </a:p>
      </dgm:t>
    </dgm:pt>
    <dgm:pt modelId="{0A653CCF-5C9F-49DD-8F17-5EDAB9C18699}">
      <dgm:prSet custT="1">
        <dgm:style>
          <a:lnRef idx="2">
            <a:schemeClr val="accent5"/>
          </a:lnRef>
          <a:fillRef idx="1">
            <a:schemeClr val="lt1"/>
          </a:fillRef>
          <a:effectRef idx="0">
            <a:schemeClr val="accent5"/>
          </a:effectRef>
          <a:fontRef idx="minor">
            <a:schemeClr val="dk1"/>
          </a:fontRef>
        </dgm:style>
      </dgm:prSet>
      <dgm:spPr>
        <a:xfrm>
          <a:off x="2459279" y="4019328"/>
          <a:ext cx="1023706" cy="192075"/>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Recursos hídricos</a:t>
          </a:r>
        </a:p>
      </dgm:t>
    </dgm:pt>
    <dgm:pt modelId="{727C861B-94E3-4CC6-931D-8933BBE029C7}" type="parTrans" cxnId="{D6FBA64E-C454-47EE-9121-6076BC1E1F9E}">
      <dgm:prSet/>
      <dgm:spPr>
        <a:xfrm rot="20763580">
          <a:off x="2263770" y="4137131"/>
          <a:ext cx="198431" cy="4273"/>
        </a:xfrm>
        <a:custGeom>
          <a:avLst/>
          <a:gdLst/>
          <a:ahLst/>
          <a:cxnLst/>
          <a:rect l="0" t="0" r="0" b="0"/>
          <a:pathLst>
            <a:path>
              <a:moveTo>
                <a:pt x="0" y="2136"/>
              </a:moveTo>
              <a:lnTo>
                <a:pt x="198431" y="2136"/>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A372481D-9CFF-47D0-AC83-ED3678589DAF}" type="sibTrans" cxnId="{D6FBA64E-C454-47EE-9121-6076BC1E1F9E}">
      <dgm:prSet/>
      <dgm:spPr/>
      <dgm:t>
        <a:bodyPr/>
        <a:lstStyle/>
        <a:p>
          <a:endParaRPr lang="pt-BR"/>
        </a:p>
      </dgm:t>
    </dgm:pt>
    <dgm:pt modelId="{1635C84A-54FE-458F-8602-4BC25578A189}">
      <dgm:prSet custT="1">
        <dgm:style>
          <a:lnRef idx="2">
            <a:schemeClr val="accent5"/>
          </a:lnRef>
          <a:fillRef idx="1">
            <a:schemeClr val="lt1"/>
          </a:fillRef>
          <a:effectRef idx="0">
            <a:schemeClr val="accent5"/>
          </a:effectRef>
          <a:fontRef idx="minor">
            <a:schemeClr val="dk1"/>
          </a:fontRef>
        </dgm:style>
      </dgm:prSet>
      <dgm:spPr>
        <a:xfrm>
          <a:off x="2459279" y="4961540"/>
          <a:ext cx="1023706" cy="192075"/>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Terras irrigadas</a:t>
          </a:r>
        </a:p>
      </dgm:t>
    </dgm:pt>
    <dgm:pt modelId="{983EBBB6-9861-46A9-B41F-DC04EFAE53F7}" type="parTrans" cxnId="{0B66126F-1367-4B6B-A3FB-BB45735FA4F6}">
      <dgm:prSet/>
      <dgm:spPr>
        <a:xfrm rot="4670906">
          <a:off x="1905532" y="4608237"/>
          <a:ext cx="914907" cy="4273"/>
        </a:xfrm>
        <a:custGeom>
          <a:avLst/>
          <a:gdLst/>
          <a:ahLst/>
          <a:cxnLst/>
          <a:rect l="0" t="0" r="0" b="0"/>
          <a:pathLst>
            <a:path>
              <a:moveTo>
                <a:pt x="0" y="2136"/>
              </a:moveTo>
              <a:lnTo>
                <a:pt x="914907" y="2136"/>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A7A9BBF8-4FB1-43EE-A950-20CF374E5E53}" type="sibTrans" cxnId="{0B66126F-1367-4B6B-A3FB-BB45735FA4F6}">
      <dgm:prSet/>
      <dgm:spPr/>
      <dgm:t>
        <a:bodyPr/>
        <a:lstStyle/>
        <a:p>
          <a:endParaRPr lang="pt-BR"/>
        </a:p>
      </dgm:t>
    </dgm:pt>
    <dgm:pt modelId="{0276C585-EC16-43F3-901E-D19289B7A45D}">
      <dgm:prSet custT="1">
        <dgm:style>
          <a:lnRef idx="2">
            <a:schemeClr val="accent5"/>
          </a:lnRef>
          <a:fillRef idx="1">
            <a:schemeClr val="lt1"/>
          </a:fillRef>
          <a:effectRef idx="0">
            <a:schemeClr val="accent5"/>
          </a:effectRef>
          <a:fontRef idx="minor">
            <a:schemeClr val="dk1"/>
          </a:fontRef>
        </dgm:style>
      </dgm:prSet>
      <dgm:spPr>
        <a:xfrm>
          <a:off x="2459279" y="6570493"/>
          <a:ext cx="1023706" cy="192075"/>
        </a:xfrm>
        <a:prstGeom prst="roundRect">
          <a:avLst>
            <a:gd name="adj" fmla="val 10000"/>
          </a:avLst>
        </a:prstGeom>
        <a:solidFill>
          <a:sysClr val="window" lastClr="FFFFFF"/>
        </a:solidFill>
        <a:ln w="12700" cap="flat" cmpd="sng" algn="ctr">
          <a:solidFill>
            <a:srgbClr val="5B9BD5"/>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Utilização das terras</a:t>
          </a:r>
        </a:p>
      </dgm:t>
    </dgm:pt>
    <dgm:pt modelId="{520E8336-CF52-4EF9-BC6F-98AB656387F5}" type="parTrans" cxnId="{D0911C68-D113-42A2-9B0F-5E2C580B7BA9}">
      <dgm:prSet/>
      <dgm:spPr>
        <a:xfrm rot="5136050">
          <a:off x="1107607" y="5412713"/>
          <a:ext cx="2510757" cy="4273"/>
        </a:xfrm>
        <a:custGeom>
          <a:avLst/>
          <a:gdLst/>
          <a:ahLst/>
          <a:cxnLst/>
          <a:rect l="0" t="0" r="0" b="0"/>
          <a:pathLst>
            <a:path>
              <a:moveTo>
                <a:pt x="0" y="2136"/>
              </a:moveTo>
              <a:lnTo>
                <a:pt x="2510757" y="2136"/>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96C0CC6E-7EED-41C9-BB07-1830BE8279EB}" type="sibTrans" cxnId="{D0911C68-D113-42A2-9B0F-5E2C580B7BA9}">
      <dgm:prSet/>
      <dgm:spPr/>
      <dgm:t>
        <a:bodyPr/>
        <a:lstStyle/>
        <a:p>
          <a:endParaRPr lang="pt-BR"/>
        </a:p>
      </dgm:t>
    </dgm:pt>
    <dgm:pt modelId="{DFE62B21-FF1D-4AA8-ACF2-3FAA997F9C3A}">
      <dgm:prSet custT="1">
        <dgm:style>
          <a:lnRef idx="2">
            <a:schemeClr val="accent6"/>
          </a:lnRef>
          <a:fillRef idx="1">
            <a:schemeClr val="lt1"/>
          </a:fillRef>
          <a:effectRef idx="0">
            <a:schemeClr val="accent6"/>
          </a:effectRef>
          <a:fontRef idx="minor">
            <a:schemeClr val="dk1"/>
          </a:fontRef>
        </dgm:style>
      </dgm:prSet>
      <dgm:spPr>
        <a:xfrm>
          <a:off x="3762960" y="1771425"/>
          <a:ext cx="154374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Fazendas</a:t>
          </a:r>
        </a:p>
      </dgm:t>
    </dgm:pt>
    <dgm:pt modelId="{78FF1A9A-40DE-40FD-A789-2D21D0B9ABB6}" type="parTrans" cxnId="{12533E7B-13FD-4347-AA7E-F378D2D7D632}">
      <dgm:prSet/>
      <dgm:spPr>
        <a:xfrm rot="19947420">
          <a:off x="3465093" y="1938332"/>
          <a:ext cx="315760" cy="4273"/>
        </a:xfrm>
        <a:custGeom>
          <a:avLst/>
          <a:gdLst/>
          <a:ahLst/>
          <a:cxnLst/>
          <a:rect l="0" t="0" r="0" b="0"/>
          <a:pathLst>
            <a:path>
              <a:moveTo>
                <a:pt x="0" y="2136"/>
              </a:moveTo>
              <a:lnTo>
                <a:pt x="315760"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6B666916-933F-4A0D-8CED-144CABE3EA76}" type="sibTrans" cxnId="{12533E7B-13FD-4347-AA7E-F378D2D7D632}">
      <dgm:prSet/>
      <dgm:spPr/>
      <dgm:t>
        <a:bodyPr/>
        <a:lstStyle/>
        <a:p>
          <a:endParaRPr lang="pt-BR"/>
        </a:p>
      </dgm:t>
    </dgm:pt>
    <dgm:pt modelId="{8B1C0095-666E-481F-A434-06B7010CCBCC}">
      <dgm:prSet custT="1">
        <dgm:style>
          <a:lnRef idx="2">
            <a:schemeClr val="accent6"/>
          </a:lnRef>
          <a:fillRef idx="1">
            <a:schemeClr val="lt1"/>
          </a:fillRef>
          <a:effectRef idx="0">
            <a:schemeClr val="accent6"/>
          </a:effectRef>
          <a:fontRef idx="minor">
            <a:schemeClr val="dk1"/>
          </a:fontRef>
        </dgm:style>
      </dgm:prSet>
      <dgm:spPr>
        <a:xfrm>
          <a:off x="3762960" y="2039536"/>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Hortos</a:t>
          </a:r>
        </a:p>
      </dgm:t>
    </dgm:pt>
    <dgm:pt modelId="{8FD28D76-67CA-46F2-A1CF-999C62C06741}" type="parTrans" cxnId="{B14500C5-2624-48EC-82A5-1B7E344A1519}">
      <dgm:prSet/>
      <dgm:spPr>
        <a:xfrm rot="1413745">
          <a:off x="3470253" y="2072388"/>
          <a:ext cx="305439" cy="4273"/>
        </a:xfrm>
        <a:custGeom>
          <a:avLst/>
          <a:gdLst/>
          <a:ahLst/>
          <a:cxnLst/>
          <a:rect l="0" t="0" r="0" b="0"/>
          <a:pathLst>
            <a:path>
              <a:moveTo>
                <a:pt x="0" y="2136"/>
              </a:moveTo>
              <a:lnTo>
                <a:pt x="305439"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5725CE56-A82F-4DFA-8554-E45C52619871}" type="sibTrans" cxnId="{B14500C5-2624-48EC-82A5-1B7E344A1519}">
      <dgm:prSet/>
      <dgm:spPr/>
      <dgm:t>
        <a:bodyPr/>
        <a:lstStyle/>
        <a:p>
          <a:endParaRPr lang="pt-BR"/>
        </a:p>
      </dgm:t>
    </dgm:pt>
    <dgm:pt modelId="{5149AFFD-419D-4A48-B35E-3D9614BB6428}">
      <dgm:prSet custT="1">
        <dgm:style>
          <a:lnRef idx="2">
            <a:schemeClr val="accent6"/>
          </a:lnRef>
          <a:fillRef idx="1">
            <a:schemeClr val="lt1"/>
          </a:fillRef>
          <a:effectRef idx="0">
            <a:schemeClr val="accent6"/>
          </a:effectRef>
          <a:fontRef idx="minor">
            <a:schemeClr val="dk1"/>
          </a:fontRef>
        </dgm:style>
      </dgm:prSet>
      <dgm:spPr>
        <a:xfrm>
          <a:off x="3762960" y="2419447"/>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Plantio em nível</a:t>
          </a:r>
        </a:p>
      </dgm:t>
    </dgm:pt>
    <dgm:pt modelId="{577BE3D8-5CB7-4A32-AADB-06A99FB853C5}" type="parTrans" cxnId="{E0F4200F-2583-46E4-BA93-6A40D1BBAF64}">
      <dgm:prSet/>
      <dgm:spPr>
        <a:xfrm rot="17937178">
          <a:off x="3333799" y="2766381"/>
          <a:ext cx="578348" cy="4273"/>
        </a:xfrm>
        <a:custGeom>
          <a:avLst/>
          <a:gdLst/>
          <a:ahLst/>
          <a:cxnLst/>
          <a:rect l="0" t="0" r="0" b="0"/>
          <a:pathLst>
            <a:path>
              <a:moveTo>
                <a:pt x="0" y="2136"/>
              </a:moveTo>
              <a:lnTo>
                <a:pt x="578348"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AF6559FC-6B0F-4B51-ADF3-58930D92AF05}" type="sibTrans" cxnId="{E0F4200F-2583-46E4-BA93-6A40D1BBAF64}">
      <dgm:prSet/>
      <dgm:spPr/>
      <dgm:t>
        <a:bodyPr/>
        <a:lstStyle/>
        <a:p>
          <a:endParaRPr lang="pt-BR"/>
        </a:p>
      </dgm:t>
    </dgm:pt>
    <dgm:pt modelId="{852284D8-778C-4DC7-995B-8828A9CA7D96}">
      <dgm:prSet custT="1">
        <dgm:style>
          <a:lnRef idx="2">
            <a:schemeClr val="accent6"/>
          </a:lnRef>
          <a:fillRef idx="1">
            <a:schemeClr val="lt1"/>
          </a:fillRef>
          <a:effectRef idx="0">
            <a:schemeClr val="accent6"/>
          </a:effectRef>
          <a:fontRef idx="minor">
            <a:schemeClr val="dk1"/>
          </a:fontRef>
        </dgm:style>
      </dgm:prSet>
      <dgm:spPr>
        <a:xfrm>
          <a:off x="3762960" y="2658558"/>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Pousio ou descanso de solos</a:t>
          </a:r>
        </a:p>
      </dgm:t>
    </dgm:pt>
    <dgm:pt modelId="{556D8DC5-43F0-41C7-AA82-B733438D3380}" type="parTrans" cxnId="{A95BDD43-ACEB-4FAC-BDED-33102EFD4051}">
      <dgm:prSet/>
      <dgm:spPr>
        <a:xfrm rot="18981822">
          <a:off x="3429550" y="2885936"/>
          <a:ext cx="386845" cy="4273"/>
        </a:xfrm>
        <a:custGeom>
          <a:avLst/>
          <a:gdLst/>
          <a:ahLst/>
          <a:cxnLst/>
          <a:rect l="0" t="0" r="0" b="0"/>
          <a:pathLst>
            <a:path>
              <a:moveTo>
                <a:pt x="0" y="2136"/>
              </a:moveTo>
              <a:lnTo>
                <a:pt x="386845"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BDDD26D4-F83C-4072-BE68-FCA3D77C5FFC}" type="sibTrans" cxnId="{A95BDD43-ACEB-4FAC-BDED-33102EFD4051}">
      <dgm:prSet/>
      <dgm:spPr/>
      <dgm:t>
        <a:bodyPr/>
        <a:lstStyle/>
        <a:p>
          <a:endParaRPr lang="pt-BR"/>
        </a:p>
      </dgm:t>
    </dgm:pt>
    <dgm:pt modelId="{2EB2BB33-7E07-4371-9996-9BD4AC006805}">
      <dgm:prSet custT="1">
        <dgm:style>
          <a:lnRef idx="2">
            <a:schemeClr val="accent6"/>
          </a:lnRef>
          <a:fillRef idx="1">
            <a:schemeClr val="lt1"/>
          </a:fillRef>
          <a:effectRef idx="0">
            <a:schemeClr val="accent6"/>
          </a:effectRef>
          <a:fontRef idx="minor">
            <a:schemeClr val="dk1"/>
          </a:fontRef>
        </dgm:style>
      </dgm:prSet>
      <dgm:spPr>
        <a:xfrm>
          <a:off x="3769417" y="2898033"/>
          <a:ext cx="1534194" cy="243020"/>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Proteção e/ou conservação de encostas</a:t>
          </a:r>
        </a:p>
      </dgm:t>
    </dgm:pt>
    <dgm:pt modelId="{F43AC5D5-570B-4448-BD13-D13E1C533FB6}" type="parTrans" cxnId="{D4849B5D-F427-4ED2-8693-D11960DEACD6}">
      <dgm:prSet/>
      <dgm:spPr>
        <a:xfrm rot="21575910">
          <a:off x="3482983" y="3018410"/>
          <a:ext cx="286438" cy="4273"/>
        </a:xfrm>
        <a:custGeom>
          <a:avLst/>
          <a:gdLst/>
          <a:ahLst/>
          <a:cxnLst/>
          <a:rect l="0" t="0" r="0" b="0"/>
          <a:pathLst>
            <a:path>
              <a:moveTo>
                <a:pt x="0" y="2136"/>
              </a:moveTo>
              <a:lnTo>
                <a:pt x="286438"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59C39AF4-0798-4F46-8FA0-17622D24CB2A}" type="sibTrans" cxnId="{D4849B5D-F427-4ED2-8693-D11960DEACD6}">
      <dgm:prSet/>
      <dgm:spPr/>
      <dgm:t>
        <a:bodyPr/>
        <a:lstStyle/>
        <a:p>
          <a:endParaRPr lang="pt-BR"/>
        </a:p>
      </dgm:t>
    </dgm:pt>
    <dgm:pt modelId="{71C4ACDA-B263-4933-8E24-5F62A4309A3D}">
      <dgm:prSet custT="1">
        <dgm:style>
          <a:lnRef idx="2">
            <a:schemeClr val="accent6"/>
          </a:lnRef>
          <a:fillRef idx="1">
            <a:schemeClr val="lt1"/>
          </a:fillRef>
          <a:effectRef idx="0">
            <a:schemeClr val="accent6"/>
          </a:effectRef>
          <a:fontRef idx="minor">
            <a:schemeClr val="dk1"/>
          </a:fontRef>
        </dgm:style>
      </dgm:prSet>
      <dgm:spPr>
        <a:xfrm>
          <a:off x="3769417" y="3169864"/>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Queimada</a:t>
          </a:r>
        </a:p>
      </dgm:t>
    </dgm:pt>
    <dgm:pt modelId="{59EE4DC0-45E1-4952-A141-ABB56707502F}" type="parTrans" cxnId="{2486F75B-6E0A-4AED-8DD5-814345DA587B}">
      <dgm:prSet/>
      <dgm:spPr>
        <a:xfrm rot="2428034">
          <a:off x="3437953" y="3141589"/>
          <a:ext cx="376498" cy="4273"/>
        </a:xfrm>
        <a:custGeom>
          <a:avLst/>
          <a:gdLst/>
          <a:ahLst/>
          <a:cxnLst/>
          <a:rect l="0" t="0" r="0" b="0"/>
          <a:pathLst>
            <a:path>
              <a:moveTo>
                <a:pt x="0" y="2136"/>
              </a:moveTo>
              <a:lnTo>
                <a:pt x="376498"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A5B8DF83-23C1-4A32-B912-3E9FF2CC79FD}" type="sibTrans" cxnId="{2486F75B-6E0A-4AED-8DD5-814345DA587B}">
      <dgm:prSet/>
      <dgm:spPr/>
      <dgm:t>
        <a:bodyPr/>
        <a:lstStyle/>
        <a:p>
          <a:endParaRPr lang="pt-BR"/>
        </a:p>
      </dgm:t>
    </dgm:pt>
    <dgm:pt modelId="{8A0FA49D-4B45-4722-8B0A-31DC44D118D7}">
      <dgm:prSet custT="1">
        <dgm:style>
          <a:lnRef idx="2">
            <a:schemeClr val="accent6"/>
          </a:lnRef>
          <a:fillRef idx="1">
            <a:schemeClr val="lt1"/>
          </a:fillRef>
          <a:effectRef idx="0">
            <a:schemeClr val="accent6"/>
          </a:effectRef>
          <a:fontRef idx="minor">
            <a:schemeClr val="dk1"/>
          </a:fontRef>
        </dgm:style>
      </dgm:prSet>
      <dgm:spPr>
        <a:xfrm>
          <a:off x="3769417" y="3402902"/>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Rotação de culturas</a:t>
          </a:r>
        </a:p>
      </dgm:t>
    </dgm:pt>
    <dgm:pt modelId="{300107F7-A053-470E-8693-784446C291B0}" type="parTrans" cxnId="{325B8293-6415-492C-9E78-C821AE49F7A7}">
      <dgm:prSet/>
      <dgm:spPr>
        <a:xfrm rot="3542190">
          <a:off x="3347838" y="3258108"/>
          <a:ext cx="556726" cy="4273"/>
        </a:xfrm>
        <a:custGeom>
          <a:avLst/>
          <a:gdLst/>
          <a:ahLst/>
          <a:cxnLst/>
          <a:rect l="0" t="0" r="0" b="0"/>
          <a:pathLst>
            <a:path>
              <a:moveTo>
                <a:pt x="0" y="2136"/>
              </a:moveTo>
              <a:lnTo>
                <a:pt x="556726"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22327A02-0F0A-4013-B40B-899D78D369B9}" type="sibTrans" cxnId="{325B8293-6415-492C-9E78-C821AE49F7A7}">
      <dgm:prSet/>
      <dgm:spPr/>
      <dgm:t>
        <a:bodyPr/>
        <a:lstStyle/>
        <a:p>
          <a:endParaRPr lang="pt-BR"/>
        </a:p>
      </dgm:t>
    </dgm:pt>
    <dgm:pt modelId="{39744CDA-6561-4985-84FD-09F397BE112A}">
      <dgm:prSet custT="1">
        <dgm:style>
          <a:lnRef idx="2">
            <a:schemeClr val="accent6"/>
          </a:lnRef>
          <a:fillRef idx="1">
            <a:schemeClr val="lt1"/>
          </a:fillRef>
          <a:effectRef idx="0">
            <a:schemeClr val="accent6"/>
          </a:effectRef>
          <a:fontRef idx="minor">
            <a:schemeClr val="dk1"/>
          </a:fontRef>
        </dgm:style>
      </dgm:prSet>
      <dgm:spPr>
        <a:xfrm>
          <a:off x="3755346" y="4623205"/>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Gotejamento</a:t>
          </a:r>
        </a:p>
      </dgm:t>
    </dgm:pt>
    <dgm:pt modelId="{268EEBBB-9993-4C18-8493-0FDF4C107767}" type="parTrans" cxnId="{78FF9D16-404F-497A-B823-9B6598C080A3}">
      <dgm:prSet/>
      <dgm:spPr>
        <a:xfrm rot="18530040">
          <a:off x="3401996" y="4886274"/>
          <a:ext cx="434339" cy="4273"/>
        </a:xfrm>
        <a:custGeom>
          <a:avLst/>
          <a:gdLst/>
          <a:ahLst/>
          <a:cxnLst/>
          <a:rect l="0" t="0" r="0" b="0"/>
          <a:pathLst>
            <a:path>
              <a:moveTo>
                <a:pt x="0" y="2136"/>
              </a:moveTo>
              <a:lnTo>
                <a:pt x="434339"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CB081D80-38F9-41F4-AC55-968D6090A7FD}" type="sibTrans" cxnId="{78FF9D16-404F-497A-B823-9B6598C080A3}">
      <dgm:prSet/>
      <dgm:spPr/>
      <dgm:t>
        <a:bodyPr/>
        <a:lstStyle/>
        <a:p>
          <a:endParaRPr lang="pt-BR"/>
        </a:p>
      </dgm:t>
    </dgm:pt>
    <dgm:pt modelId="{6FF66AE7-B28B-4ADD-BDCA-2441C2FF36EF}">
      <dgm:prSet custT="1">
        <dgm:style>
          <a:lnRef idx="2">
            <a:schemeClr val="accent6"/>
          </a:lnRef>
          <a:fillRef idx="1">
            <a:schemeClr val="lt1"/>
          </a:fillRef>
          <a:effectRef idx="0">
            <a:schemeClr val="accent6"/>
          </a:effectRef>
          <a:fontRef idx="minor">
            <a:schemeClr val="dk1"/>
          </a:fontRef>
        </dgm:style>
      </dgm:prSet>
      <dgm:spPr>
        <a:xfrm>
          <a:off x="3755346" y="4844092"/>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Inundação</a:t>
          </a:r>
        </a:p>
      </dgm:t>
    </dgm:pt>
    <dgm:pt modelId="{98FBC8AB-96C4-4E16-8156-620D9CAF15E0}" type="parTrans" cxnId="{96445BCB-9AD0-4E3C-AD0D-226039374C0D}">
      <dgm:prSet/>
      <dgm:spPr>
        <a:xfrm rot="20200382">
          <a:off x="3470864" y="4996717"/>
          <a:ext cx="296604" cy="4273"/>
        </a:xfrm>
        <a:custGeom>
          <a:avLst/>
          <a:gdLst/>
          <a:ahLst/>
          <a:cxnLst/>
          <a:rect l="0" t="0" r="0" b="0"/>
          <a:pathLst>
            <a:path>
              <a:moveTo>
                <a:pt x="0" y="2136"/>
              </a:moveTo>
              <a:lnTo>
                <a:pt x="296604"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1073B0F4-9236-4D1E-8B07-7C48B5B01DAD}" type="sibTrans" cxnId="{96445BCB-9AD0-4E3C-AD0D-226039374C0D}">
      <dgm:prSet/>
      <dgm:spPr/>
      <dgm:t>
        <a:bodyPr/>
        <a:lstStyle/>
        <a:p>
          <a:endParaRPr lang="pt-BR"/>
        </a:p>
      </dgm:t>
    </dgm:pt>
    <dgm:pt modelId="{A748DB59-3EC4-4403-BC00-A46C0A93A463}">
      <dgm:prSet custT="1">
        <dgm:style>
          <a:lnRef idx="2">
            <a:schemeClr val="accent6"/>
          </a:lnRef>
          <a:fillRef idx="1">
            <a:schemeClr val="lt1"/>
          </a:fillRef>
          <a:effectRef idx="0">
            <a:schemeClr val="accent6"/>
          </a:effectRef>
          <a:fontRef idx="minor">
            <a:schemeClr val="dk1"/>
          </a:fontRef>
        </dgm:style>
      </dgm:prSet>
      <dgm:spPr>
        <a:xfrm>
          <a:off x="3749272" y="5064979"/>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Pivô central</a:t>
          </a:r>
        </a:p>
      </dgm:t>
    </dgm:pt>
    <dgm:pt modelId="{1C94378E-1774-4CE1-B89D-7C6DD38DB392}" type="parTrans" cxnId="{A12FEA87-C4D7-4C5F-BA26-A70E682AB6FA}">
      <dgm:prSet/>
      <dgm:spPr>
        <a:xfrm rot="1273716">
          <a:off x="3473294" y="5107161"/>
          <a:ext cx="285671" cy="4273"/>
        </a:xfrm>
        <a:custGeom>
          <a:avLst/>
          <a:gdLst/>
          <a:ahLst/>
          <a:cxnLst/>
          <a:rect l="0" t="0" r="0" b="0"/>
          <a:pathLst>
            <a:path>
              <a:moveTo>
                <a:pt x="0" y="2136"/>
              </a:moveTo>
              <a:lnTo>
                <a:pt x="285671"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720A828D-1852-4DD0-BB20-1323B2847C31}" type="sibTrans" cxnId="{A12FEA87-C4D7-4C5F-BA26-A70E682AB6FA}">
      <dgm:prSet/>
      <dgm:spPr/>
      <dgm:t>
        <a:bodyPr/>
        <a:lstStyle/>
        <a:p>
          <a:endParaRPr lang="pt-BR"/>
        </a:p>
      </dgm:t>
    </dgm:pt>
    <dgm:pt modelId="{1D647B63-DA5B-47CE-9FFC-8DDCBD183C1F}">
      <dgm:prSet custT="1">
        <dgm:style>
          <a:lnRef idx="2">
            <a:schemeClr val="accent6"/>
          </a:lnRef>
          <a:fillRef idx="1">
            <a:schemeClr val="lt1"/>
          </a:fillRef>
          <a:effectRef idx="0">
            <a:schemeClr val="accent6"/>
          </a:effectRef>
          <a:fontRef idx="minor">
            <a:schemeClr val="dk1"/>
          </a:fontRef>
        </dgm:style>
      </dgm:prSet>
      <dgm:spPr>
        <a:xfrm>
          <a:off x="3769417" y="3787863"/>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Poços artesianos</a:t>
          </a:r>
        </a:p>
      </dgm:t>
    </dgm:pt>
    <dgm:pt modelId="{88352D93-70C9-408A-A958-2E36C07D5FC2}" type="parTrans" cxnId="{67E3A28C-4F92-4240-B3C1-4C3AE4CF6EA3}">
      <dgm:prSet/>
      <dgm:spPr>
        <a:xfrm rot="19263501">
          <a:off x="3442069" y="3997496"/>
          <a:ext cx="368264" cy="4273"/>
        </a:xfrm>
        <a:custGeom>
          <a:avLst/>
          <a:gdLst/>
          <a:ahLst/>
          <a:cxnLst/>
          <a:rect l="0" t="0" r="0" b="0"/>
          <a:pathLst>
            <a:path>
              <a:moveTo>
                <a:pt x="0" y="2136"/>
              </a:moveTo>
              <a:lnTo>
                <a:pt x="368264"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46816FC2-5B36-4482-8EA2-5DFEB35BEAA7}" type="sibTrans" cxnId="{67E3A28C-4F92-4240-B3C1-4C3AE4CF6EA3}">
      <dgm:prSet/>
      <dgm:spPr/>
      <dgm:t>
        <a:bodyPr/>
        <a:lstStyle/>
        <a:p>
          <a:endParaRPr lang="pt-BR"/>
        </a:p>
      </dgm:t>
    </dgm:pt>
    <dgm:pt modelId="{CD293353-E897-476D-B964-445EB018D9B3}">
      <dgm:prSet custT="1">
        <dgm:style>
          <a:lnRef idx="2">
            <a:schemeClr val="accent6"/>
          </a:lnRef>
          <a:fillRef idx="1">
            <a:schemeClr val="lt1"/>
          </a:fillRef>
          <a:effectRef idx="0">
            <a:schemeClr val="accent6"/>
          </a:effectRef>
          <a:fontRef idx="minor">
            <a:schemeClr val="dk1"/>
          </a:fontRef>
        </dgm:style>
      </dgm:prSet>
      <dgm:spPr>
        <a:xfrm>
          <a:off x="3769417" y="4008750"/>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Poços comuns</a:t>
          </a:r>
        </a:p>
      </dgm:t>
    </dgm:pt>
    <dgm:pt modelId="{8BF6C0B2-F3D6-4076-A621-647761A5631E}" type="parTrans" cxnId="{C2061E1E-D323-4018-8304-397E096E42A7}">
      <dgm:prSet/>
      <dgm:spPr>
        <a:xfrm rot="21473105">
          <a:off x="3482888" y="4107940"/>
          <a:ext cx="286626" cy="4273"/>
        </a:xfrm>
        <a:custGeom>
          <a:avLst/>
          <a:gdLst/>
          <a:ahLst/>
          <a:cxnLst/>
          <a:rect l="0" t="0" r="0" b="0"/>
          <a:pathLst>
            <a:path>
              <a:moveTo>
                <a:pt x="0" y="2136"/>
              </a:moveTo>
              <a:lnTo>
                <a:pt x="286626"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F42733F6-8AE4-4663-A650-9D9B539687CA}" type="sibTrans" cxnId="{C2061E1E-D323-4018-8304-397E096E42A7}">
      <dgm:prSet/>
      <dgm:spPr/>
      <dgm:t>
        <a:bodyPr/>
        <a:lstStyle/>
        <a:p>
          <a:endParaRPr lang="pt-BR"/>
        </a:p>
      </dgm:t>
    </dgm:pt>
    <dgm:pt modelId="{BBB44D1E-5FD1-4550-87D4-FDB14F83D920}">
      <dgm:prSet custT="1">
        <dgm:style>
          <a:lnRef idx="2">
            <a:schemeClr val="accent6"/>
          </a:lnRef>
          <a:fillRef idx="1">
            <a:schemeClr val="lt1"/>
          </a:fillRef>
          <a:effectRef idx="0">
            <a:schemeClr val="accent6"/>
          </a:effectRef>
          <a:fontRef idx="minor">
            <a:schemeClr val="dk1"/>
          </a:fontRef>
        </dgm:style>
      </dgm:prSet>
      <dgm:spPr>
        <a:xfrm>
          <a:off x="3769417" y="4229637"/>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Cisternas</a:t>
          </a:r>
        </a:p>
      </dgm:t>
    </dgm:pt>
    <dgm:pt modelId="{92AD5871-B0CB-4074-BCE9-F63E7F5B84D3}" type="parTrans" cxnId="{61B51625-7CC5-4755-B221-00B41D1DC1F6}">
      <dgm:prSet/>
      <dgm:spPr>
        <a:xfrm rot="2177259">
          <a:off x="3448527" y="4218384"/>
          <a:ext cx="355349" cy="4273"/>
        </a:xfrm>
        <a:custGeom>
          <a:avLst/>
          <a:gdLst/>
          <a:ahLst/>
          <a:cxnLst/>
          <a:rect l="0" t="0" r="0" b="0"/>
          <a:pathLst>
            <a:path>
              <a:moveTo>
                <a:pt x="0" y="2136"/>
              </a:moveTo>
              <a:lnTo>
                <a:pt x="355349"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1CF7E3D0-D07B-4809-9362-A7AB9A720781}" type="sibTrans" cxnId="{61B51625-7CC5-4755-B221-00B41D1DC1F6}">
      <dgm:prSet/>
      <dgm:spPr/>
      <dgm:t>
        <a:bodyPr/>
        <a:lstStyle/>
        <a:p>
          <a:endParaRPr lang="pt-BR"/>
        </a:p>
      </dgm:t>
    </dgm:pt>
    <dgm:pt modelId="{C604A885-7198-42FC-B118-E3A8F114BD5C}">
      <dgm:prSet custT="1">
        <dgm:style>
          <a:lnRef idx="2">
            <a:schemeClr val="accent6"/>
          </a:lnRef>
          <a:fillRef idx="1">
            <a:schemeClr val="lt1"/>
          </a:fillRef>
          <a:effectRef idx="0">
            <a:schemeClr val="accent6"/>
          </a:effectRef>
          <a:fontRef idx="minor">
            <a:schemeClr val="dk1"/>
          </a:fontRef>
        </dgm:style>
      </dgm:prSet>
      <dgm:spPr>
        <a:xfrm>
          <a:off x="3749272" y="5285866"/>
          <a:ext cx="1534194" cy="19207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Sulcos</a:t>
          </a:r>
        </a:p>
      </dgm:t>
    </dgm:pt>
    <dgm:pt modelId="{953E256F-138A-4D2C-A380-A88F25D24827}" type="parTrans" cxnId="{2C6B5B4B-4317-4B3F-9376-B809085017E8}">
      <dgm:prSet/>
      <dgm:spPr>
        <a:xfrm rot="3036747">
          <a:off x="3406310" y="5217604"/>
          <a:ext cx="419637" cy="4273"/>
        </a:xfrm>
        <a:custGeom>
          <a:avLst/>
          <a:gdLst/>
          <a:ahLst/>
          <a:cxnLst/>
          <a:rect l="0" t="0" r="0" b="0"/>
          <a:pathLst>
            <a:path>
              <a:moveTo>
                <a:pt x="0" y="2136"/>
              </a:moveTo>
              <a:lnTo>
                <a:pt x="419637"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72FD81D1-CA92-4B37-8CF5-EFE52969316A}" type="sibTrans" cxnId="{2C6B5B4B-4317-4B3F-9376-B809085017E8}">
      <dgm:prSet/>
      <dgm:spPr/>
      <dgm:t>
        <a:bodyPr/>
        <a:lstStyle/>
        <a:p>
          <a:endParaRPr lang="pt-BR"/>
        </a:p>
      </dgm:t>
    </dgm:pt>
    <dgm:pt modelId="{8A9EF65A-7205-47C7-AA24-3AB87AD094C2}">
      <dgm:prSet custT="1">
        <dgm:style>
          <a:lnRef idx="2">
            <a:schemeClr val="accent6"/>
          </a:lnRef>
          <a:fillRef idx="1">
            <a:schemeClr val="lt1"/>
          </a:fillRef>
          <a:effectRef idx="0">
            <a:schemeClr val="accent6"/>
          </a:effectRef>
          <a:fontRef idx="minor">
            <a:schemeClr val="dk1"/>
          </a:fontRef>
        </dgm:style>
      </dgm:prSet>
      <dgm:spPr>
        <a:xfrm>
          <a:off x="3755807" y="5892978"/>
          <a:ext cx="1534194" cy="431999"/>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Construções; Benfeitorias e Caminhos; Florestas plantadas com essências florestais</a:t>
          </a:r>
        </a:p>
      </dgm:t>
    </dgm:pt>
    <dgm:pt modelId="{F68F0F0A-8A58-4364-B528-860858E1CD36}" type="parTrans" cxnId="{6B113866-FE2C-46BC-8FBD-F5D0B510DB16}">
      <dgm:prSet/>
      <dgm:spPr>
        <a:xfrm rot="17764400">
          <a:off x="3309035" y="6385617"/>
          <a:ext cx="620722" cy="4273"/>
        </a:xfrm>
        <a:custGeom>
          <a:avLst/>
          <a:gdLst/>
          <a:ahLst/>
          <a:cxnLst/>
          <a:rect l="0" t="0" r="0" b="0"/>
          <a:pathLst>
            <a:path>
              <a:moveTo>
                <a:pt x="0" y="2136"/>
              </a:moveTo>
              <a:lnTo>
                <a:pt x="620722"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B7B63125-FDF3-4858-AED5-010BA2BC8CEC}" type="sibTrans" cxnId="{6B113866-FE2C-46BC-8FBD-F5D0B510DB16}">
      <dgm:prSet/>
      <dgm:spPr/>
      <dgm:t>
        <a:bodyPr/>
        <a:lstStyle/>
        <a:p>
          <a:endParaRPr lang="pt-BR"/>
        </a:p>
      </dgm:t>
    </dgm:pt>
    <dgm:pt modelId="{BFF63185-E156-4A54-BE89-14A9FD7C4B02}">
      <dgm:prSet custT="1">
        <dgm:style>
          <a:lnRef idx="2">
            <a:schemeClr val="accent6"/>
          </a:lnRef>
          <a:fillRef idx="1">
            <a:schemeClr val="lt1"/>
          </a:fillRef>
          <a:effectRef idx="0">
            <a:schemeClr val="accent6"/>
          </a:effectRef>
          <a:fontRef idx="minor">
            <a:schemeClr val="dk1"/>
          </a:fontRef>
        </dgm:style>
      </dgm:prSet>
      <dgm:spPr>
        <a:xfrm>
          <a:off x="3755807" y="6371648"/>
          <a:ext cx="1534194" cy="29363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Forrageiras para corte; Lavoura permanente; Lavoura temporária</a:t>
          </a:r>
        </a:p>
      </dgm:t>
    </dgm:pt>
    <dgm:pt modelId="{901546BF-8AEC-4CE8-9448-F77896175DED}" type="parTrans" cxnId="{F8EB13E2-DF56-4EDB-BF8F-4102AD4445FA}">
      <dgm:prSet/>
      <dgm:spPr>
        <a:xfrm rot="19890633">
          <a:off x="3464191" y="6590362"/>
          <a:ext cx="310409" cy="4273"/>
        </a:xfrm>
        <a:custGeom>
          <a:avLst/>
          <a:gdLst/>
          <a:ahLst/>
          <a:cxnLst/>
          <a:rect l="0" t="0" r="0" b="0"/>
          <a:pathLst>
            <a:path>
              <a:moveTo>
                <a:pt x="0" y="2136"/>
              </a:moveTo>
              <a:lnTo>
                <a:pt x="310409"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137D8933-62B8-4EDA-B313-7091CC5B5994}" type="sibTrans" cxnId="{F8EB13E2-DF56-4EDB-BF8F-4102AD4445FA}">
      <dgm:prSet/>
      <dgm:spPr/>
      <dgm:t>
        <a:bodyPr/>
        <a:lstStyle/>
        <a:p>
          <a:endParaRPr lang="pt-BR"/>
        </a:p>
      </dgm:t>
    </dgm:pt>
    <dgm:pt modelId="{5CB0CA09-E4EC-4913-9F0A-B8DE01D8A859}">
      <dgm:prSet custT="1">
        <dgm:style>
          <a:lnRef idx="2">
            <a:schemeClr val="accent6"/>
          </a:lnRef>
          <a:fillRef idx="1">
            <a:schemeClr val="lt1"/>
          </a:fillRef>
          <a:effectRef idx="0">
            <a:schemeClr val="accent6"/>
          </a:effectRef>
          <a:fontRef idx="minor">
            <a:schemeClr val="dk1"/>
          </a:fontRef>
        </dgm:style>
      </dgm:prSet>
      <dgm:spPr>
        <a:xfrm>
          <a:off x="3748642" y="6718395"/>
          <a:ext cx="1534194" cy="365602"/>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Mata e florestas naturais; Pastagem natural; Pastagem plantada</a:t>
          </a:r>
        </a:p>
      </dgm:t>
    </dgm:pt>
    <dgm:pt modelId="{A31DAF0A-FB31-436C-BFD0-082FB7AA6081}" type="parTrans" cxnId="{927B7618-D13F-4874-A41E-CAEB0F2C9A00}">
      <dgm:prSet/>
      <dgm:spPr>
        <a:xfrm rot="2487334">
          <a:off x="3438585" y="6781727"/>
          <a:ext cx="354459" cy="4273"/>
        </a:xfrm>
        <a:custGeom>
          <a:avLst/>
          <a:gdLst/>
          <a:ahLst/>
          <a:cxnLst/>
          <a:rect l="0" t="0" r="0" b="0"/>
          <a:pathLst>
            <a:path>
              <a:moveTo>
                <a:pt x="0" y="2136"/>
              </a:moveTo>
              <a:lnTo>
                <a:pt x="354459"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7176FCDC-CE7D-4D9D-A9A4-AD0B7898827D}" type="sibTrans" cxnId="{927B7618-D13F-4874-A41E-CAEB0F2C9A00}">
      <dgm:prSet/>
      <dgm:spPr/>
      <dgm:t>
        <a:bodyPr/>
        <a:lstStyle/>
        <a:p>
          <a:endParaRPr lang="pt-BR"/>
        </a:p>
      </dgm:t>
    </dgm:pt>
    <dgm:pt modelId="{FD496E36-924C-4BAB-A30D-7F9F29386DC7}">
      <dgm:prSet custT="1">
        <dgm:style>
          <a:lnRef idx="2">
            <a:schemeClr val="accent6"/>
          </a:lnRef>
          <a:fillRef idx="1">
            <a:schemeClr val="lt1"/>
          </a:fillRef>
          <a:effectRef idx="0">
            <a:schemeClr val="accent6"/>
          </a:effectRef>
          <a:fontRef idx="minor">
            <a:schemeClr val="dk1"/>
          </a:fontRef>
        </dgm:style>
      </dgm:prSet>
      <dgm:spPr>
        <a:xfrm>
          <a:off x="3755807" y="7139934"/>
          <a:ext cx="1534194" cy="293635"/>
        </a:xfrm>
        <a:prstGeom prst="roundRect">
          <a:avLst>
            <a:gd name="adj" fmla="val 10000"/>
          </a:avLst>
        </a:prstGeom>
        <a:solidFill>
          <a:sysClr val="window" lastClr="FFFFFF"/>
        </a:solidFill>
        <a:ln w="12700" cap="flat" cmpd="sng" algn="ctr">
          <a:solidFill>
            <a:srgbClr val="70AD47"/>
          </a:solidFill>
          <a:prstDash val="solid"/>
          <a:miter lim="800000"/>
        </a:ln>
        <a:effectLst/>
      </dgm:spPr>
      <dgm:t>
        <a:bodyPr/>
        <a:lstStyle/>
        <a:p>
          <a:pPr>
            <a:buNone/>
          </a:pPr>
          <a:r>
            <a:rPr lang="pt-BR" sz="800">
              <a:solidFill>
                <a:sysClr val="windowText" lastClr="000000"/>
              </a:solidFill>
              <a:latin typeface="Calibri" panose="020F0502020204030204"/>
              <a:ea typeface="+mn-ea"/>
              <a:cs typeface="+mn-cs"/>
            </a:rPr>
            <a:t>Terras degradadas; Terras inaproveitáveis</a:t>
          </a:r>
        </a:p>
      </dgm:t>
    </dgm:pt>
    <dgm:pt modelId="{F768AAFC-170B-4321-80FD-0D36B2BC0971}" type="parTrans" cxnId="{0CE5996A-543C-4D68-8C05-48B9A00CDB20}">
      <dgm:prSet/>
      <dgm:spPr>
        <a:xfrm rot="3975387">
          <a:off x="3280610" y="6974505"/>
          <a:ext cx="677573" cy="4273"/>
        </a:xfrm>
        <a:custGeom>
          <a:avLst/>
          <a:gdLst/>
          <a:ahLst/>
          <a:cxnLst/>
          <a:rect l="0" t="0" r="0" b="0"/>
          <a:pathLst>
            <a:path>
              <a:moveTo>
                <a:pt x="0" y="2136"/>
              </a:moveTo>
              <a:lnTo>
                <a:pt x="677573" y="2136"/>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pt-BR">
            <a:solidFill>
              <a:sysClr val="windowText" lastClr="000000">
                <a:hueOff val="0"/>
                <a:satOff val="0"/>
                <a:lumOff val="0"/>
                <a:alphaOff val="0"/>
              </a:sysClr>
            </a:solidFill>
            <a:latin typeface="Calibri" panose="020F0502020204030204"/>
            <a:ea typeface="+mn-ea"/>
            <a:cs typeface="+mn-cs"/>
          </a:endParaRPr>
        </a:p>
      </dgm:t>
    </dgm:pt>
    <dgm:pt modelId="{CC768468-FC98-40A4-B4F9-26B203D5C364}" type="sibTrans" cxnId="{0CE5996A-543C-4D68-8C05-48B9A00CDB20}">
      <dgm:prSet/>
      <dgm:spPr/>
      <dgm:t>
        <a:bodyPr/>
        <a:lstStyle/>
        <a:p>
          <a:endParaRPr lang="pt-BR"/>
        </a:p>
      </dgm:t>
    </dgm:pt>
    <dgm:pt modelId="{DD15816B-5A97-4463-B44A-456F68E17229}" type="pres">
      <dgm:prSet presAssocID="{AAEF4D42-B5DF-443E-AB17-4EC33A3CB578}" presName="mainComposite" presStyleCnt="0">
        <dgm:presLayoutVars>
          <dgm:chPref val="1"/>
          <dgm:dir/>
          <dgm:animOne val="branch"/>
          <dgm:animLvl val="lvl"/>
          <dgm:resizeHandles val="exact"/>
        </dgm:presLayoutVars>
      </dgm:prSet>
      <dgm:spPr/>
    </dgm:pt>
    <dgm:pt modelId="{34BCB656-DCDE-4756-BA1C-9B8A80E20F95}" type="pres">
      <dgm:prSet presAssocID="{AAEF4D42-B5DF-443E-AB17-4EC33A3CB578}" presName="hierFlow" presStyleCnt="0"/>
      <dgm:spPr/>
    </dgm:pt>
    <dgm:pt modelId="{31452E5F-5B4A-4B92-9F8F-B12E6BB0E3F5}" type="pres">
      <dgm:prSet presAssocID="{AAEF4D42-B5DF-443E-AB17-4EC33A3CB578}" presName="firstBuf" presStyleCnt="0"/>
      <dgm:spPr/>
    </dgm:pt>
    <dgm:pt modelId="{D44C11D1-8C70-435C-A78A-F7D09D0208A6}" type="pres">
      <dgm:prSet presAssocID="{AAEF4D42-B5DF-443E-AB17-4EC33A3CB578}" presName="hierChild1" presStyleCnt="0">
        <dgm:presLayoutVars>
          <dgm:chPref val="1"/>
          <dgm:animOne val="branch"/>
          <dgm:animLvl val="lvl"/>
        </dgm:presLayoutVars>
      </dgm:prSet>
      <dgm:spPr/>
    </dgm:pt>
    <dgm:pt modelId="{953869E3-A348-463E-B121-375C95858553}" type="pres">
      <dgm:prSet presAssocID="{DD419725-77A1-4E29-841E-20268ABA3D72}" presName="Name17" presStyleCnt="0"/>
      <dgm:spPr/>
    </dgm:pt>
    <dgm:pt modelId="{37315875-A390-40DE-BA19-47DD0354C174}" type="pres">
      <dgm:prSet presAssocID="{DD419725-77A1-4E29-841E-20268ABA3D72}" presName="level1Shape" presStyleLbl="node0" presStyleIdx="0" presStyleCnt="1" custScaleX="262098" custScaleY="105194" custLinFactY="-300000" custLinFactNeighborX="-7022" custLinFactNeighborY="-387327">
        <dgm:presLayoutVars>
          <dgm:chPref val="3"/>
        </dgm:presLayoutVars>
      </dgm:prSet>
      <dgm:spPr/>
    </dgm:pt>
    <dgm:pt modelId="{CEAE5CE8-1334-4FB5-9C10-720DE4A610C5}" type="pres">
      <dgm:prSet presAssocID="{DD419725-77A1-4E29-841E-20268ABA3D72}" presName="hierChild2" presStyleCnt="0"/>
      <dgm:spPr/>
    </dgm:pt>
    <dgm:pt modelId="{1355E893-37D7-4E32-BB2B-F2C36980FE68}" type="pres">
      <dgm:prSet presAssocID="{0B05EF5F-38FE-43AC-B9F2-90C2AB768183}" presName="Name25" presStyleLbl="parChTrans1D2" presStyleIdx="0" presStyleCnt="2"/>
      <dgm:spPr/>
    </dgm:pt>
    <dgm:pt modelId="{1899B2E8-8E32-46E2-BFC1-FC4F744E9B9E}" type="pres">
      <dgm:prSet presAssocID="{0B05EF5F-38FE-43AC-B9F2-90C2AB768183}" presName="connTx" presStyleLbl="parChTrans1D2" presStyleIdx="0" presStyleCnt="2"/>
      <dgm:spPr/>
    </dgm:pt>
    <dgm:pt modelId="{47021C4C-9346-4DD2-93A7-B087FCA59A2B}" type="pres">
      <dgm:prSet presAssocID="{A64BBCD1-5EB7-4B12-A25E-8BB89179762E}" presName="Name30" presStyleCnt="0"/>
      <dgm:spPr/>
    </dgm:pt>
    <dgm:pt modelId="{03B355C0-4902-4DD3-ADC8-99189F6B3443}" type="pres">
      <dgm:prSet presAssocID="{A64BBCD1-5EB7-4B12-A25E-8BB89179762E}" presName="level2Shape" presStyleLbl="node2" presStyleIdx="0" presStyleCnt="2" custScaleX="257617" custScaleY="105194" custLinFactY="-400000" custLinFactNeighborX="10022" custLinFactNeighborY="-414462"/>
      <dgm:spPr/>
    </dgm:pt>
    <dgm:pt modelId="{8F35B586-A456-4912-BE25-A9A49BD16674}" type="pres">
      <dgm:prSet presAssocID="{A64BBCD1-5EB7-4B12-A25E-8BB89179762E}" presName="hierChild3" presStyleCnt="0"/>
      <dgm:spPr/>
    </dgm:pt>
    <dgm:pt modelId="{EDE2A0F2-3E3A-4C6B-92BE-8297AA578B1A}" type="pres">
      <dgm:prSet presAssocID="{6F531495-2E7A-4B8E-9639-557919AD3528}" presName="Name25" presStyleLbl="parChTrans1D3" presStyleIdx="0" presStyleCnt="8"/>
      <dgm:spPr/>
    </dgm:pt>
    <dgm:pt modelId="{15D0BD92-4302-4D99-B878-F60B4EA26D53}" type="pres">
      <dgm:prSet presAssocID="{6F531495-2E7A-4B8E-9639-557919AD3528}" presName="connTx" presStyleLbl="parChTrans1D3" presStyleIdx="0" presStyleCnt="8"/>
      <dgm:spPr/>
    </dgm:pt>
    <dgm:pt modelId="{96D09AA5-5466-4031-9B64-D604198FFF1E}" type="pres">
      <dgm:prSet presAssocID="{B42736FD-D8DF-4DBE-AF40-A0BB477C26F7}" presName="Name30" presStyleCnt="0"/>
      <dgm:spPr/>
    </dgm:pt>
    <dgm:pt modelId="{E1586E3F-6BC0-4FC9-A856-10B27A673F7B}" type="pres">
      <dgm:prSet presAssocID="{B42736FD-D8DF-4DBE-AF40-A0BB477C26F7}" presName="level2Shape" presStyleLbl="node3" presStyleIdx="0" presStyleCnt="8" custScaleX="269340" custScaleY="105194" custLinFactY="-400000" custLinFactNeighborX="16902" custLinFactNeighborY="-412497"/>
      <dgm:spPr/>
    </dgm:pt>
    <dgm:pt modelId="{ADC4548E-5F14-46A0-A7D1-539DE1922EB6}" type="pres">
      <dgm:prSet presAssocID="{B42736FD-D8DF-4DBE-AF40-A0BB477C26F7}" presName="hierChild3" presStyleCnt="0"/>
      <dgm:spPr/>
    </dgm:pt>
    <dgm:pt modelId="{4E57492A-3F1A-4AF0-83F8-1EE8F6AAE59D}" type="pres">
      <dgm:prSet presAssocID="{0D077E02-D908-482E-900B-E1BD652956F3}" presName="Name25" presStyleLbl="parChTrans1D3" presStyleIdx="1" presStyleCnt="8"/>
      <dgm:spPr/>
    </dgm:pt>
    <dgm:pt modelId="{0BA19A5A-59F0-4BC2-8726-63590AF51C4A}" type="pres">
      <dgm:prSet presAssocID="{0D077E02-D908-482E-900B-E1BD652956F3}" presName="connTx" presStyleLbl="parChTrans1D3" presStyleIdx="1" presStyleCnt="8"/>
      <dgm:spPr/>
    </dgm:pt>
    <dgm:pt modelId="{5D8E88A1-CD84-4BBD-827B-78F3EC3697F8}" type="pres">
      <dgm:prSet presAssocID="{D151895C-28AD-4551-9ADB-7E77A01C13E3}" presName="Name30" presStyleCnt="0"/>
      <dgm:spPr/>
    </dgm:pt>
    <dgm:pt modelId="{B7586874-76C8-4414-8CBE-1676677C4F18}" type="pres">
      <dgm:prSet presAssocID="{D151895C-28AD-4551-9ADB-7E77A01C13E3}" presName="level2Shape" presStyleLbl="node3" presStyleIdx="1" presStyleCnt="8" custScaleX="266485" custScaleY="105194" custLinFactY="-400000" custLinFactNeighborX="20155" custLinFactNeighborY="-400851"/>
      <dgm:spPr/>
    </dgm:pt>
    <dgm:pt modelId="{7CE21D24-15E8-42F5-81BD-672C8D1C1D53}" type="pres">
      <dgm:prSet presAssocID="{D151895C-28AD-4551-9ADB-7E77A01C13E3}" presName="hierChild3" presStyleCnt="0"/>
      <dgm:spPr/>
    </dgm:pt>
    <dgm:pt modelId="{D8BE0807-1AF1-40D0-A02C-709D7E1B8D8B}" type="pres">
      <dgm:prSet presAssocID="{8BD127F1-1C42-4DF7-A54E-3ED11DD272FE}" presName="Name25" presStyleLbl="parChTrans1D3" presStyleIdx="2" presStyleCnt="8"/>
      <dgm:spPr/>
    </dgm:pt>
    <dgm:pt modelId="{C0A7EA51-7343-4122-8551-F31B5F56AADC}" type="pres">
      <dgm:prSet presAssocID="{8BD127F1-1C42-4DF7-A54E-3ED11DD272FE}" presName="connTx" presStyleLbl="parChTrans1D3" presStyleIdx="2" presStyleCnt="8"/>
      <dgm:spPr/>
    </dgm:pt>
    <dgm:pt modelId="{B3C83479-DB07-4F99-9B28-FEA092BC9B45}" type="pres">
      <dgm:prSet presAssocID="{9AC227E2-C726-4F92-BA81-D6B44A0C1760}" presName="Name30" presStyleCnt="0"/>
      <dgm:spPr/>
    </dgm:pt>
    <dgm:pt modelId="{3B17E7FB-32CA-4299-89AB-3E1E46D3D6B5}" type="pres">
      <dgm:prSet presAssocID="{9AC227E2-C726-4F92-BA81-D6B44A0C1760}" presName="level2Shape" presStyleLbl="node3" presStyleIdx="2" presStyleCnt="8" custScaleX="266485" custScaleY="134281" custLinFactY="-381615" custLinFactNeighborX="20155" custLinFactNeighborY="-400000"/>
      <dgm:spPr/>
    </dgm:pt>
    <dgm:pt modelId="{5F9B03DC-1602-40F1-A42F-B4F2879E8E8C}" type="pres">
      <dgm:prSet presAssocID="{9AC227E2-C726-4F92-BA81-D6B44A0C1760}" presName="hierChild3" presStyleCnt="0"/>
      <dgm:spPr/>
    </dgm:pt>
    <dgm:pt modelId="{97DC6227-E2CD-4F1E-8D23-59FEED78070A}" type="pres">
      <dgm:prSet presAssocID="{3CE1E480-9160-4CAE-867D-CE24C8425515}" presName="Name25" presStyleLbl="parChTrans1D2" presStyleIdx="1" presStyleCnt="2"/>
      <dgm:spPr/>
    </dgm:pt>
    <dgm:pt modelId="{468AA761-8E0B-4C6A-8D31-4FFB2770201E}" type="pres">
      <dgm:prSet presAssocID="{3CE1E480-9160-4CAE-867D-CE24C8425515}" presName="connTx" presStyleLbl="parChTrans1D2" presStyleIdx="1" presStyleCnt="2"/>
      <dgm:spPr/>
    </dgm:pt>
    <dgm:pt modelId="{76315819-B1E6-4EE0-9F12-4A3CC7A6EABF}" type="pres">
      <dgm:prSet presAssocID="{35E0B479-F29C-49FC-8E1C-E9E206FCBD5C}" presName="Name30" presStyleCnt="0"/>
      <dgm:spPr/>
    </dgm:pt>
    <dgm:pt modelId="{8AD5E56F-4A01-4D86-8928-9C3018F95A3A}" type="pres">
      <dgm:prSet presAssocID="{35E0B479-F29C-49FC-8E1C-E9E206FCBD5C}" presName="level2Shape" presStyleLbl="node2" presStyleIdx="1" presStyleCnt="2" custScaleX="257354" custLinFactY="-214322" custLinFactNeighborX="10022" custLinFactNeighborY="-300000"/>
      <dgm:spPr/>
    </dgm:pt>
    <dgm:pt modelId="{21AC6A3A-EA62-4F8E-BA0E-4423119C0A79}" type="pres">
      <dgm:prSet presAssocID="{35E0B479-F29C-49FC-8E1C-E9E206FCBD5C}" presName="hierChild3" presStyleCnt="0"/>
      <dgm:spPr/>
    </dgm:pt>
    <dgm:pt modelId="{325711CC-2942-4812-86A6-A5E5955A57B6}" type="pres">
      <dgm:prSet presAssocID="{50FE541B-C784-4D32-B9F9-6F8647C63CE9}" presName="Name25" presStyleLbl="parChTrans1D3" presStyleIdx="3" presStyleCnt="8"/>
      <dgm:spPr/>
    </dgm:pt>
    <dgm:pt modelId="{C58CBA02-E0A7-431A-BC4B-A02B61BCE8D8}" type="pres">
      <dgm:prSet presAssocID="{50FE541B-C784-4D32-B9F9-6F8647C63CE9}" presName="connTx" presStyleLbl="parChTrans1D3" presStyleIdx="3" presStyleCnt="8"/>
      <dgm:spPr/>
    </dgm:pt>
    <dgm:pt modelId="{00A61639-89AC-4F4B-B78B-9F333A920709}" type="pres">
      <dgm:prSet presAssocID="{20586453-1A9E-444A-98A9-F420DF390444}" presName="Name30" presStyleCnt="0"/>
      <dgm:spPr/>
    </dgm:pt>
    <dgm:pt modelId="{EEE42F74-E025-4119-A980-1AC7B0C56892}" type="pres">
      <dgm:prSet presAssocID="{20586453-1A9E-444A-98A9-F420DF390444}" presName="level2Shape" presStyleLbl="node3" presStyleIdx="3" presStyleCnt="8" custScaleX="266485" custScaleY="189821" custLinFactY="-300000" custLinFactNeighborX="20155" custLinFactNeighborY="-399955"/>
      <dgm:spPr/>
    </dgm:pt>
    <dgm:pt modelId="{352F6A91-9444-4532-BEB2-987F253E2AD3}" type="pres">
      <dgm:prSet presAssocID="{20586453-1A9E-444A-98A9-F420DF390444}" presName="hierChild3" presStyleCnt="0"/>
      <dgm:spPr/>
    </dgm:pt>
    <dgm:pt modelId="{4AD2293D-6454-4451-8EF7-9F6C7C284D02}" type="pres">
      <dgm:prSet presAssocID="{78FF1A9A-40DE-40FD-A789-2D21D0B9ABB6}" presName="Name25" presStyleLbl="parChTrans1D4" presStyleIdx="0" presStyleCnt="18"/>
      <dgm:spPr/>
    </dgm:pt>
    <dgm:pt modelId="{94528CDA-D22E-4874-9F0E-C95F50FE7D98}" type="pres">
      <dgm:prSet presAssocID="{78FF1A9A-40DE-40FD-A789-2D21D0B9ABB6}" presName="connTx" presStyleLbl="parChTrans1D4" presStyleIdx="0" presStyleCnt="18"/>
      <dgm:spPr/>
    </dgm:pt>
    <dgm:pt modelId="{C9ED793D-F75E-46D1-A39C-5F14C7C09698}" type="pres">
      <dgm:prSet presAssocID="{DFE62B21-FF1D-4AA8-ACF2-3FAA997F9C3A}" presName="Name30" presStyleCnt="0"/>
      <dgm:spPr/>
    </dgm:pt>
    <dgm:pt modelId="{35FFCD69-B218-466F-BF0B-A662C4A78557}" type="pres">
      <dgm:prSet presAssocID="{DFE62B21-FF1D-4AA8-ACF2-3FAA997F9C3A}" presName="level2Shape" presStyleLbl="node4" presStyleIdx="0" presStyleCnt="18" custScaleX="401858" custLinFactY="-318473" custLinFactNeighborX="53036" custLinFactNeighborY="-400000"/>
      <dgm:spPr/>
    </dgm:pt>
    <dgm:pt modelId="{413D998C-C4FA-4FDE-8482-9F2B266AAE81}" type="pres">
      <dgm:prSet presAssocID="{DFE62B21-FF1D-4AA8-ACF2-3FAA997F9C3A}" presName="hierChild3" presStyleCnt="0"/>
      <dgm:spPr/>
    </dgm:pt>
    <dgm:pt modelId="{60D31327-DD12-4844-9116-E22C636E93D4}" type="pres">
      <dgm:prSet presAssocID="{8FD28D76-67CA-46F2-A1CF-999C62C06741}" presName="Name25" presStyleLbl="parChTrans1D4" presStyleIdx="1" presStyleCnt="18"/>
      <dgm:spPr/>
    </dgm:pt>
    <dgm:pt modelId="{4A7B32DA-CC42-4118-B7BF-51D511ABCAB2}" type="pres">
      <dgm:prSet presAssocID="{8FD28D76-67CA-46F2-A1CF-999C62C06741}" presName="connTx" presStyleLbl="parChTrans1D4" presStyleIdx="1" presStyleCnt="18"/>
      <dgm:spPr/>
    </dgm:pt>
    <dgm:pt modelId="{9CF6667F-1E87-4809-8C3F-596B6D129A73}" type="pres">
      <dgm:prSet presAssocID="{8B1C0095-666E-481F-A434-06B7010CCBCC}" presName="Name30" presStyleCnt="0"/>
      <dgm:spPr/>
    </dgm:pt>
    <dgm:pt modelId="{F0D84C75-7F41-49DE-A4D6-54975E7ADF3C}" type="pres">
      <dgm:prSet presAssocID="{8B1C0095-666E-481F-A434-06B7010CCBCC}" presName="level2Shape" presStyleLbl="node4" presStyleIdx="1" presStyleCnt="18" custScaleX="399372" custLinFactY="-300000" custLinFactNeighborX="53036" custLinFactNeighborY="-393887"/>
      <dgm:spPr/>
    </dgm:pt>
    <dgm:pt modelId="{1D37F9E6-E10F-43B7-B19B-49334379C654}" type="pres">
      <dgm:prSet presAssocID="{8B1C0095-666E-481F-A434-06B7010CCBCC}" presName="hierChild3" presStyleCnt="0"/>
      <dgm:spPr/>
    </dgm:pt>
    <dgm:pt modelId="{1A6BA294-BCAC-4BE2-A9A0-289912BCFCCC}" type="pres">
      <dgm:prSet presAssocID="{6C5E6E5D-D745-441A-A356-DE5DA49A5D62}" presName="Name25" presStyleLbl="parChTrans1D3" presStyleIdx="4" presStyleCnt="8"/>
      <dgm:spPr/>
    </dgm:pt>
    <dgm:pt modelId="{92030DBE-B186-4088-AEB8-42438D25A021}" type="pres">
      <dgm:prSet presAssocID="{6C5E6E5D-D745-441A-A356-DE5DA49A5D62}" presName="connTx" presStyleLbl="parChTrans1D3" presStyleIdx="4" presStyleCnt="8"/>
      <dgm:spPr/>
    </dgm:pt>
    <dgm:pt modelId="{D296FDF0-95A1-4BCC-96A0-EABB611D997A}" type="pres">
      <dgm:prSet presAssocID="{C203F73A-822C-4F55-A77B-0F958A674B80}" presName="Name30" presStyleCnt="0"/>
      <dgm:spPr/>
    </dgm:pt>
    <dgm:pt modelId="{D30A759C-A63E-4387-B92B-0176417C6C5D}" type="pres">
      <dgm:prSet presAssocID="{C203F73A-822C-4F55-A77B-0F958A674B80}" presName="level2Shape" presStyleLbl="node3" presStyleIdx="4" presStyleCnt="8" custScaleX="266485" custLinFactY="-290885" custLinFactNeighborX="20155" custLinFactNeighborY="-300000"/>
      <dgm:spPr/>
    </dgm:pt>
    <dgm:pt modelId="{D7BB0A1A-4CEE-4875-9613-168780A65C94}" type="pres">
      <dgm:prSet presAssocID="{C203F73A-822C-4F55-A77B-0F958A674B80}" presName="hierChild3" presStyleCnt="0"/>
      <dgm:spPr/>
    </dgm:pt>
    <dgm:pt modelId="{D4538BF9-C70A-4BD3-9060-810EE6D49151}" type="pres">
      <dgm:prSet presAssocID="{577BE3D8-5CB7-4A32-AADB-06A99FB853C5}" presName="Name25" presStyleLbl="parChTrans1D4" presStyleIdx="2" presStyleCnt="18"/>
      <dgm:spPr/>
    </dgm:pt>
    <dgm:pt modelId="{61CAFB24-409A-4862-BDE7-EEC709E043D3}" type="pres">
      <dgm:prSet presAssocID="{577BE3D8-5CB7-4A32-AADB-06A99FB853C5}" presName="connTx" presStyleLbl="parChTrans1D4" presStyleIdx="2" presStyleCnt="18"/>
      <dgm:spPr/>
    </dgm:pt>
    <dgm:pt modelId="{2D5CE2BF-4F3C-456D-94C6-324355F40EE6}" type="pres">
      <dgm:prSet presAssocID="{5149AFFD-419D-4A48-B35E-3D9614BB6428}" presName="Name30" presStyleCnt="0"/>
      <dgm:spPr/>
    </dgm:pt>
    <dgm:pt modelId="{C865CFE1-91EE-404F-B002-EFC64738C5ED}" type="pres">
      <dgm:prSet presAssocID="{5149AFFD-419D-4A48-B35E-3D9614BB6428}" presName="level2Shape" presStyleLbl="node4" presStyleIdx="2" presStyleCnt="18" custScaleX="399372" custLinFactY="-300000" custLinFactNeighborX="53036" custLinFactNeighborY="-311095"/>
      <dgm:spPr/>
    </dgm:pt>
    <dgm:pt modelId="{152FC922-15CF-4E13-97F8-50DF0F028AB2}" type="pres">
      <dgm:prSet presAssocID="{5149AFFD-419D-4A48-B35E-3D9614BB6428}" presName="hierChild3" presStyleCnt="0"/>
      <dgm:spPr/>
    </dgm:pt>
    <dgm:pt modelId="{D5CCFA66-0FD1-4144-BB7E-8D214F4AF0FC}" type="pres">
      <dgm:prSet presAssocID="{556D8DC5-43F0-41C7-AA82-B733438D3380}" presName="Name25" presStyleLbl="parChTrans1D4" presStyleIdx="3" presStyleCnt="18"/>
      <dgm:spPr/>
    </dgm:pt>
    <dgm:pt modelId="{691A4AE3-60C5-4EBC-AB24-4D33A9AE501B}" type="pres">
      <dgm:prSet presAssocID="{556D8DC5-43F0-41C7-AA82-B733438D3380}" presName="connTx" presStyleLbl="parChTrans1D4" presStyleIdx="3" presStyleCnt="18"/>
      <dgm:spPr/>
    </dgm:pt>
    <dgm:pt modelId="{1F56EED2-B225-4BB7-ACAC-A0E9D33DC121}" type="pres">
      <dgm:prSet presAssocID="{852284D8-778C-4DC7-995B-8828A9CA7D96}" presName="Name30" presStyleCnt="0"/>
      <dgm:spPr/>
    </dgm:pt>
    <dgm:pt modelId="{0B34F9CC-3F84-4CEE-9443-20849904CCAB}" type="pres">
      <dgm:prSet presAssocID="{852284D8-778C-4DC7-995B-8828A9CA7D96}" presName="level2Shape" presStyleLbl="node4" presStyleIdx="3" presStyleCnt="18" custScaleX="399372" custLinFactY="-300000" custLinFactNeighborX="53036" custLinFactNeighborY="-301607"/>
      <dgm:spPr/>
    </dgm:pt>
    <dgm:pt modelId="{0374264B-0F7C-447D-9AFD-F623C0254283}" type="pres">
      <dgm:prSet presAssocID="{852284D8-778C-4DC7-995B-8828A9CA7D96}" presName="hierChild3" presStyleCnt="0"/>
      <dgm:spPr/>
    </dgm:pt>
    <dgm:pt modelId="{DD158556-FDB0-4FEF-917A-22DFCF6367A1}" type="pres">
      <dgm:prSet presAssocID="{F43AC5D5-570B-4448-BD13-D13E1C533FB6}" presName="Name25" presStyleLbl="parChTrans1D4" presStyleIdx="4" presStyleCnt="18"/>
      <dgm:spPr/>
    </dgm:pt>
    <dgm:pt modelId="{9406C347-F982-49C5-81BB-B23B5AFFC08F}" type="pres">
      <dgm:prSet presAssocID="{F43AC5D5-570B-4448-BD13-D13E1C533FB6}" presName="connTx" presStyleLbl="parChTrans1D4" presStyleIdx="4" presStyleCnt="18"/>
      <dgm:spPr/>
    </dgm:pt>
    <dgm:pt modelId="{FB88A000-B313-4C22-A774-FF64F0E215F5}" type="pres">
      <dgm:prSet presAssocID="{2EB2BB33-7E07-4371-9996-9BD4AC006805}" presName="Name30" presStyleCnt="0"/>
      <dgm:spPr/>
    </dgm:pt>
    <dgm:pt modelId="{A0A1D0C7-1CC7-4D07-AC43-DF2ECD7E7A4D}" type="pres">
      <dgm:prSet presAssocID="{2EB2BB33-7E07-4371-9996-9BD4AC006805}" presName="level2Shape" presStyleLbl="node4" presStyleIdx="4" presStyleCnt="18" custScaleX="399372" custScaleY="126523" custLinFactY="-291930" custLinFactNeighborX="54717" custLinFactNeighborY="-300000"/>
      <dgm:spPr/>
    </dgm:pt>
    <dgm:pt modelId="{AA7E91B8-94FD-4B3A-B0CA-836FB37DA3D7}" type="pres">
      <dgm:prSet presAssocID="{2EB2BB33-7E07-4371-9996-9BD4AC006805}" presName="hierChild3" presStyleCnt="0"/>
      <dgm:spPr/>
    </dgm:pt>
    <dgm:pt modelId="{D8B17A21-E616-4DDB-BBDC-8324F8F585D7}" type="pres">
      <dgm:prSet presAssocID="{59EE4DC0-45E1-4952-A141-ABB56707502F}" presName="Name25" presStyleLbl="parChTrans1D4" presStyleIdx="5" presStyleCnt="18"/>
      <dgm:spPr/>
    </dgm:pt>
    <dgm:pt modelId="{127EC6AB-1677-442E-AE95-C3770C428C4A}" type="pres">
      <dgm:prSet presAssocID="{59EE4DC0-45E1-4952-A141-ABB56707502F}" presName="connTx" presStyleLbl="parChTrans1D4" presStyleIdx="5" presStyleCnt="18"/>
      <dgm:spPr/>
    </dgm:pt>
    <dgm:pt modelId="{F8EAEA02-EF91-4C6C-A27A-CDA0105EC4D4}" type="pres">
      <dgm:prSet presAssocID="{71C4ACDA-B263-4933-8E24-5F62A4309A3D}" presName="Name30" presStyleCnt="0"/>
      <dgm:spPr/>
    </dgm:pt>
    <dgm:pt modelId="{4A694950-E2A0-46CD-83B9-2757EFE9916D}" type="pres">
      <dgm:prSet presAssocID="{71C4ACDA-B263-4933-8E24-5F62A4309A3D}" presName="level2Shape" presStyleLbl="node4" presStyleIdx="5" presStyleCnt="18" custScaleX="399372" custLinFactY="-291930" custLinFactNeighborX="54717" custLinFactNeighborY="-300000"/>
      <dgm:spPr/>
    </dgm:pt>
    <dgm:pt modelId="{E6A4368B-5125-4D5A-B5C5-4B650808E5EA}" type="pres">
      <dgm:prSet presAssocID="{71C4ACDA-B263-4933-8E24-5F62A4309A3D}" presName="hierChild3" presStyleCnt="0"/>
      <dgm:spPr/>
    </dgm:pt>
    <dgm:pt modelId="{4CA8A06A-628F-486F-BF42-DAB5E7041E51}" type="pres">
      <dgm:prSet presAssocID="{300107F7-A053-470E-8693-784446C291B0}" presName="Name25" presStyleLbl="parChTrans1D4" presStyleIdx="6" presStyleCnt="18"/>
      <dgm:spPr/>
    </dgm:pt>
    <dgm:pt modelId="{BA432CC3-559F-4064-96C1-47AFAE3598BF}" type="pres">
      <dgm:prSet presAssocID="{300107F7-A053-470E-8693-784446C291B0}" presName="connTx" presStyleLbl="parChTrans1D4" presStyleIdx="6" presStyleCnt="18"/>
      <dgm:spPr/>
    </dgm:pt>
    <dgm:pt modelId="{2C7784CF-35F6-421B-91B2-6773584739A2}" type="pres">
      <dgm:prSet presAssocID="{8A0FA49D-4B45-4722-8B0A-31DC44D118D7}" presName="Name30" presStyleCnt="0"/>
      <dgm:spPr/>
    </dgm:pt>
    <dgm:pt modelId="{99E0F38B-22BC-4C0F-B4F4-4D46B4C1D9E3}" type="pres">
      <dgm:prSet presAssocID="{8A0FA49D-4B45-4722-8B0A-31DC44D118D7}" presName="level2Shape" presStyleLbl="node4" presStyleIdx="6" presStyleCnt="18" custScaleX="399372" custLinFactY="-285604" custLinFactNeighborX="54717" custLinFactNeighborY="-300000"/>
      <dgm:spPr/>
    </dgm:pt>
    <dgm:pt modelId="{14D83C8C-93B0-4DC6-85E8-ABCB868EF321}" type="pres">
      <dgm:prSet presAssocID="{8A0FA49D-4B45-4722-8B0A-31DC44D118D7}" presName="hierChild3" presStyleCnt="0"/>
      <dgm:spPr/>
    </dgm:pt>
    <dgm:pt modelId="{E6B0E921-D293-4BF9-94CB-76C4245C0E8B}" type="pres">
      <dgm:prSet presAssocID="{727C861B-94E3-4CC6-931D-8933BBE029C7}" presName="Name25" presStyleLbl="parChTrans1D3" presStyleIdx="5" presStyleCnt="8"/>
      <dgm:spPr/>
    </dgm:pt>
    <dgm:pt modelId="{70F7F14C-F906-49C6-8DF4-1249A7E514E3}" type="pres">
      <dgm:prSet presAssocID="{727C861B-94E3-4CC6-931D-8933BBE029C7}" presName="connTx" presStyleLbl="parChTrans1D3" presStyleIdx="5" presStyleCnt="8"/>
      <dgm:spPr/>
    </dgm:pt>
    <dgm:pt modelId="{5657D419-45CC-4C07-82AB-3FF47BAE2699}" type="pres">
      <dgm:prSet presAssocID="{0A653CCF-5C9F-49DD-8F17-5EDAB9C18699}" presName="Name30" presStyleCnt="0"/>
      <dgm:spPr/>
    </dgm:pt>
    <dgm:pt modelId="{929EA9E7-B578-4B3E-8D00-0225D42DA50D}" type="pres">
      <dgm:prSet presAssocID="{0A653CCF-5C9F-49DD-8F17-5EDAB9C18699}" presName="level2Shape" presStyleLbl="node3" presStyleIdx="5" presStyleCnt="8" custScaleX="266485" custLinFactY="-200000" custLinFactNeighborX="20155" custLinFactNeighborY="-294676"/>
      <dgm:spPr/>
    </dgm:pt>
    <dgm:pt modelId="{E174535F-2523-475E-9FBC-5E61B6A98447}" type="pres">
      <dgm:prSet presAssocID="{0A653CCF-5C9F-49DD-8F17-5EDAB9C18699}" presName="hierChild3" presStyleCnt="0"/>
      <dgm:spPr/>
    </dgm:pt>
    <dgm:pt modelId="{F25D7220-CD59-4FFA-92B9-F0D18F30A8F0}" type="pres">
      <dgm:prSet presAssocID="{88352D93-70C9-408A-A958-2E36C07D5FC2}" presName="Name25" presStyleLbl="parChTrans1D4" presStyleIdx="7" presStyleCnt="18"/>
      <dgm:spPr/>
    </dgm:pt>
    <dgm:pt modelId="{0AFA6E90-E950-4C02-A06F-C4F937F8FCA3}" type="pres">
      <dgm:prSet presAssocID="{88352D93-70C9-408A-A958-2E36C07D5FC2}" presName="connTx" presStyleLbl="parChTrans1D4" presStyleIdx="7" presStyleCnt="18"/>
      <dgm:spPr/>
    </dgm:pt>
    <dgm:pt modelId="{6ADC1004-46D5-4DD2-9AA6-21D6A2E9CEE6}" type="pres">
      <dgm:prSet presAssocID="{1D647B63-DA5B-47CE-9FFC-8DDCBD183C1F}" presName="Name30" presStyleCnt="0"/>
      <dgm:spPr/>
    </dgm:pt>
    <dgm:pt modelId="{E8838CA3-0E28-437C-B3C3-672E0B7FAB13}" type="pres">
      <dgm:prSet presAssocID="{1D647B63-DA5B-47CE-9FFC-8DDCBD183C1F}" presName="level2Shape" presStyleLbl="node4" presStyleIdx="7" presStyleCnt="18" custScaleX="399372" custLinFactY="-200183" custLinFactNeighborX="54717" custLinFactNeighborY="-300000"/>
      <dgm:spPr/>
    </dgm:pt>
    <dgm:pt modelId="{1158E3EC-463F-4436-844C-6FAC9D8C8007}" type="pres">
      <dgm:prSet presAssocID="{1D647B63-DA5B-47CE-9FFC-8DDCBD183C1F}" presName="hierChild3" presStyleCnt="0"/>
      <dgm:spPr/>
    </dgm:pt>
    <dgm:pt modelId="{23518BE6-90BB-43C6-B430-C2F4F1E43DB7}" type="pres">
      <dgm:prSet presAssocID="{8BF6C0B2-F3D6-4076-A621-647761A5631E}" presName="Name25" presStyleLbl="parChTrans1D4" presStyleIdx="8" presStyleCnt="18"/>
      <dgm:spPr/>
    </dgm:pt>
    <dgm:pt modelId="{513A0A9D-3175-4801-A36F-E3BA2C62718D}" type="pres">
      <dgm:prSet presAssocID="{8BF6C0B2-F3D6-4076-A621-647761A5631E}" presName="connTx" presStyleLbl="parChTrans1D4" presStyleIdx="8" presStyleCnt="18"/>
      <dgm:spPr/>
    </dgm:pt>
    <dgm:pt modelId="{2F21C01D-F401-471A-B9F0-99227291DAA0}" type="pres">
      <dgm:prSet presAssocID="{CD293353-E897-476D-B964-445EB018D9B3}" presName="Name30" presStyleCnt="0"/>
      <dgm:spPr/>
    </dgm:pt>
    <dgm:pt modelId="{2B0E3178-06E4-400D-868A-A750A946E9B0}" type="pres">
      <dgm:prSet presAssocID="{CD293353-E897-476D-B964-445EB018D9B3}" presName="level2Shape" presStyleLbl="node4" presStyleIdx="8" presStyleCnt="18" custScaleX="399372" custLinFactY="-200183" custLinFactNeighborX="54717" custLinFactNeighborY="-300000"/>
      <dgm:spPr/>
    </dgm:pt>
    <dgm:pt modelId="{27A5B929-E9C9-4AF9-A02A-4259F54161AC}" type="pres">
      <dgm:prSet presAssocID="{CD293353-E897-476D-B964-445EB018D9B3}" presName="hierChild3" presStyleCnt="0"/>
      <dgm:spPr/>
    </dgm:pt>
    <dgm:pt modelId="{5742B88E-155D-4129-852D-C2292AAFAE6A}" type="pres">
      <dgm:prSet presAssocID="{92AD5871-B0CB-4074-BCE9-F63E7F5B84D3}" presName="Name25" presStyleLbl="parChTrans1D4" presStyleIdx="9" presStyleCnt="18"/>
      <dgm:spPr/>
    </dgm:pt>
    <dgm:pt modelId="{60FE1ADE-522F-4D52-82B7-9426EDF607D2}" type="pres">
      <dgm:prSet presAssocID="{92AD5871-B0CB-4074-BCE9-F63E7F5B84D3}" presName="connTx" presStyleLbl="parChTrans1D4" presStyleIdx="9" presStyleCnt="18"/>
      <dgm:spPr/>
    </dgm:pt>
    <dgm:pt modelId="{A3C91E1C-2D4A-4808-BE1D-5CEEF2853BA5}" type="pres">
      <dgm:prSet presAssocID="{BBB44D1E-5FD1-4550-87D4-FDB14F83D920}" presName="Name30" presStyleCnt="0"/>
      <dgm:spPr/>
    </dgm:pt>
    <dgm:pt modelId="{1DA5D232-807B-48EB-B212-1A5CC8432626}" type="pres">
      <dgm:prSet presAssocID="{BBB44D1E-5FD1-4550-87D4-FDB14F83D920}" presName="level2Shape" presStyleLbl="node4" presStyleIdx="9" presStyleCnt="18" custScaleX="399372" custLinFactY="-200183" custLinFactNeighborX="54717" custLinFactNeighborY="-300000"/>
      <dgm:spPr/>
    </dgm:pt>
    <dgm:pt modelId="{CB8E5A7E-AB70-4E9A-968F-A43399A14512}" type="pres">
      <dgm:prSet presAssocID="{BBB44D1E-5FD1-4550-87D4-FDB14F83D920}" presName="hierChild3" presStyleCnt="0"/>
      <dgm:spPr/>
    </dgm:pt>
    <dgm:pt modelId="{FAC0DB6A-AD4F-4C26-911C-78404143D7A2}" type="pres">
      <dgm:prSet presAssocID="{983EBBB6-9861-46A9-B41F-DC04EFAE53F7}" presName="Name25" presStyleLbl="parChTrans1D3" presStyleIdx="6" presStyleCnt="8"/>
      <dgm:spPr/>
    </dgm:pt>
    <dgm:pt modelId="{3EE5946B-51F4-4B9C-9F4A-78D0B5183949}" type="pres">
      <dgm:prSet presAssocID="{983EBBB6-9861-46A9-B41F-DC04EFAE53F7}" presName="connTx" presStyleLbl="parChTrans1D3" presStyleIdx="6" presStyleCnt="8"/>
      <dgm:spPr/>
    </dgm:pt>
    <dgm:pt modelId="{CE9F17B5-3490-4170-AF67-5C948AC2264C}" type="pres">
      <dgm:prSet presAssocID="{1635C84A-54FE-458F-8602-4BC25578A189}" presName="Name30" presStyleCnt="0"/>
      <dgm:spPr/>
    </dgm:pt>
    <dgm:pt modelId="{D5133E21-936C-4D7A-ACF8-9BCBFA61A708}" type="pres">
      <dgm:prSet presAssocID="{1635C84A-54FE-458F-8602-4BC25578A189}" presName="level2Shape" presStyleLbl="node3" presStyleIdx="6" presStyleCnt="8" custScaleX="266485" custLinFactY="-200000" custLinFactNeighborX="20155" custLinFactNeighborY="-206634"/>
      <dgm:spPr/>
    </dgm:pt>
    <dgm:pt modelId="{660600BC-03D0-4BF8-AD19-BE815AE676F8}" type="pres">
      <dgm:prSet presAssocID="{1635C84A-54FE-458F-8602-4BC25578A189}" presName="hierChild3" presStyleCnt="0"/>
      <dgm:spPr/>
    </dgm:pt>
    <dgm:pt modelId="{69EC852C-8810-426D-80CB-A277E975A1AB}" type="pres">
      <dgm:prSet presAssocID="{268EEBBB-9993-4C18-8493-0FDF4C107767}" presName="Name25" presStyleLbl="parChTrans1D4" presStyleIdx="10" presStyleCnt="18"/>
      <dgm:spPr/>
    </dgm:pt>
    <dgm:pt modelId="{5A79AD2E-AFAB-439B-B717-7D52C7200D22}" type="pres">
      <dgm:prSet presAssocID="{268EEBBB-9993-4C18-8493-0FDF4C107767}" presName="connTx" presStyleLbl="parChTrans1D4" presStyleIdx="10" presStyleCnt="18"/>
      <dgm:spPr/>
    </dgm:pt>
    <dgm:pt modelId="{1ACDAC03-120F-4B29-8E14-B29021A0DF8F}" type="pres">
      <dgm:prSet presAssocID="{39744CDA-6561-4985-84FD-09F397BE112A}" presName="Name30" presStyleCnt="0"/>
      <dgm:spPr/>
    </dgm:pt>
    <dgm:pt modelId="{A9F8C3E4-401F-4385-A450-05F20E7A0055}" type="pres">
      <dgm:prSet presAssocID="{39744CDA-6561-4985-84FD-09F397BE112A}" presName="level2Shape" presStyleLbl="node4" presStyleIdx="10" presStyleCnt="18" custScaleX="399372" custLinFactY="-200000" custLinFactNeighborX="51054" custLinFactNeighborY="-210281"/>
      <dgm:spPr/>
    </dgm:pt>
    <dgm:pt modelId="{5C6E415C-263E-4BAF-AB7D-C3BE8DCA4543}" type="pres">
      <dgm:prSet presAssocID="{39744CDA-6561-4985-84FD-09F397BE112A}" presName="hierChild3" presStyleCnt="0"/>
      <dgm:spPr/>
    </dgm:pt>
    <dgm:pt modelId="{28F36EFA-290F-4C4E-A472-092F8FA01701}" type="pres">
      <dgm:prSet presAssocID="{98FBC8AB-96C4-4E16-8156-620D9CAF15E0}" presName="Name25" presStyleLbl="parChTrans1D4" presStyleIdx="11" presStyleCnt="18"/>
      <dgm:spPr/>
    </dgm:pt>
    <dgm:pt modelId="{B32E8DDD-58F2-4FA1-9D8E-450462073744}" type="pres">
      <dgm:prSet presAssocID="{98FBC8AB-96C4-4E16-8156-620D9CAF15E0}" presName="connTx" presStyleLbl="parChTrans1D4" presStyleIdx="11" presStyleCnt="18"/>
      <dgm:spPr/>
    </dgm:pt>
    <dgm:pt modelId="{5FB8D39B-4CF5-49A1-8982-55DDD89972F0}" type="pres">
      <dgm:prSet presAssocID="{6FF66AE7-B28B-4ADD-BDCA-2441C2FF36EF}" presName="Name30" presStyleCnt="0"/>
      <dgm:spPr/>
    </dgm:pt>
    <dgm:pt modelId="{C8F88A2D-B3A1-42AF-8ADB-2B61FF6A1D0E}" type="pres">
      <dgm:prSet presAssocID="{6FF66AE7-B28B-4ADD-BDCA-2441C2FF36EF}" presName="level2Shape" presStyleLbl="node4" presStyleIdx="11" presStyleCnt="18" custScaleX="399372" custLinFactY="-200000" custLinFactNeighborX="51054" custLinFactNeighborY="-210281"/>
      <dgm:spPr/>
    </dgm:pt>
    <dgm:pt modelId="{41E46E56-3236-4DC0-849D-D291C4C9B713}" type="pres">
      <dgm:prSet presAssocID="{6FF66AE7-B28B-4ADD-BDCA-2441C2FF36EF}" presName="hierChild3" presStyleCnt="0"/>
      <dgm:spPr/>
    </dgm:pt>
    <dgm:pt modelId="{18E1F2EA-6A0A-4962-9E62-A4C55C40AEFD}" type="pres">
      <dgm:prSet presAssocID="{1C94378E-1774-4CE1-B89D-7C6DD38DB392}" presName="Name25" presStyleLbl="parChTrans1D4" presStyleIdx="12" presStyleCnt="18"/>
      <dgm:spPr/>
    </dgm:pt>
    <dgm:pt modelId="{2D3C7D49-3975-4853-8555-FE5DCB4F89EB}" type="pres">
      <dgm:prSet presAssocID="{1C94378E-1774-4CE1-B89D-7C6DD38DB392}" presName="connTx" presStyleLbl="parChTrans1D4" presStyleIdx="12" presStyleCnt="18"/>
      <dgm:spPr/>
    </dgm:pt>
    <dgm:pt modelId="{4B3F4FD7-63DB-48A0-8E3E-826CEBF6EDC2}" type="pres">
      <dgm:prSet presAssocID="{A748DB59-3EC4-4403-BC00-A46C0A93A463}" presName="Name30" presStyleCnt="0"/>
      <dgm:spPr/>
    </dgm:pt>
    <dgm:pt modelId="{C988AC0F-C3D4-46A1-8A29-C45AF1103A9B}" type="pres">
      <dgm:prSet presAssocID="{A748DB59-3EC4-4403-BC00-A46C0A93A463}" presName="level2Shape" presStyleLbl="node4" presStyleIdx="12" presStyleCnt="18" custScaleX="399372" custLinFactY="-200000" custLinFactNeighborX="49473" custLinFactNeighborY="-210281"/>
      <dgm:spPr/>
    </dgm:pt>
    <dgm:pt modelId="{FDCE9A71-237E-44C4-B1CB-822C33BE64B6}" type="pres">
      <dgm:prSet presAssocID="{A748DB59-3EC4-4403-BC00-A46C0A93A463}" presName="hierChild3" presStyleCnt="0"/>
      <dgm:spPr/>
    </dgm:pt>
    <dgm:pt modelId="{5BF541E8-7014-4343-A3D4-76E2345D434B}" type="pres">
      <dgm:prSet presAssocID="{953E256F-138A-4D2C-A380-A88F25D24827}" presName="Name25" presStyleLbl="parChTrans1D4" presStyleIdx="13" presStyleCnt="18"/>
      <dgm:spPr/>
    </dgm:pt>
    <dgm:pt modelId="{BE8DDA2C-C9CB-4571-9B6A-E71F52893C43}" type="pres">
      <dgm:prSet presAssocID="{953E256F-138A-4D2C-A380-A88F25D24827}" presName="connTx" presStyleLbl="parChTrans1D4" presStyleIdx="13" presStyleCnt="18"/>
      <dgm:spPr/>
    </dgm:pt>
    <dgm:pt modelId="{A9C3E112-94D5-47DF-B234-96037BB6A6DC}" type="pres">
      <dgm:prSet presAssocID="{C604A885-7198-42FC-B118-E3A8F114BD5C}" presName="Name30" presStyleCnt="0"/>
      <dgm:spPr/>
    </dgm:pt>
    <dgm:pt modelId="{F165A8A3-647B-4896-9852-57C56AEE2C92}" type="pres">
      <dgm:prSet presAssocID="{C604A885-7198-42FC-B118-E3A8F114BD5C}" presName="level2Shape" presStyleLbl="node4" presStyleIdx="13" presStyleCnt="18" custScaleX="399372" custLinFactY="-200000" custLinFactNeighborX="49473" custLinFactNeighborY="-210281"/>
      <dgm:spPr/>
    </dgm:pt>
    <dgm:pt modelId="{FDD44D95-F9CB-42F0-9640-92F8E08D6675}" type="pres">
      <dgm:prSet presAssocID="{C604A885-7198-42FC-B118-E3A8F114BD5C}" presName="hierChild3" presStyleCnt="0"/>
      <dgm:spPr/>
    </dgm:pt>
    <dgm:pt modelId="{D1394A50-2CEA-4438-A015-8E61CF5C9789}" type="pres">
      <dgm:prSet presAssocID="{520E8336-CF52-4EF9-BC6F-98AB656387F5}" presName="Name25" presStyleLbl="parChTrans1D3" presStyleIdx="7" presStyleCnt="8"/>
      <dgm:spPr/>
    </dgm:pt>
    <dgm:pt modelId="{9BD82A8C-DF92-4EDE-A4E1-26B016FC2B10}" type="pres">
      <dgm:prSet presAssocID="{520E8336-CF52-4EF9-BC6F-98AB656387F5}" presName="connTx" presStyleLbl="parChTrans1D3" presStyleIdx="7" presStyleCnt="8"/>
      <dgm:spPr/>
    </dgm:pt>
    <dgm:pt modelId="{5BB77876-F617-423D-A656-C9B2A1240968}" type="pres">
      <dgm:prSet presAssocID="{0276C585-EC16-43F3-901E-D19289B7A45D}" presName="Name30" presStyleCnt="0"/>
      <dgm:spPr/>
    </dgm:pt>
    <dgm:pt modelId="{AC366CB4-C73A-4FD6-B436-3381599E034E}" type="pres">
      <dgm:prSet presAssocID="{0276C585-EC16-43F3-901E-D19289B7A45D}" presName="level2Shape" presStyleLbl="node3" presStyleIdx="7" presStyleCnt="8" custScaleX="266485" custLinFactY="-89471" custLinFactNeighborX="20155" custLinFactNeighborY="-100000"/>
      <dgm:spPr/>
    </dgm:pt>
    <dgm:pt modelId="{8F855341-3D4C-4D5B-868F-E7EEB3D199BF}" type="pres">
      <dgm:prSet presAssocID="{0276C585-EC16-43F3-901E-D19289B7A45D}" presName="hierChild3" presStyleCnt="0"/>
      <dgm:spPr/>
    </dgm:pt>
    <dgm:pt modelId="{97684C04-7B81-4A47-988A-FA763F4F1157}" type="pres">
      <dgm:prSet presAssocID="{F68F0F0A-8A58-4364-B528-860858E1CD36}" presName="Name25" presStyleLbl="parChTrans1D4" presStyleIdx="14" presStyleCnt="18"/>
      <dgm:spPr/>
    </dgm:pt>
    <dgm:pt modelId="{0C4F7BCE-EAB4-400B-9DDF-9925D7E44A55}" type="pres">
      <dgm:prSet presAssocID="{F68F0F0A-8A58-4364-B528-860858E1CD36}" presName="connTx" presStyleLbl="parChTrans1D4" presStyleIdx="14" presStyleCnt="18"/>
      <dgm:spPr/>
    </dgm:pt>
    <dgm:pt modelId="{F4268C98-0277-4FDD-AFC7-7620687D788E}" type="pres">
      <dgm:prSet presAssocID="{8A9EF65A-7205-47C7-AA24-3AB87AD094C2}" presName="Name30" presStyleCnt="0"/>
      <dgm:spPr/>
    </dgm:pt>
    <dgm:pt modelId="{5B909987-0CAE-4248-8499-40F112658A62}" type="pres">
      <dgm:prSet presAssocID="{8A9EF65A-7205-47C7-AA24-3AB87AD094C2}" presName="level2Shape" presStyleLbl="node4" presStyleIdx="14" presStyleCnt="18" custScaleX="399372" custScaleY="224911" custLinFactY="-100000" custLinFactNeighborX="51174" custLinFactNeighborY="-109202"/>
      <dgm:spPr/>
    </dgm:pt>
    <dgm:pt modelId="{CA660E46-A701-4E37-B471-737F7E50408D}" type="pres">
      <dgm:prSet presAssocID="{8A9EF65A-7205-47C7-AA24-3AB87AD094C2}" presName="hierChild3" presStyleCnt="0"/>
      <dgm:spPr/>
    </dgm:pt>
    <dgm:pt modelId="{7A74DB35-7E93-4651-8DDF-FFAC0E2EDF8F}" type="pres">
      <dgm:prSet presAssocID="{901546BF-8AEC-4CE8-9448-F77896175DED}" presName="Name25" presStyleLbl="parChTrans1D4" presStyleIdx="15" presStyleCnt="18"/>
      <dgm:spPr/>
    </dgm:pt>
    <dgm:pt modelId="{15ABFEA2-750B-4427-B946-80A92CF619F0}" type="pres">
      <dgm:prSet presAssocID="{901546BF-8AEC-4CE8-9448-F77896175DED}" presName="connTx" presStyleLbl="parChTrans1D4" presStyleIdx="15" presStyleCnt="18"/>
      <dgm:spPr/>
    </dgm:pt>
    <dgm:pt modelId="{0BFC0A49-D405-42BA-932A-758826ED2D88}" type="pres">
      <dgm:prSet presAssocID="{BFF63185-E156-4A54-BE89-14A9FD7C4B02}" presName="Name30" presStyleCnt="0"/>
      <dgm:spPr/>
    </dgm:pt>
    <dgm:pt modelId="{2213F8BC-7F5A-4AD9-B854-12EB52822A97}" type="pres">
      <dgm:prSet presAssocID="{BFF63185-E156-4A54-BE89-14A9FD7C4B02}" presName="level2Shape" presStyleLbl="node4" presStyleIdx="15" presStyleCnt="18" custScaleX="399372" custScaleY="152875" custLinFactY="-99904" custLinFactNeighborX="51174" custLinFactNeighborY="-100000"/>
      <dgm:spPr/>
    </dgm:pt>
    <dgm:pt modelId="{2634EF6E-7851-4134-A0C9-E81143A00EC5}" type="pres">
      <dgm:prSet presAssocID="{BFF63185-E156-4A54-BE89-14A9FD7C4B02}" presName="hierChild3" presStyleCnt="0"/>
      <dgm:spPr/>
    </dgm:pt>
    <dgm:pt modelId="{E1A11DDD-18FA-4004-9BE8-9BCF35273861}" type="pres">
      <dgm:prSet presAssocID="{A31DAF0A-FB31-436C-BFD0-082FB7AA6081}" presName="Name25" presStyleLbl="parChTrans1D4" presStyleIdx="16" presStyleCnt="18"/>
      <dgm:spPr/>
    </dgm:pt>
    <dgm:pt modelId="{37F55A1B-A910-47E1-8B3C-2C8A9F191D12}" type="pres">
      <dgm:prSet presAssocID="{A31DAF0A-FB31-436C-BFD0-082FB7AA6081}" presName="connTx" presStyleLbl="parChTrans1D4" presStyleIdx="16" presStyleCnt="18"/>
      <dgm:spPr/>
    </dgm:pt>
    <dgm:pt modelId="{D082D282-0702-4CB8-8C91-86DE7E364E55}" type="pres">
      <dgm:prSet presAssocID="{5CB0CA09-E4EC-4913-9F0A-B8DE01D8A859}" presName="Name30" presStyleCnt="0"/>
      <dgm:spPr/>
    </dgm:pt>
    <dgm:pt modelId="{9F3D3E81-3B7A-4E8A-84BB-D0B7850AD6A1}" type="pres">
      <dgm:prSet presAssocID="{5CB0CA09-E4EC-4913-9F0A-B8DE01D8A859}" presName="level2Shape" presStyleLbl="node4" presStyleIdx="16" presStyleCnt="18" custScaleX="399372" custScaleY="190343" custLinFactY="-87253" custLinFactNeighborX="49309" custLinFactNeighborY="-100000"/>
      <dgm:spPr/>
    </dgm:pt>
    <dgm:pt modelId="{A1283F70-526E-4768-9C06-CFE70C32AE81}" type="pres">
      <dgm:prSet presAssocID="{5CB0CA09-E4EC-4913-9F0A-B8DE01D8A859}" presName="hierChild3" presStyleCnt="0"/>
      <dgm:spPr/>
    </dgm:pt>
    <dgm:pt modelId="{49A498FD-9DD6-4B9C-9E4B-1756813E2104}" type="pres">
      <dgm:prSet presAssocID="{F768AAFC-170B-4321-80FD-0D36B2BC0971}" presName="Name25" presStyleLbl="parChTrans1D4" presStyleIdx="17" presStyleCnt="18"/>
      <dgm:spPr/>
    </dgm:pt>
    <dgm:pt modelId="{4349F976-2F90-481B-9602-7C3E11FDAF30}" type="pres">
      <dgm:prSet presAssocID="{F768AAFC-170B-4321-80FD-0D36B2BC0971}" presName="connTx" presStyleLbl="parChTrans1D4" presStyleIdx="17" presStyleCnt="18"/>
      <dgm:spPr/>
    </dgm:pt>
    <dgm:pt modelId="{4942C656-3CE6-48A2-8232-B0F4D659F047}" type="pres">
      <dgm:prSet presAssocID="{FD496E36-924C-4BAB-A30D-7F9F29386DC7}" presName="Name30" presStyleCnt="0"/>
      <dgm:spPr/>
    </dgm:pt>
    <dgm:pt modelId="{F0D336BE-8CE4-4853-BD3A-76712949F15A}" type="pres">
      <dgm:prSet presAssocID="{FD496E36-924C-4BAB-A30D-7F9F29386DC7}" presName="level2Shape" presStyleLbl="node4" presStyleIdx="17" presStyleCnt="18" custScaleX="399372" custScaleY="152875" custLinFactY="-73131" custLinFactNeighborX="51174" custLinFactNeighborY="-100000"/>
      <dgm:spPr/>
    </dgm:pt>
    <dgm:pt modelId="{FE2242FD-7E99-4D4B-A5EC-C50DC4B007FF}" type="pres">
      <dgm:prSet presAssocID="{FD496E36-924C-4BAB-A30D-7F9F29386DC7}" presName="hierChild3" presStyleCnt="0"/>
      <dgm:spPr/>
    </dgm:pt>
    <dgm:pt modelId="{76CAB9F3-424D-4C48-8078-30A77F2E50C0}" type="pres">
      <dgm:prSet presAssocID="{AAEF4D42-B5DF-443E-AB17-4EC33A3CB578}" presName="bgShapesFlow" presStyleCnt="0"/>
      <dgm:spPr/>
    </dgm:pt>
    <dgm:pt modelId="{A8B72EC7-AD20-4631-859D-C38ABB2FEDE3}" type="pres">
      <dgm:prSet presAssocID="{64DBB8EE-7A9B-4D71-9EC0-4435822AC991}" presName="rectComp" presStyleCnt="0"/>
      <dgm:spPr/>
    </dgm:pt>
    <dgm:pt modelId="{0DD267EE-5B7D-4A3D-B043-BBCB874DAAE1}" type="pres">
      <dgm:prSet presAssocID="{64DBB8EE-7A9B-4D71-9EC0-4435822AC991}" presName="bgRect" presStyleLbl="bgShp" presStyleIdx="0" presStyleCnt="4" custScaleX="236823" custScaleY="100000" custLinFactNeighborX="33840" custLinFactNeighborY="5857"/>
      <dgm:spPr/>
    </dgm:pt>
    <dgm:pt modelId="{03E19803-6D48-40ED-9304-15FC108895F2}" type="pres">
      <dgm:prSet presAssocID="{64DBB8EE-7A9B-4D71-9EC0-4435822AC991}" presName="bgRectTx" presStyleLbl="bgShp" presStyleIdx="0" presStyleCnt="4">
        <dgm:presLayoutVars>
          <dgm:bulletEnabled val="1"/>
        </dgm:presLayoutVars>
      </dgm:prSet>
      <dgm:spPr/>
    </dgm:pt>
    <dgm:pt modelId="{A0A269DB-8CF3-476A-8340-94A41C377CFC}" type="pres">
      <dgm:prSet presAssocID="{64DBB8EE-7A9B-4D71-9EC0-4435822AC991}" presName="spComp" presStyleCnt="0"/>
      <dgm:spPr/>
    </dgm:pt>
    <dgm:pt modelId="{F2E1FEF9-0B7D-4951-A15A-6BF6594A9157}" type="pres">
      <dgm:prSet presAssocID="{64DBB8EE-7A9B-4D71-9EC0-4435822AC991}" presName="hSp" presStyleCnt="0"/>
      <dgm:spPr/>
    </dgm:pt>
    <dgm:pt modelId="{3706B5BD-E09E-4D0B-9ACC-9EE997E83698}" type="pres">
      <dgm:prSet presAssocID="{804578FE-281C-4C08-A8DB-0AF878AE76D4}" presName="rectComp" presStyleCnt="0"/>
      <dgm:spPr/>
    </dgm:pt>
    <dgm:pt modelId="{D443A850-84C3-42D6-A285-77044588663D}" type="pres">
      <dgm:prSet presAssocID="{804578FE-281C-4C08-A8DB-0AF878AE76D4}" presName="bgRect" presStyleLbl="bgShp" presStyleIdx="1" presStyleCnt="4" custScaleX="239900" custScaleY="98799" custLinFactNeighborX="515" custLinFactNeighborY="-600"/>
      <dgm:spPr/>
    </dgm:pt>
    <dgm:pt modelId="{3BC0C682-49AF-4444-935B-C31FD7B7E03D}" type="pres">
      <dgm:prSet presAssocID="{804578FE-281C-4C08-A8DB-0AF878AE76D4}" presName="bgRectTx" presStyleLbl="bgShp" presStyleIdx="1" presStyleCnt="4">
        <dgm:presLayoutVars>
          <dgm:bulletEnabled val="1"/>
        </dgm:presLayoutVars>
      </dgm:prSet>
      <dgm:spPr/>
    </dgm:pt>
    <dgm:pt modelId="{DA0B0916-780D-495B-9D1F-E51BBA82EE21}" type="pres">
      <dgm:prSet presAssocID="{804578FE-281C-4C08-A8DB-0AF878AE76D4}" presName="spComp" presStyleCnt="0"/>
      <dgm:spPr/>
    </dgm:pt>
    <dgm:pt modelId="{C5F545E5-2E3C-455E-BA2E-73E30D8D2983}" type="pres">
      <dgm:prSet presAssocID="{804578FE-281C-4C08-A8DB-0AF878AE76D4}" presName="hSp" presStyleCnt="0"/>
      <dgm:spPr/>
    </dgm:pt>
    <dgm:pt modelId="{80297A8E-C315-4AD0-854B-C0DDA8E69F41}" type="pres">
      <dgm:prSet presAssocID="{EA904DB0-5EB1-46E1-B0F3-3F30EDE2647D}" presName="rectComp" presStyleCnt="0"/>
      <dgm:spPr/>
    </dgm:pt>
    <dgm:pt modelId="{A41E6833-938D-4779-A65A-8045F3E4418F}" type="pres">
      <dgm:prSet presAssocID="{EA904DB0-5EB1-46E1-B0F3-3F30EDE2647D}" presName="bgRect" presStyleLbl="bgShp" presStyleIdx="2" presStyleCnt="4" custScaleX="251987" custScaleY="98799" custLinFactNeighborX="910" custLinFactNeighborY="-600"/>
      <dgm:spPr/>
    </dgm:pt>
    <dgm:pt modelId="{BD79B523-34AB-48F8-A91C-B8DA7B6FF4C4}" type="pres">
      <dgm:prSet presAssocID="{EA904DB0-5EB1-46E1-B0F3-3F30EDE2647D}" presName="bgRectTx" presStyleLbl="bgShp" presStyleIdx="2" presStyleCnt="4">
        <dgm:presLayoutVars>
          <dgm:bulletEnabled val="1"/>
        </dgm:presLayoutVars>
      </dgm:prSet>
      <dgm:spPr/>
    </dgm:pt>
    <dgm:pt modelId="{168A74BA-CE40-457B-B4CF-30C2025CAC44}" type="pres">
      <dgm:prSet presAssocID="{EA904DB0-5EB1-46E1-B0F3-3F30EDE2647D}" presName="spComp" presStyleCnt="0"/>
      <dgm:spPr/>
    </dgm:pt>
    <dgm:pt modelId="{4B5C13A6-261F-430B-A82E-B342A0B17519}" type="pres">
      <dgm:prSet presAssocID="{EA904DB0-5EB1-46E1-B0F3-3F30EDE2647D}" presName="hSp" presStyleCnt="0"/>
      <dgm:spPr/>
    </dgm:pt>
    <dgm:pt modelId="{3455E638-74ED-47F5-9584-EBED34001872}" type="pres">
      <dgm:prSet presAssocID="{3E095483-6038-4B5B-AB6C-D33E67029F1E}" presName="rectComp" presStyleCnt="0"/>
      <dgm:spPr/>
    </dgm:pt>
    <dgm:pt modelId="{68E4FB85-AA7A-4203-BCDA-5A036A8A75AB}" type="pres">
      <dgm:prSet presAssocID="{3E095483-6038-4B5B-AB6C-D33E67029F1E}" presName="bgRect" presStyleLbl="bgShp" presStyleIdx="3" presStyleCnt="4" custScaleX="375073" custScaleY="98799" custLinFactNeighborX="62130" custLinFactNeighborY="-600"/>
      <dgm:spPr/>
    </dgm:pt>
    <dgm:pt modelId="{E7906961-795F-4052-8A3B-F308D7FEA4C7}" type="pres">
      <dgm:prSet presAssocID="{3E095483-6038-4B5B-AB6C-D33E67029F1E}" presName="bgRectTx" presStyleLbl="bgShp" presStyleIdx="3" presStyleCnt="4">
        <dgm:presLayoutVars>
          <dgm:bulletEnabled val="1"/>
        </dgm:presLayoutVars>
      </dgm:prSet>
      <dgm:spPr/>
    </dgm:pt>
  </dgm:ptLst>
  <dgm:cxnLst>
    <dgm:cxn modelId="{7C603B00-B92A-457D-8680-6D53A7C21495}" type="presOf" srcId="{88352D93-70C9-408A-A958-2E36C07D5FC2}" destId="{F25D7220-CD59-4FFA-92B9-F0D18F30A8F0}" srcOrd="0" destOrd="0" presId="urn:microsoft.com/office/officeart/2005/8/layout/hierarchy5"/>
    <dgm:cxn modelId="{DF6C0501-47DF-4838-94F0-39468CC5BAA0}" type="presOf" srcId="{71C4ACDA-B263-4933-8E24-5F62A4309A3D}" destId="{4A694950-E2A0-46CD-83B9-2757EFE9916D}" srcOrd="0" destOrd="0" presId="urn:microsoft.com/office/officeart/2005/8/layout/hierarchy5"/>
    <dgm:cxn modelId="{8960C801-4244-4D40-A8A9-AD61A00D22A3}" type="presOf" srcId="{F768AAFC-170B-4321-80FD-0D36B2BC0971}" destId="{4349F976-2F90-481B-9602-7C3E11FDAF30}" srcOrd="1" destOrd="0" presId="urn:microsoft.com/office/officeart/2005/8/layout/hierarchy5"/>
    <dgm:cxn modelId="{13C3B804-3FDF-4DB4-95D5-F16A582A188E}" type="presOf" srcId="{727C861B-94E3-4CC6-931D-8933BBE029C7}" destId="{70F7F14C-F906-49C6-8DF4-1249A7E514E3}" srcOrd="1" destOrd="0" presId="urn:microsoft.com/office/officeart/2005/8/layout/hierarchy5"/>
    <dgm:cxn modelId="{127A5F06-A4D5-46E5-9C3A-49F2E69CCA28}" type="presOf" srcId="{1635C84A-54FE-458F-8602-4BC25578A189}" destId="{D5133E21-936C-4D7A-ACF8-9BCBFA61A708}" srcOrd="0" destOrd="0" presId="urn:microsoft.com/office/officeart/2005/8/layout/hierarchy5"/>
    <dgm:cxn modelId="{5D4D4106-B3F5-4A97-9D9A-08DADF928B25}" type="presOf" srcId="{3E095483-6038-4B5B-AB6C-D33E67029F1E}" destId="{68E4FB85-AA7A-4203-BCDA-5A036A8A75AB}" srcOrd="0" destOrd="0" presId="urn:microsoft.com/office/officeart/2005/8/layout/hierarchy5"/>
    <dgm:cxn modelId="{500B470A-2423-4E66-9959-514088A03141}" srcId="{DD419725-77A1-4E29-841E-20268ABA3D72}" destId="{35E0B479-F29C-49FC-8E1C-E9E206FCBD5C}" srcOrd="1" destOrd="0" parTransId="{3CE1E480-9160-4CAE-867D-CE24C8425515}" sibTransId="{DC651EAB-91F9-48D0-B546-31538D22DA9C}"/>
    <dgm:cxn modelId="{6EBF0A0B-8D7D-4959-8759-93D4F6BE6F32}" type="presOf" srcId="{983EBBB6-9861-46A9-B41F-DC04EFAE53F7}" destId="{FAC0DB6A-AD4F-4C26-911C-78404143D7A2}" srcOrd="0" destOrd="0" presId="urn:microsoft.com/office/officeart/2005/8/layout/hierarchy5"/>
    <dgm:cxn modelId="{E0F4200F-2583-46E4-BA93-6A40D1BBAF64}" srcId="{C203F73A-822C-4F55-A77B-0F958A674B80}" destId="{5149AFFD-419D-4A48-B35E-3D9614BB6428}" srcOrd="0" destOrd="0" parTransId="{577BE3D8-5CB7-4A32-AADB-06A99FB853C5}" sibTransId="{AF6559FC-6B0F-4B51-ADF3-58930D92AF05}"/>
    <dgm:cxn modelId="{E3D16010-7F20-464F-B842-204447AAF60A}" type="presOf" srcId="{A748DB59-3EC4-4403-BC00-A46C0A93A463}" destId="{C988AC0F-C3D4-46A1-8A29-C45AF1103A9B}" srcOrd="0" destOrd="0" presId="urn:microsoft.com/office/officeart/2005/8/layout/hierarchy5"/>
    <dgm:cxn modelId="{78FF9D16-404F-497A-B823-9B6598C080A3}" srcId="{1635C84A-54FE-458F-8602-4BC25578A189}" destId="{39744CDA-6561-4985-84FD-09F397BE112A}" srcOrd="0" destOrd="0" parTransId="{268EEBBB-9993-4C18-8493-0FDF4C107767}" sibTransId="{CB081D80-38F9-41F4-AC55-968D6090A7FD}"/>
    <dgm:cxn modelId="{2770F516-96F2-4A7C-8694-07E3AFB67631}" type="presOf" srcId="{8BF6C0B2-F3D6-4076-A621-647761A5631E}" destId="{23518BE6-90BB-43C6-B430-C2F4F1E43DB7}" srcOrd="0" destOrd="0" presId="urn:microsoft.com/office/officeart/2005/8/layout/hierarchy5"/>
    <dgm:cxn modelId="{927B7618-D13F-4874-A41E-CAEB0F2C9A00}" srcId="{0276C585-EC16-43F3-901E-D19289B7A45D}" destId="{5CB0CA09-E4EC-4913-9F0A-B8DE01D8A859}" srcOrd="2" destOrd="0" parTransId="{A31DAF0A-FB31-436C-BFD0-082FB7AA6081}" sibTransId="{7176FCDC-CE7D-4D9D-A9A4-AD0B7898827D}"/>
    <dgm:cxn modelId="{C2061E1E-D323-4018-8304-397E096E42A7}" srcId="{0A653CCF-5C9F-49DD-8F17-5EDAB9C18699}" destId="{CD293353-E897-476D-B964-445EB018D9B3}" srcOrd="1" destOrd="0" parTransId="{8BF6C0B2-F3D6-4076-A621-647761A5631E}" sibTransId="{F42733F6-8AE4-4663-A650-9D9B539687CA}"/>
    <dgm:cxn modelId="{1B3B7F1E-A0F2-4A7A-9FE0-51E3A360B0FB}" type="presOf" srcId="{AAEF4D42-B5DF-443E-AB17-4EC33A3CB578}" destId="{DD15816B-5A97-4463-B44A-456F68E17229}" srcOrd="0" destOrd="0" presId="urn:microsoft.com/office/officeart/2005/8/layout/hierarchy5"/>
    <dgm:cxn modelId="{D78D7321-0F49-42CF-BB23-E191AC19F482}" type="presOf" srcId="{852284D8-778C-4DC7-995B-8828A9CA7D96}" destId="{0B34F9CC-3F84-4CEE-9443-20849904CCAB}" srcOrd="0" destOrd="0" presId="urn:microsoft.com/office/officeart/2005/8/layout/hierarchy5"/>
    <dgm:cxn modelId="{61B51625-7CC5-4755-B221-00B41D1DC1F6}" srcId="{0A653CCF-5C9F-49DD-8F17-5EDAB9C18699}" destId="{BBB44D1E-5FD1-4550-87D4-FDB14F83D920}" srcOrd="2" destOrd="0" parTransId="{92AD5871-B0CB-4074-BCE9-F63E7F5B84D3}" sibTransId="{1CF7E3D0-D07B-4809-9362-A7AB9A720781}"/>
    <dgm:cxn modelId="{13CB7E25-7C21-42D6-AC2A-F16AE6E47475}" type="presOf" srcId="{2EB2BB33-7E07-4371-9996-9BD4AC006805}" destId="{A0A1D0C7-1CC7-4D07-AC43-DF2ECD7E7A4D}" srcOrd="0" destOrd="0" presId="urn:microsoft.com/office/officeart/2005/8/layout/hierarchy5"/>
    <dgm:cxn modelId="{E6C4F526-D731-45A4-B8A5-42392B2DA831}" type="presOf" srcId="{A31DAF0A-FB31-436C-BFD0-082FB7AA6081}" destId="{E1A11DDD-18FA-4004-9BE8-9BCF35273861}" srcOrd="0" destOrd="0" presId="urn:microsoft.com/office/officeart/2005/8/layout/hierarchy5"/>
    <dgm:cxn modelId="{44F6642E-C8EE-41E9-93A5-EE2A57236D60}" type="presOf" srcId="{5149AFFD-419D-4A48-B35E-3D9614BB6428}" destId="{C865CFE1-91EE-404F-B002-EFC64738C5ED}" srcOrd="0" destOrd="0" presId="urn:microsoft.com/office/officeart/2005/8/layout/hierarchy5"/>
    <dgm:cxn modelId="{C79A0330-C962-4235-89C5-6458F5EF1098}" type="presOf" srcId="{3E095483-6038-4B5B-AB6C-D33E67029F1E}" destId="{E7906961-795F-4052-8A3B-F308D7FEA4C7}" srcOrd="1" destOrd="0" presId="urn:microsoft.com/office/officeart/2005/8/layout/hierarchy5"/>
    <dgm:cxn modelId="{79E89131-B7B0-401F-A1A3-A4645448B1C7}" type="presOf" srcId="{6F531495-2E7A-4B8E-9639-557919AD3528}" destId="{EDE2A0F2-3E3A-4C6B-92BE-8297AA578B1A}" srcOrd="0" destOrd="0" presId="urn:microsoft.com/office/officeart/2005/8/layout/hierarchy5"/>
    <dgm:cxn modelId="{4C07BB33-A514-45E8-9192-FD0B0F880696}" type="presOf" srcId="{A64BBCD1-5EB7-4B12-A25E-8BB89179762E}" destId="{03B355C0-4902-4DD3-ADC8-99189F6B3443}" srcOrd="0" destOrd="0" presId="urn:microsoft.com/office/officeart/2005/8/layout/hierarchy5"/>
    <dgm:cxn modelId="{7074AD3A-8F82-47D0-8405-119612EA2EA5}" type="presOf" srcId="{92AD5871-B0CB-4074-BCE9-F63E7F5B84D3}" destId="{5742B88E-155D-4129-852D-C2292AAFAE6A}" srcOrd="0" destOrd="0" presId="urn:microsoft.com/office/officeart/2005/8/layout/hierarchy5"/>
    <dgm:cxn modelId="{9D77F03A-E688-407C-B1AA-43AC379485E9}" type="presOf" srcId="{6C5E6E5D-D745-441A-A356-DE5DA49A5D62}" destId="{92030DBE-B186-4088-AEB8-42438D25A021}" srcOrd="1" destOrd="0" presId="urn:microsoft.com/office/officeart/2005/8/layout/hierarchy5"/>
    <dgm:cxn modelId="{8BFF593C-BD45-4DBD-96C4-7D30A7C777EE}" type="presOf" srcId="{0D077E02-D908-482E-900B-E1BD652956F3}" destId="{0BA19A5A-59F0-4BC2-8726-63590AF51C4A}" srcOrd="1" destOrd="0" presId="urn:microsoft.com/office/officeart/2005/8/layout/hierarchy5"/>
    <dgm:cxn modelId="{B5F5083D-3266-46A3-A51F-A1CEE1B52730}" type="presOf" srcId="{556D8DC5-43F0-41C7-AA82-B733438D3380}" destId="{691A4AE3-60C5-4EBC-AB24-4D33A9AE501B}" srcOrd="1" destOrd="0" presId="urn:microsoft.com/office/officeart/2005/8/layout/hierarchy5"/>
    <dgm:cxn modelId="{55396B3E-D42F-4FDE-9189-7F126A6328C0}" type="presOf" srcId="{577BE3D8-5CB7-4A32-AADB-06A99FB853C5}" destId="{D4538BF9-C70A-4BD3-9060-810EE6D49151}" srcOrd="0" destOrd="0" presId="urn:microsoft.com/office/officeart/2005/8/layout/hierarchy5"/>
    <dgm:cxn modelId="{4A06CA3F-1070-4829-8948-B8D6F837441F}" srcId="{AAEF4D42-B5DF-443E-AB17-4EC33A3CB578}" destId="{64DBB8EE-7A9B-4D71-9EC0-4435822AC991}" srcOrd="1" destOrd="0" parTransId="{7D5E4B54-9D57-433D-8057-E0BB2D9BFC6E}" sibTransId="{E510F4AF-43DF-41DC-B148-0906250EC5AA}"/>
    <dgm:cxn modelId="{2486F75B-6E0A-4AED-8DD5-814345DA587B}" srcId="{C203F73A-822C-4F55-A77B-0F958A674B80}" destId="{71C4ACDA-B263-4933-8E24-5F62A4309A3D}" srcOrd="3" destOrd="0" parTransId="{59EE4DC0-45E1-4952-A141-ABB56707502F}" sibTransId="{A5B8DF83-23C1-4A32-B912-3E9FF2CC79FD}"/>
    <dgm:cxn modelId="{1F8A7B5C-B689-4673-B9E2-A35FB1BECD61}" type="presOf" srcId="{9AC227E2-C726-4F92-BA81-D6B44A0C1760}" destId="{3B17E7FB-32CA-4299-89AB-3E1E46D3D6B5}" srcOrd="0" destOrd="0" presId="urn:microsoft.com/office/officeart/2005/8/layout/hierarchy5"/>
    <dgm:cxn modelId="{D4849B5D-F427-4ED2-8693-D11960DEACD6}" srcId="{C203F73A-822C-4F55-A77B-0F958A674B80}" destId="{2EB2BB33-7E07-4371-9996-9BD4AC006805}" srcOrd="2" destOrd="0" parTransId="{F43AC5D5-570B-4448-BD13-D13E1C533FB6}" sibTransId="{59C39AF4-0798-4F46-8FA0-17622D24CB2A}"/>
    <dgm:cxn modelId="{3548A75F-5285-41CB-821D-E9D735050B33}" type="presOf" srcId="{300107F7-A053-470E-8693-784446C291B0}" destId="{BA432CC3-559F-4064-96C1-47AFAE3598BF}" srcOrd="1" destOrd="0" presId="urn:microsoft.com/office/officeart/2005/8/layout/hierarchy5"/>
    <dgm:cxn modelId="{5376AA5F-B183-4DB8-A652-32470080607A}" type="presOf" srcId="{6F531495-2E7A-4B8E-9639-557919AD3528}" destId="{15D0BD92-4302-4D99-B878-F60B4EA26D53}" srcOrd="1" destOrd="0" presId="urn:microsoft.com/office/officeart/2005/8/layout/hierarchy5"/>
    <dgm:cxn modelId="{4F179F41-0D9B-4909-8624-FE95AD9C6FDA}" type="presOf" srcId="{804578FE-281C-4C08-A8DB-0AF878AE76D4}" destId="{3BC0C682-49AF-4444-935B-C31FD7B7E03D}" srcOrd="1" destOrd="0" presId="urn:microsoft.com/office/officeart/2005/8/layout/hierarchy5"/>
    <dgm:cxn modelId="{4D9A6D62-79FB-4F90-9712-2D3B3D1D2513}" type="presOf" srcId="{F43AC5D5-570B-4448-BD13-D13E1C533FB6}" destId="{DD158556-FDB0-4FEF-917A-22DFCF6367A1}" srcOrd="0" destOrd="0" presId="urn:microsoft.com/office/officeart/2005/8/layout/hierarchy5"/>
    <dgm:cxn modelId="{5B643863-B5EB-4CE7-978C-9C8532335F7E}" type="presOf" srcId="{EA904DB0-5EB1-46E1-B0F3-3F30EDE2647D}" destId="{BD79B523-34AB-48F8-A91C-B8DA7B6FF4C4}" srcOrd="1" destOrd="0" presId="urn:microsoft.com/office/officeart/2005/8/layout/hierarchy5"/>
    <dgm:cxn modelId="{D23AB743-5386-4EA6-B8D0-F578E1CCD99A}" type="presOf" srcId="{EA904DB0-5EB1-46E1-B0F3-3F30EDE2647D}" destId="{A41E6833-938D-4779-A65A-8045F3E4418F}" srcOrd="0" destOrd="0" presId="urn:microsoft.com/office/officeart/2005/8/layout/hierarchy5"/>
    <dgm:cxn modelId="{A95BDD43-ACEB-4FAC-BDED-33102EFD4051}" srcId="{C203F73A-822C-4F55-A77B-0F958A674B80}" destId="{852284D8-778C-4DC7-995B-8828A9CA7D96}" srcOrd="1" destOrd="0" parTransId="{556D8DC5-43F0-41C7-AA82-B733438D3380}" sibTransId="{BDDD26D4-F83C-4072-BE68-FCA3D77C5FFC}"/>
    <dgm:cxn modelId="{C7E14145-A4E6-412C-A4CF-2C61E193EBCD}" type="presOf" srcId="{1C94378E-1774-4CE1-B89D-7C6DD38DB392}" destId="{18E1F2EA-6A0A-4962-9E62-A4C55C40AEFD}" srcOrd="0" destOrd="0" presId="urn:microsoft.com/office/officeart/2005/8/layout/hierarchy5"/>
    <dgm:cxn modelId="{6B113866-FE2C-46BC-8FBD-F5D0B510DB16}" srcId="{0276C585-EC16-43F3-901E-D19289B7A45D}" destId="{8A9EF65A-7205-47C7-AA24-3AB87AD094C2}" srcOrd="0" destOrd="0" parTransId="{F68F0F0A-8A58-4364-B528-860858E1CD36}" sibTransId="{B7B63125-FDF3-4858-AED5-010BA2BC8CEC}"/>
    <dgm:cxn modelId="{0F590167-1CDB-4C61-B15D-DD723A6B1B8D}" type="presOf" srcId="{F43AC5D5-570B-4448-BD13-D13E1C533FB6}" destId="{9406C347-F982-49C5-81BB-B23B5AFFC08F}" srcOrd="1" destOrd="0" presId="urn:microsoft.com/office/officeart/2005/8/layout/hierarchy5"/>
    <dgm:cxn modelId="{3E321A47-05DC-4D3D-86CC-1646967F20A6}" type="presOf" srcId="{901546BF-8AEC-4CE8-9448-F77896175DED}" destId="{15ABFEA2-750B-4427-B946-80A92CF619F0}" srcOrd="1" destOrd="0" presId="urn:microsoft.com/office/officeart/2005/8/layout/hierarchy5"/>
    <dgm:cxn modelId="{D3E8BA47-03C2-4397-8335-37C6D0E22614}" type="presOf" srcId="{268EEBBB-9993-4C18-8493-0FDF4C107767}" destId="{69EC852C-8810-426D-80CB-A277E975A1AB}" srcOrd="0" destOrd="0" presId="urn:microsoft.com/office/officeart/2005/8/layout/hierarchy5"/>
    <dgm:cxn modelId="{D0911C68-D113-42A2-9B0F-5E2C580B7BA9}" srcId="{35E0B479-F29C-49FC-8E1C-E9E206FCBD5C}" destId="{0276C585-EC16-43F3-901E-D19289B7A45D}" srcOrd="4" destOrd="0" parTransId="{520E8336-CF52-4EF9-BC6F-98AB656387F5}" sibTransId="{96C0CC6E-7EED-41C9-BB07-1830BE8279EB}"/>
    <dgm:cxn modelId="{3ADE5468-0722-4E81-8D98-65639F279A0C}" srcId="{35E0B479-F29C-49FC-8E1C-E9E206FCBD5C}" destId="{20586453-1A9E-444A-98A9-F420DF390444}" srcOrd="0" destOrd="0" parTransId="{50FE541B-C784-4D32-B9F9-6F8647C63CE9}" sibTransId="{4285C24A-F656-4DB1-A5DC-75C1AF2D7F14}"/>
    <dgm:cxn modelId="{7CED8449-4624-49B3-A02F-3DA154B3A602}" type="presOf" srcId="{0A653CCF-5C9F-49DD-8F17-5EDAB9C18699}" destId="{929EA9E7-B578-4B3E-8D00-0225D42DA50D}" srcOrd="0" destOrd="0" presId="urn:microsoft.com/office/officeart/2005/8/layout/hierarchy5"/>
    <dgm:cxn modelId="{22F9DD69-0F67-4261-815E-D053D831B8E6}" type="presOf" srcId="{BFF63185-E156-4A54-BE89-14A9FD7C4B02}" destId="{2213F8BC-7F5A-4AD9-B854-12EB52822A97}" srcOrd="0" destOrd="0" presId="urn:microsoft.com/office/officeart/2005/8/layout/hierarchy5"/>
    <dgm:cxn modelId="{0CE5996A-543C-4D68-8C05-48B9A00CDB20}" srcId="{0276C585-EC16-43F3-901E-D19289B7A45D}" destId="{FD496E36-924C-4BAB-A30D-7F9F29386DC7}" srcOrd="3" destOrd="0" parTransId="{F768AAFC-170B-4321-80FD-0D36B2BC0971}" sibTransId="{CC768468-FC98-40A4-B4F9-26B203D5C364}"/>
    <dgm:cxn modelId="{2C6B5B4B-4317-4B3F-9376-B809085017E8}" srcId="{1635C84A-54FE-458F-8602-4BC25578A189}" destId="{C604A885-7198-42FC-B118-E3A8F114BD5C}" srcOrd="3" destOrd="0" parTransId="{953E256F-138A-4D2C-A380-A88F25D24827}" sibTransId="{72FD81D1-CA92-4B37-8CF5-EFE52969316A}"/>
    <dgm:cxn modelId="{E8E4656B-0C32-483E-A3F5-196968D0C39B}" type="presOf" srcId="{F768AAFC-170B-4321-80FD-0D36B2BC0971}" destId="{49A498FD-9DD6-4B9C-9E4B-1756813E2104}" srcOrd="0" destOrd="0" presId="urn:microsoft.com/office/officeart/2005/8/layout/hierarchy5"/>
    <dgm:cxn modelId="{71D8096E-63EA-49D2-8FB3-A80778DADBF6}" type="presOf" srcId="{6C5E6E5D-D745-441A-A356-DE5DA49A5D62}" destId="{1A6BA294-BCAC-4BE2-A9A0-289912BCFCCC}" srcOrd="0" destOrd="0" presId="urn:microsoft.com/office/officeart/2005/8/layout/hierarchy5"/>
    <dgm:cxn modelId="{D6FBA64E-C454-47EE-9121-6076BC1E1F9E}" srcId="{35E0B479-F29C-49FC-8E1C-E9E206FCBD5C}" destId="{0A653CCF-5C9F-49DD-8F17-5EDAB9C18699}" srcOrd="2" destOrd="0" parTransId="{727C861B-94E3-4CC6-931D-8933BBE029C7}" sibTransId="{A372481D-9CFF-47D0-AC83-ED3678589DAF}"/>
    <dgm:cxn modelId="{0B66126F-1367-4B6B-A3FB-BB45735FA4F6}" srcId="{35E0B479-F29C-49FC-8E1C-E9E206FCBD5C}" destId="{1635C84A-54FE-458F-8602-4BC25578A189}" srcOrd="3" destOrd="0" parTransId="{983EBBB6-9861-46A9-B41F-DC04EFAE53F7}" sibTransId="{A7A9BBF8-4FB1-43EE-A950-20CF374E5E53}"/>
    <dgm:cxn modelId="{0C69B271-78F3-469E-A5A6-ED51F23AD437}" srcId="{AAEF4D42-B5DF-443E-AB17-4EC33A3CB578}" destId="{DD419725-77A1-4E29-841E-20268ABA3D72}" srcOrd="0" destOrd="0" parTransId="{93C7B946-9E66-47ED-971C-0DF1E7A9300F}" sibTransId="{FA0310BA-0967-481A-BED3-854BF11747C8}"/>
    <dgm:cxn modelId="{A9E36973-FAF0-42E3-8533-208450AC8B62}" type="presOf" srcId="{520E8336-CF52-4EF9-BC6F-98AB656387F5}" destId="{D1394A50-2CEA-4438-A015-8E61CF5C9789}" srcOrd="0" destOrd="0" presId="urn:microsoft.com/office/officeart/2005/8/layout/hierarchy5"/>
    <dgm:cxn modelId="{3D816A73-B385-4048-9935-C8A1FC181C6F}" type="presOf" srcId="{35E0B479-F29C-49FC-8E1C-E9E206FCBD5C}" destId="{8AD5E56F-4A01-4D86-8928-9C3018F95A3A}" srcOrd="0" destOrd="0" presId="urn:microsoft.com/office/officeart/2005/8/layout/hierarchy5"/>
    <dgm:cxn modelId="{D67AB553-AFC1-471E-87BD-CF49932110A5}" type="presOf" srcId="{8BD127F1-1C42-4DF7-A54E-3ED11DD272FE}" destId="{D8BE0807-1AF1-40D0-A02C-709D7E1B8D8B}" srcOrd="0" destOrd="0" presId="urn:microsoft.com/office/officeart/2005/8/layout/hierarchy5"/>
    <dgm:cxn modelId="{96D49454-6333-4ECF-872C-51797CEE9595}" type="presOf" srcId="{92AD5871-B0CB-4074-BCE9-F63E7F5B84D3}" destId="{60FE1ADE-522F-4D52-82B7-9426EDF607D2}" srcOrd="1" destOrd="0" presId="urn:microsoft.com/office/officeart/2005/8/layout/hierarchy5"/>
    <dgm:cxn modelId="{99DD1475-05D8-472C-B74B-9980DA5A599E}" type="presOf" srcId="{CD293353-E897-476D-B964-445EB018D9B3}" destId="{2B0E3178-06E4-400D-868A-A750A946E9B0}" srcOrd="0" destOrd="0" presId="urn:microsoft.com/office/officeart/2005/8/layout/hierarchy5"/>
    <dgm:cxn modelId="{CCB85B55-DC2C-49E4-A468-EAC345EE9CFC}" type="presOf" srcId="{50FE541B-C784-4D32-B9F9-6F8647C63CE9}" destId="{325711CC-2942-4812-86A6-A5E5955A57B6}" srcOrd="0" destOrd="0" presId="urn:microsoft.com/office/officeart/2005/8/layout/hierarchy5"/>
    <dgm:cxn modelId="{35BEE075-B0F5-428E-A15D-DB0836A7174A}" type="presOf" srcId="{59EE4DC0-45E1-4952-A141-ABB56707502F}" destId="{D8B17A21-E616-4DDB-BBDC-8324F8F585D7}" srcOrd="0" destOrd="0" presId="urn:microsoft.com/office/officeart/2005/8/layout/hierarchy5"/>
    <dgm:cxn modelId="{66B23976-9010-47F4-ADFE-D974AA04F40E}" type="presOf" srcId="{5CB0CA09-E4EC-4913-9F0A-B8DE01D8A859}" destId="{9F3D3E81-3B7A-4E8A-84BB-D0B7850AD6A1}" srcOrd="0" destOrd="0" presId="urn:microsoft.com/office/officeart/2005/8/layout/hierarchy5"/>
    <dgm:cxn modelId="{2728C556-536B-4312-B26E-BD286EB85A43}" type="presOf" srcId="{953E256F-138A-4D2C-A380-A88F25D24827}" destId="{5BF541E8-7014-4343-A3D4-76E2345D434B}" srcOrd="0" destOrd="0" presId="urn:microsoft.com/office/officeart/2005/8/layout/hierarchy5"/>
    <dgm:cxn modelId="{6BD01579-C84E-476E-8372-041021B0E13C}" type="presOf" srcId="{D151895C-28AD-4551-9ADB-7E77A01C13E3}" destId="{B7586874-76C8-4414-8CBE-1676677C4F18}" srcOrd="0" destOrd="0" presId="urn:microsoft.com/office/officeart/2005/8/layout/hierarchy5"/>
    <dgm:cxn modelId="{70CFF079-A9D8-4B43-93BF-E995ABCF54CA}" type="presOf" srcId="{8A9EF65A-7205-47C7-AA24-3AB87AD094C2}" destId="{5B909987-0CAE-4248-8499-40F112658A62}" srcOrd="0" destOrd="0" presId="urn:microsoft.com/office/officeart/2005/8/layout/hierarchy5"/>
    <dgm:cxn modelId="{B1FF605A-2A22-4B64-9633-B580FD321749}" srcId="{AAEF4D42-B5DF-443E-AB17-4EC33A3CB578}" destId="{EA904DB0-5EB1-46E1-B0F3-3F30EDE2647D}" srcOrd="3" destOrd="0" parTransId="{3731ABAB-B573-4EA0-B023-53078493C76D}" sibTransId="{152F0DC1-476D-4C2F-8624-C42EDAD86F56}"/>
    <dgm:cxn modelId="{12533E7B-13FD-4347-AA7E-F378D2D7D632}" srcId="{20586453-1A9E-444A-98A9-F420DF390444}" destId="{DFE62B21-FF1D-4AA8-ACF2-3FAA997F9C3A}" srcOrd="0" destOrd="0" parTransId="{78FF1A9A-40DE-40FD-A789-2D21D0B9ABB6}" sibTransId="{6B666916-933F-4A0D-8CED-144CABE3EA76}"/>
    <dgm:cxn modelId="{6AD9C57B-651E-43D3-B5E9-32BCC0CF1A32}" type="presOf" srcId="{50FE541B-C784-4D32-B9F9-6F8647C63CE9}" destId="{C58CBA02-E0A7-431A-BC4B-A02B61BCE8D8}" srcOrd="1" destOrd="0" presId="urn:microsoft.com/office/officeart/2005/8/layout/hierarchy5"/>
    <dgm:cxn modelId="{2E3FAE7E-FF78-471A-B72F-CF48A01FB551}" srcId="{AAEF4D42-B5DF-443E-AB17-4EC33A3CB578}" destId="{3E095483-6038-4B5B-AB6C-D33E67029F1E}" srcOrd="4" destOrd="0" parTransId="{4A39D6FC-D996-456D-A071-438E853F2C18}" sibTransId="{49C6180C-B290-48E0-B19E-A9C4BA2269C4}"/>
    <dgm:cxn modelId="{B32F2D80-FF17-459A-A569-85BAFA5C02B5}" type="presOf" srcId="{901546BF-8AEC-4CE8-9448-F77896175DED}" destId="{7A74DB35-7E93-4651-8DDF-FFAC0E2EDF8F}" srcOrd="0" destOrd="0" presId="urn:microsoft.com/office/officeart/2005/8/layout/hierarchy5"/>
    <dgm:cxn modelId="{8DBD4B81-2B0D-4162-995A-BC51219C009A}" type="presOf" srcId="{983EBBB6-9861-46A9-B41F-DC04EFAE53F7}" destId="{3EE5946B-51F4-4B9C-9F4A-78D0B5183949}" srcOrd="1" destOrd="0" presId="urn:microsoft.com/office/officeart/2005/8/layout/hierarchy5"/>
    <dgm:cxn modelId="{B8AD2083-CE0D-43D6-BC4F-D5C3721FC364}" type="presOf" srcId="{1D647B63-DA5B-47CE-9FFC-8DDCBD183C1F}" destId="{E8838CA3-0E28-437C-B3C3-672E0B7FAB13}" srcOrd="0" destOrd="0" presId="urn:microsoft.com/office/officeart/2005/8/layout/hierarchy5"/>
    <dgm:cxn modelId="{03F78E83-D2EE-4152-AC57-95749B8254AD}" type="presOf" srcId="{B42736FD-D8DF-4DBE-AF40-A0BB477C26F7}" destId="{E1586E3F-6BC0-4FC9-A856-10B27A673F7B}" srcOrd="0" destOrd="0" presId="urn:microsoft.com/office/officeart/2005/8/layout/hierarchy5"/>
    <dgm:cxn modelId="{DF0DAC84-6768-40D8-B9B7-F6ED7D493A95}" type="presOf" srcId="{8B1C0095-666E-481F-A434-06B7010CCBCC}" destId="{F0D84C75-7F41-49DE-A4D6-54975E7ADF3C}" srcOrd="0" destOrd="0" presId="urn:microsoft.com/office/officeart/2005/8/layout/hierarchy5"/>
    <dgm:cxn modelId="{A12FEA87-C4D7-4C5F-BA26-A70E682AB6FA}" srcId="{1635C84A-54FE-458F-8602-4BC25578A189}" destId="{A748DB59-3EC4-4403-BC00-A46C0A93A463}" srcOrd="2" destOrd="0" parTransId="{1C94378E-1774-4CE1-B89D-7C6DD38DB392}" sibTransId="{720A828D-1852-4DD0-BB20-1323B2847C31}"/>
    <dgm:cxn modelId="{B6E2DE88-900B-45C3-848A-51DEC5A5E5BF}" type="presOf" srcId="{520E8336-CF52-4EF9-BC6F-98AB656387F5}" destId="{9BD82A8C-DF92-4EDE-A4E1-26B016FC2B10}" srcOrd="1" destOrd="0" presId="urn:microsoft.com/office/officeart/2005/8/layout/hierarchy5"/>
    <dgm:cxn modelId="{8B26AB8A-5DB0-498D-B6D9-9BAE411C53E7}" type="presOf" srcId="{1C94378E-1774-4CE1-B89D-7C6DD38DB392}" destId="{2D3C7D49-3975-4853-8555-FE5DCB4F89EB}" srcOrd="1" destOrd="0" presId="urn:microsoft.com/office/officeart/2005/8/layout/hierarchy5"/>
    <dgm:cxn modelId="{1D06A18C-4676-4379-AF47-CB68B847446A}" type="presOf" srcId="{F68F0F0A-8A58-4364-B528-860858E1CD36}" destId="{0C4F7BCE-EAB4-400B-9DDF-9925D7E44A55}" srcOrd="1" destOrd="0" presId="urn:microsoft.com/office/officeart/2005/8/layout/hierarchy5"/>
    <dgm:cxn modelId="{67E3A28C-4F92-4240-B3C1-4C3AE4CF6EA3}" srcId="{0A653CCF-5C9F-49DD-8F17-5EDAB9C18699}" destId="{1D647B63-DA5B-47CE-9FFC-8DDCBD183C1F}" srcOrd="0" destOrd="0" parTransId="{88352D93-70C9-408A-A958-2E36C07D5FC2}" sibTransId="{46816FC2-5B36-4482-8EA2-5DFEB35BEAA7}"/>
    <dgm:cxn modelId="{FA23128D-94D1-477F-A774-BF7310E888B4}" type="presOf" srcId="{0B05EF5F-38FE-43AC-B9F2-90C2AB768183}" destId="{1355E893-37D7-4E32-BB2B-F2C36980FE68}" srcOrd="0" destOrd="0" presId="urn:microsoft.com/office/officeart/2005/8/layout/hierarchy5"/>
    <dgm:cxn modelId="{4323D58E-FAE6-46F3-80C5-9C4E0EE73171}" type="presOf" srcId="{78FF1A9A-40DE-40FD-A789-2D21D0B9ABB6}" destId="{94528CDA-D22E-4874-9F0E-C95F50FE7D98}" srcOrd="1" destOrd="0" presId="urn:microsoft.com/office/officeart/2005/8/layout/hierarchy5"/>
    <dgm:cxn modelId="{325B8293-6415-492C-9E78-C821AE49F7A7}" srcId="{C203F73A-822C-4F55-A77B-0F958A674B80}" destId="{8A0FA49D-4B45-4722-8B0A-31DC44D118D7}" srcOrd="4" destOrd="0" parTransId="{300107F7-A053-470E-8693-784446C291B0}" sibTransId="{22327A02-0F0A-4013-B40B-899D78D369B9}"/>
    <dgm:cxn modelId="{9F733C97-BCF4-41FB-94AE-562AA81871F1}" srcId="{35E0B479-F29C-49FC-8E1C-E9E206FCBD5C}" destId="{C203F73A-822C-4F55-A77B-0F958A674B80}" srcOrd="1" destOrd="0" parTransId="{6C5E6E5D-D745-441A-A356-DE5DA49A5D62}" sibTransId="{F3692625-1B9D-4F0A-98EC-60D187FB773D}"/>
    <dgm:cxn modelId="{7657DA97-8D4E-4F45-8CC9-ED41BC7E8325}" srcId="{A64BBCD1-5EB7-4B12-A25E-8BB89179762E}" destId="{9AC227E2-C726-4F92-BA81-D6B44A0C1760}" srcOrd="2" destOrd="0" parTransId="{8BD127F1-1C42-4DF7-A54E-3ED11DD272FE}" sibTransId="{412CC1D3-CC8B-4B77-B940-5E9B85686D80}"/>
    <dgm:cxn modelId="{A48E689B-9069-4C93-8D79-AA7219402B96}" type="presOf" srcId="{0D077E02-D908-482E-900B-E1BD652956F3}" destId="{4E57492A-3F1A-4AF0-83F8-1EE8F6AAE59D}" srcOrd="0" destOrd="0" presId="urn:microsoft.com/office/officeart/2005/8/layout/hierarchy5"/>
    <dgm:cxn modelId="{43B150A0-8488-40A5-9EB1-F7495B06C364}" type="presOf" srcId="{8BF6C0B2-F3D6-4076-A621-647761A5631E}" destId="{513A0A9D-3175-4801-A36F-E3BA2C62718D}" srcOrd="1" destOrd="0" presId="urn:microsoft.com/office/officeart/2005/8/layout/hierarchy5"/>
    <dgm:cxn modelId="{9A4063A3-4448-4A39-9A88-1F79FD4C15AE}" type="presOf" srcId="{268EEBBB-9993-4C18-8493-0FDF4C107767}" destId="{5A79AD2E-AFAB-439B-B717-7D52C7200D22}" srcOrd="1" destOrd="0" presId="urn:microsoft.com/office/officeart/2005/8/layout/hierarchy5"/>
    <dgm:cxn modelId="{728BD3A3-77C7-427B-98D5-BA29D1B3B407}" type="presOf" srcId="{64DBB8EE-7A9B-4D71-9EC0-4435822AC991}" destId="{03E19803-6D48-40ED-9304-15FC108895F2}" srcOrd="1" destOrd="0" presId="urn:microsoft.com/office/officeart/2005/8/layout/hierarchy5"/>
    <dgm:cxn modelId="{A5D81DA5-D567-4DBD-BA39-B6490A3DBDFC}" type="presOf" srcId="{8A0FA49D-4B45-4722-8B0A-31DC44D118D7}" destId="{99E0F38B-22BC-4C0F-B4F4-4D46B4C1D9E3}" srcOrd="0" destOrd="0" presId="urn:microsoft.com/office/officeart/2005/8/layout/hierarchy5"/>
    <dgm:cxn modelId="{3A81E4A6-0EEB-47FA-BEA4-1CF1C087EF19}" type="presOf" srcId="{804578FE-281C-4C08-A8DB-0AF878AE76D4}" destId="{D443A850-84C3-42D6-A285-77044588663D}" srcOrd="0" destOrd="0" presId="urn:microsoft.com/office/officeart/2005/8/layout/hierarchy5"/>
    <dgm:cxn modelId="{792DC7A7-65F1-49E3-96F7-3310B21F1996}" type="presOf" srcId="{3CE1E480-9160-4CAE-867D-CE24C8425515}" destId="{468AA761-8E0B-4C6A-8D31-4FFB2770201E}" srcOrd="1" destOrd="0" presId="urn:microsoft.com/office/officeart/2005/8/layout/hierarchy5"/>
    <dgm:cxn modelId="{F883B7AD-2555-4BC8-B2C1-286855FD64F2}" type="presOf" srcId="{556D8DC5-43F0-41C7-AA82-B733438D3380}" destId="{D5CCFA66-0FD1-4144-BB7E-8D214F4AF0FC}" srcOrd="0" destOrd="0" presId="urn:microsoft.com/office/officeart/2005/8/layout/hierarchy5"/>
    <dgm:cxn modelId="{AD6E58AE-C0D7-49CE-9DAA-005B0F154151}" srcId="{A64BBCD1-5EB7-4B12-A25E-8BB89179762E}" destId="{B42736FD-D8DF-4DBE-AF40-A0BB477C26F7}" srcOrd="0" destOrd="0" parTransId="{6F531495-2E7A-4B8E-9639-557919AD3528}" sibTransId="{1C9F7C06-F9B8-4469-ABD8-222FBB7D039B}"/>
    <dgm:cxn modelId="{FDE64BAF-7E1A-4B9E-B20B-47CBC361C9ED}" type="presOf" srcId="{88352D93-70C9-408A-A958-2E36C07D5FC2}" destId="{0AFA6E90-E950-4C02-A06F-C4F937F8FCA3}" srcOrd="1" destOrd="0" presId="urn:microsoft.com/office/officeart/2005/8/layout/hierarchy5"/>
    <dgm:cxn modelId="{4E5782AF-1D36-4621-986B-86C50F9D6118}" type="presOf" srcId="{64DBB8EE-7A9B-4D71-9EC0-4435822AC991}" destId="{0DD267EE-5B7D-4A3D-B043-BBCB874DAAE1}" srcOrd="0" destOrd="0" presId="urn:microsoft.com/office/officeart/2005/8/layout/hierarchy5"/>
    <dgm:cxn modelId="{A5795DB0-657B-41A4-BC56-F5A6C317C6F0}" type="presOf" srcId="{577BE3D8-5CB7-4A32-AADB-06A99FB853C5}" destId="{61CAFB24-409A-4862-BDE7-EEC709E043D3}" srcOrd="1" destOrd="0" presId="urn:microsoft.com/office/officeart/2005/8/layout/hierarchy5"/>
    <dgm:cxn modelId="{0E0AB2B1-5E42-48F9-8F6E-14291F7299D6}" srcId="{A64BBCD1-5EB7-4B12-A25E-8BB89179762E}" destId="{D151895C-28AD-4551-9ADB-7E77A01C13E3}" srcOrd="1" destOrd="0" parTransId="{0D077E02-D908-482E-900B-E1BD652956F3}" sibTransId="{FA61579C-6D58-46DF-9ECE-8D69A1AFF7E1}"/>
    <dgm:cxn modelId="{24AB67B6-B958-473C-8C43-DF57FE4BEE9A}" type="presOf" srcId="{BBB44D1E-5FD1-4550-87D4-FDB14F83D920}" destId="{1DA5D232-807B-48EB-B212-1A5CC8432626}" srcOrd="0" destOrd="0" presId="urn:microsoft.com/office/officeart/2005/8/layout/hierarchy5"/>
    <dgm:cxn modelId="{49453FBB-502A-44CB-93E8-5F41A252B4A3}" srcId="{AAEF4D42-B5DF-443E-AB17-4EC33A3CB578}" destId="{804578FE-281C-4C08-A8DB-0AF878AE76D4}" srcOrd="2" destOrd="0" parTransId="{B04F4D9D-4676-48BE-85C1-DEDCEB51E5CB}" sibTransId="{116C9570-C25A-478E-9B5F-686A3C04E026}"/>
    <dgm:cxn modelId="{EF6CC6BF-19A1-4D67-9224-4E6F3C5F1145}" type="presOf" srcId="{98FBC8AB-96C4-4E16-8156-620D9CAF15E0}" destId="{B32E8DDD-58F2-4FA1-9D8E-450462073744}" srcOrd="1" destOrd="0" presId="urn:microsoft.com/office/officeart/2005/8/layout/hierarchy5"/>
    <dgm:cxn modelId="{322B87C3-B340-4783-9485-145EFD4000A0}" type="presOf" srcId="{20586453-1A9E-444A-98A9-F420DF390444}" destId="{EEE42F74-E025-4119-A980-1AC7B0C56892}" srcOrd="0" destOrd="0" presId="urn:microsoft.com/office/officeart/2005/8/layout/hierarchy5"/>
    <dgm:cxn modelId="{B14500C5-2624-48EC-82A5-1B7E344A1519}" srcId="{20586453-1A9E-444A-98A9-F420DF390444}" destId="{8B1C0095-666E-481F-A434-06B7010CCBCC}" srcOrd="1" destOrd="0" parTransId="{8FD28D76-67CA-46F2-A1CF-999C62C06741}" sibTransId="{5725CE56-A82F-4DFA-8554-E45C52619871}"/>
    <dgm:cxn modelId="{10047BC5-536E-41F8-80A9-7A51E8487C92}" type="presOf" srcId="{0B05EF5F-38FE-43AC-B9F2-90C2AB768183}" destId="{1899B2E8-8E32-46E2-BFC1-FC4F744E9B9E}" srcOrd="1" destOrd="0" presId="urn:microsoft.com/office/officeart/2005/8/layout/hierarchy5"/>
    <dgm:cxn modelId="{20759DC5-1BD7-42EB-8ADB-74A9518CF886}" type="presOf" srcId="{727C861B-94E3-4CC6-931D-8933BBE029C7}" destId="{E6B0E921-D293-4BF9-94CB-76C4245C0E8B}" srcOrd="0" destOrd="0" presId="urn:microsoft.com/office/officeart/2005/8/layout/hierarchy5"/>
    <dgm:cxn modelId="{5AEBFEC6-81EC-4F2D-AA96-C17EE177E948}" srcId="{DD419725-77A1-4E29-841E-20268ABA3D72}" destId="{A64BBCD1-5EB7-4B12-A25E-8BB89179762E}" srcOrd="0" destOrd="0" parTransId="{0B05EF5F-38FE-43AC-B9F2-90C2AB768183}" sibTransId="{BF63482B-94DE-438F-97BE-C4214CAA0389}"/>
    <dgm:cxn modelId="{DC322FCA-6B8F-4437-AB36-63AF3E8B5157}" type="presOf" srcId="{C203F73A-822C-4F55-A77B-0F958A674B80}" destId="{D30A759C-A63E-4387-B92B-0176417C6C5D}" srcOrd="0" destOrd="0" presId="urn:microsoft.com/office/officeart/2005/8/layout/hierarchy5"/>
    <dgm:cxn modelId="{96445BCB-9AD0-4E3C-AD0D-226039374C0D}" srcId="{1635C84A-54FE-458F-8602-4BC25578A189}" destId="{6FF66AE7-B28B-4ADD-BDCA-2441C2FF36EF}" srcOrd="1" destOrd="0" parTransId="{98FBC8AB-96C4-4E16-8156-620D9CAF15E0}" sibTransId="{1073B0F4-9236-4D1E-8B07-7C48B5B01DAD}"/>
    <dgm:cxn modelId="{CB09C4CC-D1D2-4383-9155-07159566C390}" type="presOf" srcId="{A31DAF0A-FB31-436C-BFD0-082FB7AA6081}" destId="{37F55A1B-A910-47E1-8B3C-2C8A9F191D12}" srcOrd="1" destOrd="0" presId="urn:microsoft.com/office/officeart/2005/8/layout/hierarchy5"/>
    <dgm:cxn modelId="{FE7BDECC-EAB7-4652-BA04-A68AE0148CD6}" type="presOf" srcId="{8FD28D76-67CA-46F2-A1CF-999C62C06741}" destId="{60D31327-DD12-4844-9116-E22C636E93D4}" srcOrd="0" destOrd="0" presId="urn:microsoft.com/office/officeart/2005/8/layout/hierarchy5"/>
    <dgm:cxn modelId="{4802FED0-46C8-4E08-923A-3BAE7203C4F6}" type="presOf" srcId="{98FBC8AB-96C4-4E16-8156-620D9CAF15E0}" destId="{28F36EFA-290F-4C4E-A472-092F8FA01701}" srcOrd="0" destOrd="0" presId="urn:microsoft.com/office/officeart/2005/8/layout/hierarchy5"/>
    <dgm:cxn modelId="{58595ADD-3DF7-4E83-A084-8454D96F75F8}" type="presOf" srcId="{DFE62B21-FF1D-4AA8-ACF2-3FAA997F9C3A}" destId="{35FFCD69-B218-466F-BF0B-A662C4A78557}" srcOrd="0" destOrd="0" presId="urn:microsoft.com/office/officeart/2005/8/layout/hierarchy5"/>
    <dgm:cxn modelId="{499592DD-E8B7-43EC-AB1E-E66A76479ECA}" type="presOf" srcId="{300107F7-A053-470E-8693-784446C291B0}" destId="{4CA8A06A-628F-486F-BF42-DAB5E7041E51}" srcOrd="0" destOrd="0" presId="urn:microsoft.com/office/officeart/2005/8/layout/hierarchy5"/>
    <dgm:cxn modelId="{4060A0DF-9F0A-43B2-A735-A313C8873485}" type="presOf" srcId="{F68F0F0A-8A58-4364-B528-860858E1CD36}" destId="{97684C04-7B81-4A47-988A-FA763F4F1157}" srcOrd="0" destOrd="0" presId="urn:microsoft.com/office/officeart/2005/8/layout/hierarchy5"/>
    <dgm:cxn modelId="{F8EB13E2-DF56-4EDB-BF8F-4102AD4445FA}" srcId="{0276C585-EC16-43F3-901E-D19289B7A45D}" destId="{BFF63185-E156-4A54-BE89-14A9FD7C4B02}" srcOrd="1" destOrd="0" parTransId="{901546BF-8AEC-4CE8-9448-F77896175DED}" sibTransId="{137D8933-62B8-4EDA-B313-7091CC5B5994}"/>
    <dgm:cxn modelId="{8B8100E7-7363-4453-BE63-40985C1160FA}" type="presOf" srcId="{0276C585-EC16-43F3-901E-D19289B7A45D}" destId="{AC366CB4-C73A-4FD6-B436-3381599E034E}" srcOrd="0" destOrd="0" presId="urn:microsoft.com/office/officeart/2005/8/layout/hierarchy5"/>
    <dgm:cxn modelId="{40B4E7E7-5E30-4AF0-B62E-6C35C3B3FC00}" type="presOf" srcId="{8BD127F1-1C42-4DF7-A54E-3ED11DD272FE}" destId="{C0A7EA51-7343-4122-8551-F31B5F56AADC}" srcOrd="1" destOrd="0" presId="urn:microsoft.com/office/officeart/2005/8/layout/hierarchy5"/>
    <dgm:cxn modelId="{778A48EC-835B-403B-97AF-AFC5D4A6D616}" type="presOf" srcId="{6FF66AE7-B28B-4ADD-BDCA-2441C2FF36EF}" destId="{C8F88A2D-B3A1-42AF-8ADB-2B61FF6A1D0E}" srcOrd="0" destOrd="0" presId="urn:microsoft.com/office/officeart/2005/8/layout/hierarchy5"/>
    <dgm:cxn modelId="{33F46BEE-3FF9-41D1-99A9-0562462D89B1}" type="presOf" srcId="{8FD28D76-67CA-46F2-A1CF-999C62C06741}" destId="{4A7B32DA-CC42-4118-B7BF-51D511ABCAB2}" srcOrd="1" destOrd="0" presId="urn:microsoft.com/office/officeart/2005/8/layout/hierarchy5"/>
    <dgm:cxn modelId="{B5A57EF4-BDDF-4609-9FED-9C0FE2B09031}" type="presOf" srcId="{59EE4DC0-45E1-4952-A141-ABB56707502F}" destId="{127EC6AB-1677-442E-AE95-C3770C428C4A}" srcOrd="1" destOrd="0" presId="urn:microsoft.com/office/officeart/2005/8/layout/hierarchy5"/>
    <dgm:cxn modelId="{0792D1F4-F9C9-4FE6-95BA-B92A14453B59}" type="presOf" srcId="{FD496E36-924C-4BAB-A30D-7F9F29386DC7}" destId="{F0D336BE-8CE4-4853-BD3A-76712949F15A}" srcOrd="0" destOrd="0" presId="urn:microsoft.com/office/officeart/2005/8/layout/hierarchy5"/>
    <dgm:cxn modelId="{1D99C7F7-76BE-4775-BB56-0DB3588A4B07}" type="presOf" srcId="{953E256F-138A-4D2C-A380-A88F25D24827}" destId="{BE8DDA2C-C9CB-4571-9B6A-E71F52893C43}" srcOrd="1" destOrd="0" presId="urn:microsoft.com/office/officeart/2005/8/layout/hierarchy5"/>
    <dgm:cxn modelId="{E79E47FA-282F-495F-BE90-0DAFE2898503}" type="presOf" srcId="{C604A885-7198-42FC-B118-E3A8F114BD5C}" destId="{F165A8A3-647B-4896-9852-57C56AEE2C92}" srcOrd="0" destOrd="0" presId="urn:microsoft.com/office/officeart/2005/8/layout/hierarchy5"/>
    <dgm:cxn modelId="{81D661FB-21C1-4775-A85C-F39F1BF09061}" type="presOf" srcId="{DD419725-77A1-4E29-841E-20268ABA3D72}" destId="{37315875-A390-40DE-BA19-47DD0354C174}" srcOrd="0" destOrd="0" presId="urn:microsoft.com/office/officeart/2005/8/layout/hierarchy5"/>
    <dgm:cxn modelId="{377A1DFE-BC2E-4A4F-8DA6-250D2BD5BD59}" type="presOf" srcId="{39744CDA-6561-4985-84FD-09F397BE112A}" destId="{A9F8C3E4-401F-4385-A450-05F20E7A0055}" srcOrd="0" destOrd="0" presId="urn:microsoft.com/office/officeart/2005/8/layout/hierarchy5"/>
    <dgm:cxn modelId="{570DDDFF-9D88-4DDE-9069-BC5ABB63E3A6}" type="presOf" srcId="{78FF1A9A-40DE-40FD-A789-2D21D0B9ABB6}" destId="{4AD2293D-6454-4451-8EF7-9F6C7C284D02}" srcOrd="0" destOrd="0" presId="urn:microsoft.com/office/officeart/2005/8/layout/hierarchy5"/>
    <dgm:cxn modelId="{8B66F6FF-6054-471E-B70C-50828178F996}" type="presOf" srcId="{3CE1E480-9160-4CAE-867D-CE24C8425515}" destId="{97DC6227-E2CD-4F1E-8D23-59FEED78070A}" srcOrd="0" destOrd="0" presId="urn:microsoft.com/office/officeart/2005/8/layout/hierarchy5"/>
    <dgm:cxn modelId="{27B556B6-BB07-47E1-B74E-80D431B94EBC}" type="presParOf" srcId="{DD15816B-5A97-4463-B44A-456F68E17229}" destId="{34BCB656-DCDE-4756-BA1C-9B8A80E20F95}" srcOrd="0" destOrd="0" presId="urn:microsoft.com/office/officeart/2005/8/layout/hierarchy5"/>
    <dgm:cxn modelId="{F8D82539-4B12-40DF-BE21-D3DE2782E1FE}" type="presParOf" srcId="{34BCB656-DCDE-4756-BA1C-9B8A80E20F95}" destId="{31452E5F-5B4A-4B92-9F8F-B12E6BB0E3F5}" srcOrd="0" destOrd="0" presId="urn:microsoft.com/office/officeart/2005/8/layout/hierarchy5"/>
    <dgm:cxn modelId="{0D51C3EB-F2D7-4C18-971E-35C249504F52}" type="presParOf" srcId="{34BCB656-DCDE-4756-BA1C-9B8A80E20F95}" destId="{D44C11D1-8C70-435C-A78A-F7D09D0208A6}" srcOrd="1" destOrd="0" presId="urn:microsoft.com/office/officeart/2005/8/layout/hierarchy5"/>
    <dgm:cxn modelId="{50BADEFF-BE1C-486B-9F30-AF2025277324}" type="presParOf" srcId="{D44C11D1-8C70-435C-A78A-F7D09D0208A6}" destId="{953869E3-A348-463E-B121-375C95858553}" srcOrd="0" destOrd="0" presId="urn:microsoft.com/office/officeart/2005/8/layout/hierarchy5"/>
    <dgm:cxn modelId="{E5AFD89F-8EBE-4BD1-A7BC-B0F22B201813}" type="presParOf" srcId="{953869E3-A348-463E-B121-375C95858553}" destId="{37315875-A390-40DE-BA19-47DD0354C174}" srcOrd="0" destOrd="0" presId="urn:microsoft.com/office/officeart/2005/8/layout/hierarchy5"/>
    <dgm:cxn modelId="{F6446BD8-CB98-4F3F-AFEE-AD84E7A4078E}" type="presParOf" srcId="{953869E3-A348-463E-B121-375C95858553}" destId="{CEAE5CE8-1334-4FB5-9C10-720DE4A610C5}" srcOrd="1" destOrd="0" presId="urn:microsoft.com/office/officeart/2005/8/layout/hierarchy5"/>
    <dgm:cxn modelId="{FB08BFFA-83FB-4214-9FCC-F06D22AB157C}" type="presParOf" srcId="{CEAE5CE8-1334-4FB5-9C10-720DE4A610C5}" destId="{1355E893-37D7-4E32-BB2B-F2C36980FE68}" srcOrd="0" destOrd="0" presId="urn:microsoft.com/office/officeart/2005/8/layout/hierarchy5"/>
    <dgm:cxn modelId="{D9026555-7B76-4133-ACDE-28A827C70346}" type="presParOf" srcId="{1355E893-37D7-4E32-BB2B-F2C36980FE68}" destId="{1899B2E8-8E32-46E2-BFC1-FC4F744E9B9E}" srcOrd="0" destOrd="0" presId="urn:microsoft.com/office/officeart/2005/8/layout/hierarchy5"/>
    <dgm:cxn modelId="{3FCBDC4D-07DC-44AB-917D-1CF20E00CF41}" type="presParOf" srcId="{CEAE5CE8-1334-4FB5-9C10-720DE4A610C5}" destId="{47021C4C-9346-4DD2-93A7-B087FCA59A2B}" srcOrd="1" destOrd="0" presId="urn:microsoft.com/office/officeart/2005/8/layout/hierarchy5"/>
    <dgm:cxn modelId="{4749B1D4-FC9F-48B4-A776-BE263FA59202}" type="presParOf" srcId="{47021C4C-9346-4DD2-93A7-B087FCA59A2B}" destId="{03B355C0-4902-4DD3-ADC8-99189F6B3443}" srcOrd="0" destOrd="0" presId="urn:microsoft.com/office/officeart/2005/8/layout/hierarchy5"/>
    <dgm:cxn modelId="{D66DBD08-C6AB-44A4-9326-2910DA869144}" type="presParOf" srcId="{47021C4C-9346-4DD2-93A7-B087FCA59A2B}" destId="{8F35B586-A456-4912-BE25-A9A49BD16674}" srcOrd="1" destOrd="0" presId="urn:microsoft.com/office/officeart/2005/8/layout/hierarchy5"/>
    <dgm:cxn modelId="{DB336AE7-1FCD-42B1-B781-52FDA09E8DED}" type="presParOf" srcId="{8F35B586-A456-4912-BE25-A9A49BD16674}" destId="{EDE2A0F2-3E3A-4C6B-92BE-8297AA578B1A}" srcOrd="0" destOrd="0" presId="urn:microsoft.com/office/officeart/2005/8/layout/hierarchy5"/>
    <dgm:cxn modelId="{48968475-9C9C-4991-9ECA-99891F6F316E}" type="presParOf" srcId="{EDE2A0F2-3E3A-4C6B-92BE-8297AA578B1A}" destId="{15D0BD92-4302-4D99-B878-F60B4EA26D53}" srcOrd="0" destOrd="0" presId="urn:microsoft.com/office/officeart/2005/8/layout/hierarchy5"/>
    <dgm:cxn modelId="{0B7785A0-8162-433D-B36A-AE1B960B1F48}" type="presParOf" srcId="{8F35B586-A456-4912-BE25-A9A49BD16674}" destId="{96D09AA5-5466-4031-9B64-D604198FFF1E}" srcOrd="1" destOrd="0" presId="urn:microsoft.com/office/officeart/2005/8/layout/hierarchy5"/>
    <dgm:cxn modelId="{D69D76CB-9521-4E53-8854-5663262E026B}" type="presParOf" srcId="{96D09AA5-5466-4031-9B64-D604198FFF1E}" destId="{E1586E3F-6BC0-4FC9-A856-10B27A673F7B}" srcOrd="0" destOrd="0" presId="urn:microsoft.com/office/officeart/2005/8/layout/hierarchy5"/>
    <dgm:cxn modelId="{FC5CD58E-1C4D-454A-8ED8-644CFA6481D7}" type="presParOf" srcId="{96D09AA5-5466-4031-9B64-D604198FFF1E}" destId="{ADC4548E-5F14-46A0-A7D1-539DE1922EB6}" srcOrd="1" destOrd="0" presId="urn:microsoft.com/office/officeart/2005/8/layout/hierarchy5"/>
    <dgm:cxn modelId="{67FF2174-9E23-4DF8-8A20-5625DF2EEF77}" type="presParOf" srcId="{8F35B586-A456-4912-BE25-A9A49BD16674}" destId="{4E57492A-3F1A-4AF0-83F8-1EE8F6AAE59D}" srcOrd="2" destOrd="0" presId="urn:microsoft.com/office/officeart/2005/8/layout/hierarchy5"/>
    <dgm:cxn modelId="{7DED2D36-4F9F-4322-8C0C-D30D696D93EB}" type="presParOf" srcId="{4E57492A-3F1A-4AF0-83F8-1EE8F6AAE59D}" destId="{0BA19A5A-59F0-4BC2-8726-63590AF51C4A}" srcOrd="0" destOrd="0" presId="urn:microsoft.com/office/officeart/2005/8/layout/hierarchy5"/>
    <dgm:cxn modelId="{A5546E56-7A0F-49F7-866F-879A9BEA0B95}" type="presParOf" srcId="{8F35B586-A456-4912-BE25-A9A49BD16674}" destId="{5D8E88A1-CD84-4BBD-827B-78F3EC3697F8}" srcOrd="3" destOrd="0" presId="urn:microsoft.com/office/officeart/2005/8/layout/hierarchy5"/>
    <dgm:cxn modelId="{5A6B999B-0D5C-4EB4-9E05-518044940D8A}" type="presParOf" srcId="{5D8E88A1-CD84-4BBD-827B-78F3EC3697F8}" destId="{B7586874-76C8-4414-8CBE-1676677C4F18}" srcOrd="0" destOrd="0" presId="urn:microsoft.com/office/officeart/2005/8/layout/hierarchy5"/>
    <dgm:cxn modelId="{251EF961-B621-4FD9-BF37-419120DC62C9}" type="presParOf" srcId="{5D8E88A1-CD84-4BBD-827B-78F3EC3697F8}" destId="{7CE21D24-15E8-42F5-81BD-672C8D1C1D53}" srcOrd="1" destOrd="0" presId="urn:microsoft.com/office/officeart/2005/8/layout/hierarchy5"/>
    <dgm:cxn modelId="{0B4E8CE6-3904-4E9D-8D89-C81AEAF3CA70}" type="presParOf" srcId="{8F35B586-A456-4912-BE25-A9A49BD16674}" destId="{D8BE0807-1AF1-40D0-A02C-709D7E1B8D8B}" srcOrd="4" destOrd="0" presId="urn:microsoft.com/office/officeart/2005/8/layout/hierarchy5"/>
    <dgm:cxn modelId="{4AB2FFD6-B013-4680-ADD0-48374D1B2E5B}" type="presParOf" srcId="{D8BE0807-1AF1-40D0-A02C-709D7E1B8D8B}" destId="{C0A7EA51-7343-4122-8551-F31B5F56AADC}" srcOrd="0" destOrd="0" presId="urn:microsoft.com/office/officeart/2005/8/layout/hierarchy5"/>
    <dgm:cxn modelId="{17646D9C-5BF9-4E9B-A9D7-BF3A4169019E}" type="presParOf" srcId="{8F35B586-A456-4912-BE25-A9A49BD16674}" destId="{B3C83479-DB07-4F99-9B28-FEA092BC9B45}" srcOrd="5" destOrd="0" presId="urn:microsoft.com/office/officeart/2005/8/layout/hierarchy5"/>
    <dgm:cxn modelId="{8A4C6547-4F98-47EB-8094-77B74935097F}" type="presParOf" srcId="{B3C83479-DB07-4F99-9B28-FEA092BC9B45}" destId="{3B17E7FB-32CA-4299-89AB-3E1E46D3D6B5}" srcOrd="0" destOrd="0" presId="urn:microsoft.com/office/officeart/2005/8/layout/hierarchy5"/>
    <dgm:cxn modelId="{BBDE055C-4A3D-4E25-88CB-AC781DB8EBC9}" type="presParOf" srcId="{B3C83479-DB07-4F99-9B28-FEA092BC9B45}" destId="{5F9B03DC-1602-40F1-A42F-B4F2879E8E8C}" srcOrd="1" destOrd="0" presId="urn:microsoft.com/office/officeart/2005/8/layout/hierarchy5"/>
    <dgm:cxn modelId="{D98B6B35-984F-4792-A815-EAAEEC3E1CFC}" type="presParOf" srcId="{CEAE5CE8-1334-4FB5-9C10-720DE4A610C5}" destId="{97DC6227-E2CD-4F1E-8D23-59FEED78070A}" srcOrd="2" destOrd="0" presId="urn:microsoft.com/office/officeart/2005/8/layout/hierarchy5"/>
    <dgm:cxn modelId="{A1C266C0-9C62-4B79-A3CB-B30AFCB60031}" type="presParOf" srcId="{97DC6227-E2CD-4F1E-8D23-59FEED78070A}" destId="{468AA761-8E0B-4C6A-8D31-4FFB2770201E}" srcOrd="0" destOrd="0" presId="urn:microsoft.com/office/officeart/2005/8/layout/hierarchy5"/>
    <dgm:cxn modelId="{FDB4F8B6-3281-4C8D-8C2C-5B046A15E279}" type="presParOf" srcId="{CEAE5CE8-1334-4FB5-9C10-720DE4A610C5}" destId="{76315819-B1E6-4EE0-9F12-4A3CC7A6EABF}" srcOrd="3" destOrd="0" presId="urn:microsoft.com/office/officeart/2005/8/layout/hierarchy5"/>
    <dgm:cxn modelId="{F3D07B00-03B1-4DB8-9C80-3FB5CCE5DD42}" type="presParOf" srcId="{76315819-B1E6-4EE0-9F12-4A3CC7A6EABF}" destId="{8AD5E56F-4A01-4D86-8928-9C3018F95A3A}" srcOrd="0" destOrd="0" presId="urn:microsoft.com/office/officeart/2005/8/layout/hierarchy5"/>
    <dgm:cxn modelId="{549DC4DA-7661-4CA9-AB37-1FFA4DEE7104}" type="presParOf" srcId="{76315819-B1E6-4EE0-9F12-4A3CC7A6EABF}" destId="{21AC6A3A-EA62-4F8E-BA0E-4423119C0A79}" srcOrd="1" destOrd="0" presId="urn:microsoft.com/office/officeart/2005/8/layout/hierarchy5"/>
    <dgm:cxn modelId="{B13BFDF5-6FD7-4961-A39E-344E90B27BED}" type="presParOf" srcId="{21AC6A3A-EA62-4F8E-BA0E-4423119C0A79}" destId="{325711CC-2942-4812-86A6-A5E5955A57B6}" srcOrd="0" destOrd="0" presId="urn:microsoft.com/office/officeart/2005/8/layout/hierarchy5"/>
    <dgm:cxn modelId="{C198FE58-9352-43A7-9A73-808C69994E37}" type="presParOf" srcId="{325711CC-2942-4812-86A6-A5E5955A57B6}" destId="{C58CBA02-E0A7-431A-BC4B-A02B61BCE8D8}" srcOrd="0" destOrd="0" presId="urn:microsoft.com/office/officeart/2005/8/layout/hierarchy5"/>
    <dgm:cxn modelId="{BCEB2A54-EEF4-4AAD-8897-B7403C63A1F1}" type="presParOf" srcId="{21AC6A3A-EA62-4F8E-BA0E-4423119C0A79}" destId="{00A61639-89AC-4F4B-B78B-9F333A920709}" srcOrd="1" destOrd="0" presId="urn:microsoft.com/office/officeart/2005/8/layout/hierarchy5"/>
    <dgm:cxn modelId="{679CDBEE-6277-4205-919C-8EFF60461B27}" type="presParOf" srcId="{00A61639-89AC-4F4B-B78B-9F333A920709}" destId="{EEE42F74-E025-4119-A980-1AC7B0C56892}" srcOrd="0" destOrd="0" presId="urn:microsoft.com/office/officeart/2005/8/layout/hierarchy5"/>
    <dgm:cxn modelId="{F82FF4DB-53A2-4FD7-9270-DBFE57D0BA07}" type="presParOf" srcId="{00A61639-89AC-4F4B-B78B-9F333A920709}" destId="{352F6A91-9444-4532-BEB2-987F253E2AD3}" srcOrd="1" destOrd="0" presId="urn:microsoft.com/office/officeart/2005/8/layout/hierarchy5"/>
    <dgm:cxn modelId="{830FE1B7-DF25-4F09-8F92-376691D8D0EE}" type="presParOf" srcId="{352F6A91-9444-4532-BEB2-987F253E2AD3}" destId="{4AD2293D-6454-4451-8EF7-9F6C7C284D02}" srcOrd="0" destOrd="0" presId="urn:microsoft.com/office/officeart/2005/8/layout/hierarchy5"/>
    <dgm:cxn modelId="{7F785534-42D5-4EB4-AD67-381BB8B013A8}" type="presParOf" srcId="{4AD2293D-6454-4451-8EF7-9F6C7C284D02}" destId="{94528CDA-D22E-4874-9F0E-C95F50FE7D98}" srcOrd="0" destOrd="0" presId="urn:microsoft.com/office/officeart/2005/8/layout/hierarchy5"/>
    <dgm:cxn modelId="{12E979D7-8323-482E-9247-A01E3F591422}" type="presParOf" srcId="{352F6A91-9444-4532-BEB2-987F253E2AD3}" destId="{C9ED793D-F75E-46D1-A39C-5F14C7C09698}" srcOrd="1" destOrd="0" presId="urn:microsoft.com/office/officeart/2005/8/layout/hierarchy5"/>
    <dgm:cxn modelId="{3259C164-741F-42C7-B0A5-40D26127292A}" type="presParOf" srcId="{C9ED793D-F75E-46D1-A39C-5F14C7C09698}" destId="{35FFCD69-B218-466F-BF0B-A662C4A78557}" srcOrd="0" destOrd="0" presId="urn:microsoft.com/office/officeart/2005/8/layout/hierarchy5"/>
    <dgm:cxn modelId="{85DDF895-A964-45B8-BDAB-CB4ECE5A436A}" type="presParOf" srcId="{C9ED793D-F75E-46D1-A39C-5F14C7C09698}" destId="{413D998C-C4FA-4FDE-8482-9F2B266AAE81}" srcOrd="1" destOrd="0" presId="urn:microsoft.com/office/officeart/2005/8/layout/hierarchy5"/>
    <dgm:cxn modelId="{9CD252AE-ED2C-4ECE-8503-796627CB25F5}" type="presParOf" srcId="{352F6A91-9444-4532-BEB2-987F253E2AD3}" destId="{60D31327-DD12-4844-9116-E22C636E93D4}" srcOrd="2" destOrd="0" presId="urn:microsoft.com/office/officeart/2005/8/layout/hierarchy5"/>
    <dgm:cxn modelId="{6A650B60-863A-4A28-8554-2F49CF22476C}" type="presParOf" srcId="{60D31327-DD12-4844-9116-E22C636E93D4}" destId="{4A7B32DA-CC42-4118-B7BF-51D511ABCAB2}" srcOrd="0" destOrd="0" presId="urn:microsoft.com/office/officeart/2005/8/layout/hierarchy5"/>
    <dgm:cxn modelId="{69FA8EC6-BD96-4C6D-A6F2-86DED22D82AC}" type="presParOf" srcId="{352F6A91-9444-4532-BEB2-987F253E2AD3}" destId="{9CF6667F-1E87-4809-8C3F-596B6D129A73}" srcOrd="3" destOrd="0" presId="urn:microsoft.com/office/officeart/2005/8/layout/hierarchy5"/>
    <dgm:cxn modelId="{4192B0CC-A922-4939-A142-1B7E2910D084}" type="presParOf" srcId="{9CF6667F-1E87-4809-8C3F-596B6D129A73}" destId="{F0D84C75-7F41-49DE-A4D6-54975E7ADF3C}" srcOrd="0" destOrd="0" presId="urn:microsoft.com/office/officeart/2005/8/layout/hierarchy5"/>
    <dgm:cxn modelId="{4B3A766B-4B24-4065-88F3-7061411DC9F3}" type="presParOf" srcId="{9CF6667F-1E87-4809-8C3F-596B6D129A73}" destId="{1D37F9E6-E10F-43B7-B19B-49334379C654}" srcOrd="1" destOrd="0" presId="urn:microsoft.com/office/officeart/2005/8/layout/hierarchy5"/>
    <dgm:cxn modelId="{A120B3A1-4298-4D35-89EA-8B2E401AF6EE}" type="presParOf" srcId="{21AC6A3A-EA62-4F8E-BA0E-4423119C0A79}" destId="{1A6BA294-BCAC-4BE2-A9A0-289912BCFCCC}" srcOrd="2" destOrd="0" presId="urn:microsoft.com/office/officeart/2005/8/layout/hierarchy5"/>
    <dgm:cxn modelId="{995354C4-2A49-430A-BE48-BCBA37071626}" type="presParOf" srcId="{1A6BA294-BCAC-4BE2-A9A0-289912BCFCCC}" destId="{92030DBE-B186-4088-AEB8-42438D25A021}" srcOrd="0" destOrd="0" presId="urn:microsoft.com/office/officeart/2005/8/layout/hierarchy5"/>
    <dgm:cxn modelId="{31FB0042-C618-4A5A-848D-3A6232C71301}" type="presParOf" srcId="{21AC6A3A-EA62-4F8E-BA0E-4423119C0A79}" destId="{D296FDF0-95A1-4BCC-96A0-EABB611D997A}" srcOrd="3" destOrd="0" presId="urn:microsoft.com/office/officeart/2005/8/layout/hierarchy5"/>
    <dgm:cxn modelId="{99D96F38-89E1-4E24-A867-E015831194B8}" type="presParOf" srcId="{D296FDF0-95A1-4BCC-96A0-EABB611D997A}" destId="{D30A759C-A63E-4387-B92B-0176417C6C5D}" srcOrd="0" destOrd="0" presId="urn:microsoft.com/office/officeart/2005/8/layout/hierarchy5"/>
    <dgm:cxn modelId="{0F96E6EF-41E6-411F-912F-EF31F4615D42}" type="presParOf" srcId="{D296FDF0-95A1-4BCC-96A0-EABB611D997A}" destId="{D7BB0A1A-4CEE-4875-9613-168780A65C94}" srcOrd="1" destOrd="0" presId="urn:microsoft.com/office/officeart/2005/8/layout/hierarchy5"/>
    <dgm:cxn modelId="{1D40F933-6743-4074-80FE-EEC9D8B19050}" type="presParOf" srcId="{D7BB0A1A-4CEE-4875-9613-168780A65C94}" destId="{D4538BF9-C70A-4BD3-9060-810EE6D49151}" srcOrd="0" destOrd="0" presId="urn:microsoft.com/office/officeart/2005/8/layout/hierarchy5"/>
    <dgm:cxn modelId="{2D2297FD-A01A-4E2B-8CF9-45F387E4DEC2}" type="presParOf" srcId="{D4538BF9-C70A-4BD3-9060-810EE6D49151}" destId="{61CAFB24-409A-4862-BDE7-EEC709E043D3}" srcOrd="0" destOrd="0" presId="urn:microsoft.com/office/officeart/2005/8/layout/hierarchy5"/>
    <dgm:cxn modelId="{B6EA99B2-8E36-422C-984B-CD66D1F2C655}" type="presParOf" srcId="{D7BB0A1A-4CEE-4875-9613-168780A65C94}" destId="{2D5CE2BF-4F3C-456D-94C6-324355F40EE6}" srcOrd="1" destOrd="0" presId="urn:microsoft.com/office/officeart/2005/8/layout/hierarchy5"/>
    <dgm:cxn modelId="{ED8FCF63-1B93-4D1D-8C1B-05EA9C33EFD4}" type="presParOf" srcId="{2D5CE2BF-4F3C-456D-94C6-324355F40EE6}" destId="{C865CFE1-91EE-404F-B002-EFC64738C5ED}" srcOrd="0" destOrd="0" presId="urn:microsoft.com/office/officeart/2005/8/layout/hierarchy5"/>
    <dgm:cxn modelId="{A70ADAE5-ED78-4DAB-9DC1-06EF9C5DD3EA}" type="presParOf" srcId="{2D5CE2BF-4F3C-456D-94C6-324355F40EE6}" destId="{152FC922-15CF-4E13-97F8-50DF0F028AB2}" srcOrd="1" destOrd="0" presId="urn:microsoft.com/office/officeart/2005/8/layout/hierarchy5"/>
    <dgm:cxn modelId="{081D54BD-2ECC-4BA1-85E5-08F2049356EF}" type="presParOf" srcId="{D7BB0A1A-4CEE-4875-9613-168780A65C94}" destId="{D5CCFA66-0FD1-4144-BB7E-8D214F4AF0FC}" srcOrd="2" destOrd="0" presId="urn:microsoft.com/office/officeart/2005/8/layout/hierarchy5"/>
    <dgm:cxn modelId="{156023EA-C4C9-45E4-A592-A2ACCFE91EEE}" type="presParOf" srcId="{D5CCFA66-0FD1-4144-BB7E-8D214F4AF0FC}" destId="{691A4AE3-60C5-4EBC-AB24-4D33A9AE501B}" srcOrd="0" destOrd="0" presId="urn:microsoft.com/office/officeart/2005/8/layout/hierarchy5"/>
    <dgm:cxn modelId="{FC61FE52-1755-484E-ABCE-29C4D0E3E6FE}" type="presParOf" srcId="{D7BB0A1A-4CEE-4875-9613-168780A65C94}" destId="{1F56EED2-B225-4BB7-ACAC-A0E9D33DC121}" srcOrd="3" destOrd="0" presId="urn:microsoft.com/office/officeart/2005/8/layout/hierarchy5"/>
    <dgm:cxn modelId="{B42868D7-7F39-43BA-9FFB-E67F674CC4B1}" type="presParOf" srcId="{1F56EED2-B225-4BB7-ACAC-A0E9D33DC121}" destId="{0B34F9CC-3F84-4CEE-9443-20849904CCAB}" srcOrd="0" destOrd="0" presId="urn:microsoft.com/office/officeart/2005/8/layout/hierarchy5"/>
    <dgm:cxn modelId="{F3E31028-4836-4238-BD96-40B3FC504577}" type="presParOf" srcId="{1F56EED2-B225-4BB7-ACAC-A0E9D33DC121}" destId="{0374264B-0F7C-447D-9AFD-F623C0254283}" srcOrd="1" destOrd="0" presId="urn:microsoft.com/office/officeart/2005/8/layout/hierarchy5"/>
    <dgm:cxn modelId="{7CF749B5-AC3B-4E71-BF24-EB8E82082173}" type="presParOf" srcId="{D7BB0A1A-4CEE-4875-9613-168780A65C94}" destId="{DD158556-FDB0-4FEF-917A-22DFCF6367A1}" srcOrd="4" destOrd="0" presId="urn:microsoft.com/office/officeart/2005/8/layout/hierarchy5"/>
    <dgm:cxn modelId="{885838C5-5A3B-43CE-8CA9-492BB0FD50C0}" type="presParOf" srcId="{DD158556-FDB0-4FEF-917A-22DFCF6367A1}" destId="{9406C347-F982-49C5-81BB-B23B5AFFC08F}" srcOrd="0" destOrd="0" presId="urn:microsoft.com/office/officeart/2005/8/layout/hierarchy5"/>
    <dgm:cxn modelId="{CB0BAA74-9D4C-4682-85D6-8219D61C44E7}" type="presParOf" srcId="{D7BB0A1A-4CEE-4875-9613-168780A65C94}" destId="{FB88A000-B313-4C22-A774-FF64F0E215F5}" srcOrd="5" destOrd="0" presId="urn:microsoft.com/office/officeart/2005/8/layout/hierarchy5"/>
    <dgm:cxn modelId="{B31F5D7E-72E7-410A-95E1-C751F8AAFD49}" type="presParOf" srcId="{FB88A000-B313-4C22-A774-FF64F0E215F5}" destId="{A0A1D0C7-1CC7-4D07-AC43-DF2ECD7E7A4D}" srcOrd="0" destOrd="0" presId="urn:microsoft.com/office/officeart/2005/8/layout/hierarchy5"/>
    <dgm:cxn modelId="{2247DBD1-3655-41B1-BAB4-7D0611BCFF8D}" type="presParOf" srcId="{FB88A000-B313-4C22-A774-FF64F0E215F5}" destId="{AA7E91B8-94FD-4B3A-B0CA-836FB37DA3D7}" srcOrd="1" destOrd="0" presId="urn:microsoft.com/office/officeart/2005/8/layout/hierarchy5"/>
    <dgm:cxn modelId="{FA2EFF5D-133A-4D15-BDAD-1D31DC32621D}" type="presParOf" srcId="{D7BB0A1A-4CEE-4875-9613-168780A65C94}" destId="{D8B17A21-E616-4DDB-BBDC-8324F8F585D7}" srcOrd="6" destOrd="0" presId="urn:microsoft.com/office/officeart/2005/8/layout/hierarchy5"/>
    <dgm:cxn modelId="{86CA9ACB-A591-4A06-AAC1-28C63F7CDBEA}" type="presParOf" srcId="{D8B17A21-E616-4DDB-BBDC-8324F8F585D7}" destId="{127EC6AB-1677-442E-AE95-C3770C428C4A}" srcOrd="0" destOrd="0" presId="urn:microsoft.com/office/officeart/2005/8/layout/hierarchy5"/>
    <dgm:cxn modelId="{ED590EC7-51AA-4744-BB36-E2910BB00026}" type="presParOf" srcId="{D7BB0A1A-4CEE-4875-9613-168780A65C94}" destId="{F8EAEA02-EF91-4C6C-A27A-CDA0105EC4D4}" srcOrd="7" destOrd="0" presId="urn:microsoft.com/office/officeart/2005/8/layout/hierarchy5"/>
    <dgm:cxn modelId="{EBC0C9C4-D210-477E-BA31-89F624B0ADA3}" type="presParOf" srcId="{F8EAEA02-EF91-4C6C-A27A-CDA0105EC4D4}" destId="{4A694950-E2A0-46CD-83B9-2757EFE9916D}" srcOrd="0" destOrd="0" presId="urn:microsoft.com/office/officeart/2005/8/layout/hierarchy5"/>
    <dgm:cxn modelId="{59E6E8F5-62F2-4E76-A8D7-2E7DE27FBCB8}" type="presParOf" srcId="{F8EAEA02-EF91-4C6C-A27A-CDA0105EC4D4}" destId="{E6A4368B-5125-4D5A-B5C5-4B650808E5EA}" srcOrd="1" destOrd="0" presId="urn:microsoft.com/office/officeart/2005/8/layout/hierarchy5"/>
    <dgm:cxn modelId="{240AC6E6-AEC1-47FB-82B0-1F02D503C22A}" type="presParOf" srcId="{D7BB0A1A-4CEE-4875-9613-168780A65C94}" destId="{4CA8A06A-628F-486F-BF42-DAB5E7041E51}" srcOrd="8" destOrd="0" presId="urn:microsoft.com/office/officeart/2005/8/layout/hierarchy5"/>
    <dgm:cxn modelId="{288C1823-91ED-44C9-AE1E-1140D582DBE1}" type="presParOf" srcId="{4CA8A06A-628F-486F-BF42-DAB5E7041E51}" destId="{BA432CC3-559F-4064-96C1-47AFAE3598BF}" srcOrd="0" destOrd="0" presId="urn:microsoft.com/office/officeart/2005/8/layout/hierarchy5"/>
    <dgm:cxn modelId="{D373C560-7ECD-4C2A-BDCC-512DDD74CAC7}" type="presParOf" srcId="{D7BB0A1A-4CEE-4875-9613-168780A65C94}" destId="{2C7784CF-35F6-421B-91B2-6773584739A2}" srcOrd="9" destOrd="0" presId="urn:microsoft.com/office/officeart/2005/8/layout/hierarchy5"/>
    <dgm:cxn modelId="{40C21507-D9EE-4BED-81C5-4BAE1DF7B7EE}" type="presParOf" srcId="{2C7784CF-35F6-421B-91B2-6773584739A2}" destId="{99E0F38B-22BC-4C0F-B4F4-4D46B4C1D9E3}" srcOrd="0" destOrd="0" presId="urn:microsoft.com/office/officeart/2005/8/layout/hierarchy5"/>
    <dgm:cxn modelId="{ED67691D-E3DD-4673-A1C8-EEAD5E83FE03}" type="presParOf" srcId="{2C7784CF-35F6-421B-91B2-6773584739A2}" destId="{14D83C8C-93B0-4DC6-85E8-ABCB868EF321}" srcOrd="1" destOrd="0" presId="urn:microsoft.com/office/officeart/2005/8/layout/hierarchy5"/>
    <dgm:cxn modelId="{3EDC9EE7-526C-4046-9C8B-D4A95043D799}" type="presParOf" srcId="{21AC6A3A-EA62-4F8E-BA0E-4423119C0A79}" destId="{E6B0E921-D293-4BF9-94CB-76C4245C0E8B}" srcOrd="4" destOrd="0" presId="urn:microsoft.com/office/officeart/2005/8/layout/hierarchy5"/>
    <dgm:cxn modelId="{1054AF99-D680-48FB-B700-1C8536DAB4AC}" type="presParOf" srcId="{E6B0E921-D293-4BF9-94CB-76C4245C0E8B}" destId="{70F7F14C-F906-49C6-8DF4-1249A7E514E3}" srcOrd="0" destOrd="0" presId="urn:microsoft.com/office/officeart/2005/8/layout/hierarchy5"/>
    <dgm:cxn modelId="{C34C2478-6D11-4B65-868F-B086AADA291E}" type="presParOf" srcId="{21AC6A3A-EA62-4F8E-BA0E-4423119C0A79}" destId="{5657D419-45CC-4C07-82AB-3FF47BAE2699}" srcOrd="5" destOrd="0" presId="urn:microsoft.com/office/officeart/2005/8/layout/hierarchy5"/>
    <dgm:cxn modelId="{4A286BAE-F1AD-4F47-A86F-92B1D02EF0E2}" type="presParOf" srcId="{5657D419-45CC-4C07-82AB-3FF47BAE2699}" destId="{929EA9E7-B578-4B3E-8D00-0225D42DA50D}" srcOrd="0" destOrd="0" presId="urn:microsoft.com/office/officeart/2005/8/layout/hierarchy5"/>
    <dgm:cxn modelId="{1E692953-1E4E-438D-8FE7-5EE54541F102}" type="presParOf" srcId="{5657D419-45CC-4C07-82AB-3FF47BAE2699}" destId="{E174535F-2523-475E-9FBC-5E61B6A98447}" srcOrd="1" destOrd="0" presId="urn:microsoft.com/office/officeart/2005/8/layout/hierarchy5"/>
    <dgm:cxn modelId="{80BACF92-B5F2-4E2B-ACAC-BEF8E01935ED}" type="presParOf" srcId="{E174535F-2523-475E-9FBC-5E61B6A98447}" destId="{F25D7220-CD59-4FFA-92B9-F0D18F30A8F0}" srcOrd="0" destOrd="0" presId="urn:microsoft.com/office/officeart/2005/8/layout/hierarchy5"/>
    <dgm:cxn modelId="{C3B9384A-FB68-4893-AF18-B6CAF11F3C52}" type="presParOf" srcId="{F25D7220-CD59-4FFA-92B9-F0D18F30A8F0}" destId="{0AFA6E90-E950-4C02-A06F-C4F937F8FCA3}" srcOrd="0" destOrd="0" presId="urn:microsoft.com/office/officeart/2005/8/layout/hierarchy5"/>
    <dgm:cxn modelId="{63220DC2-71C9-4867-92C6-8611673109D9}" type="presParOf" srcId="{E174535F-2523-475E-9FBC-5E61B6A98447}" destId="{6ADC1004-46D5-4DD2-9AA6-21D6A2E9CEE6}" srcOrd="1" destOrd="0" presId="urn:microsoft.com/office/officeart/2005/8/layout/hierarchy5"/>
    <dgm:cxn modelId="{CF780AA0-A649-4F78-B37D-918C58C9FBDA}" type="presParOf" srcId="{6ADC1004-46D5-4DD2-9AA6-21D6A2E9CEE6}" destId="{E8838CA3-0E28-437C-B3C3-672E0B7FAB13}" srcOrd="0" destOrd="0" presId="urn:microsoft.com/office/officeart/2005/8/layout/hierarchy5"/>
    <dgm:cxn modelId="{406DB5CC-AD3F-43B3-ABD5-0F6BA8C99D62}" type="presParOf" srcId="{6ADC1004-46D5-4DD2-9AA6-21D6A2E9CEE6}" destId="{1158E3EC-463F-4436-844C-6FAC9D8C8007}" srcOrd="1" destOrd="0" presId="urn:microsoft.com/office/officeart/2005/8/layout/hierarchy5"/>
    <dgm:cxn modelId="{FAD99753-E0CC-46A6-A178-64B7E7BD7F13}" type="presParOf" srcId="{E174535F-2523-475E-9FBC-5E61B6A98447}" destId="{23518BE6-90BB-43C6-B430-C2F4F1E43DB7}" srcOrd="2" destOrd="0" presId="urn:microsoft.com/office/officeart/2005/8/layout/hierarchy5"/>
    <dgm:cxn modelId="{2CF0E0EA-56D5-4C52-A28D-068B777B6646}" type="presParOf" srcId="{23518BE6-90BB-43C6-B430-C2F4F1E43DB7}" destId="{513A0A9D-3175-4801-A36F-E3BA2C62718D}" srcOrd="0" destOrd="0" presId="urn:microsoft.com/office/officeart/2005/8/layout/hierarchy5"/>
    <dgm:cxn modelId="{29C2EB7D-16B4-4F99-B918-F50FDA70B997}" type="presParOf" srcId="{E174535F-2523-475E-9FBC-5E61B6A98447}" destId="{2F21C01D-F401-471A-B9F0-99227291DAA0}" srcOrd="3" destOrd="0" presId="urn:microsoft.com/office/officeart/2005/8/layout/hierarchy5"/>
    <dgm:cxn modelId="{EC9336A0-D2A1-4ACB-9D47-DBCC2558ACEB}" type="presParOf" srcId="{2F21C01D-F401-471A-B9F0-99227291DAA0}" destId="{2B0E3178-06E4-400D-868A-A750A946E9B0}" srcOrd="0" destOrd="0" presId="urn:microsoft.com/office/officeart/2005/8/layout/hierarchy5"/>
    <dgm:cxn modelId="{48545345-1460-4C3F-9657-8F3A08ED807A}" type="presParOf" srcId="{2F21C01D-F401-471A-B9F0-99227291DAA0}" destId="{27A5B929-E9C9-4AF9-A02A-4259F54161AC}" srcOrd="1" destOrd="0" presId="urn:microsoft.com/office/officeart/2005/8/layout/hierarchy5"/>
    <dgm:cxn modelId="{BD4B7741-5F75-4A12-91B2-29E3777A40D9}" type="presParOf" srcId="{E174535F-2523-475E-9FBC-5E61B6A98447}" destId="{5742B88E-155D-4129-852D-C2292AAFAE6A}" srcOrd="4" destOrd="0" presId="urn:microsoft.com/office/officeart/2005/8/layout/hierarchy5"/>
    <dgm:cxn modelId="{25F3CD36-EAB0-4879-A537-C4AE09DEFBC0}" type="presParOf" srcId="{5742B88E-155D-4129-852D-C2292AAFAE6A}" destId="{60FE1ADE-522F-4D52-82B7-9426EDF607D2}" srcOrd="0" destOrd="0" presId="urn:microsoft.com/office/officeart/2005/8/layout/hierarchy5"/>
    <dgm:cxn modelId="{F9F41BC2-1BB4-45BF-A2C1-6C5CD76611CD}" type="presParOf" srcId="{E174535F-2523-475E-9FBC-5E61B6A98447}" destId="{A3C91E1C-2D4A-4808-BE1D-5CEEF2853BA5}" srcOrd="5" destOrd="0" presId="urn:microsoft.com/office/officeart/2005/8/layout/hierarchy5"/>
    <dgm:cxn modelId="{517BD39A-10F1-4B5E-837C-1378EAE2977E}" type="presParOf" srcId="{A3C91E1C-2D4A-4808-BE1D-5CEEF2853BA5}" destId="{1DA5D232-807B-48EB-B212-1A5CC8432626}" srcOrd="0" destOrd="0" presId="urn:microsoft.com/office/officeart/2005/8/layout/hierarchy5"/>
    <dgm:cxn modelId="{F9CCBCE4-1245-4054-BFA1-55816BE12654}" type="presParOf" srcId="{A3C91E1C-2D4A-4808-BE1D-5CEEF2853BA5}" destId="{CB8E5A7E-AB70-4E9A-968F-A43399A14512}" srcOrd="1" destOrd="0" presId="urn:microsoft.com/office/officeart/2005/8/layout/hierarchy5"/>
    <dgm:cxn modelId="{1693F55F-6786-4154-9357-3BC74171F2B9}" type="presParOf" srcId="{21AC6A3A-EA62-4F8E-BA0E-4423119C0A79}" destId="{FAC0DB6A-AD4F-4C26-911C-78404143D7A2}" srcOrd="6" destOrd="0" presId="urn:microsoft.com/office/officeart/2005/8/layout/hierarchy5"/>
    <dgm:cxn modelId="{03F70EC3-D6BC-4D5A-AF45-394A3312FFA5}" type="presParOf" srcId="{FAC0DB6A-AD4F-4C26-911C-78404143D7A2}" destId="{3EE5946B-51F4-4B9C-9F4A-78D0B5183949}" srcOrd="0" destOrd="0" presId="urn:microsoft.com/office/officeart/2005/8/layout/hierarchy5"/>
    <dgm:cxn modelId="{6D3F0BCA-2BA7-4D34-8473-35D8B5AB9FD4}" type="presParOf" srcId="{21AC6A3A-EA62-4F8E-BA0E-4423119C0A79}" destId="{CE9F17B5-3490-4170-AF67-5C948AC2264C}" srcOrd="7" destOrd="0" presId="urn:microsoft.com/office/officeart/2005/8/layout/hierarchy5"/>
    <dgm:cxn modelId="{8EFBE954-56EE-4EAB-A4E8-6ADB1763780D}" type="presParOf" srcId="{CE9F17B5-3490-4170-AF67-5C948AC2264C}" destId="{D5133E21-936C-4D7A-ACF8-9BCBFA61A708}" srcOrd="0" destOrd="0" presId="urn:microsoft.com/office/officeart/2005/8/layout/hierarchy5"/>
    <dgm:cxn modelId="{786312BE-8A1A-4934-B44F-C9428FBA9CC3}" type="presParOf" srcId="{CE9F17B5-3490-4170-AF67-5C948AC2264C}" destId="{660600BC-03D0-4BF8-AD19-BE815AE676F8}" srcOrd="1" destOrd="0" presId="urn:microsoft.com/office/officeart/2005/8/layout/hierarchy5"/>
    <dgm:cxn modelId="{D5DED056-59F1-46FA-9FEA-A6C0921A32AA}" type="presParOf" srcId="{660600BC-03D0-4BF8-AD19-BE815AE676F8}" destId="{69EC852C-8810-426D-80CB-A277E975A1AB}" srcOrd="0" destOrd="0" presId="urn:microsoft.com/office/officeart/2005/8/layout/hierarchy5"/>
    <dgm:cxn modelId="{9F1E7F42-C0ED-484F-A2F5-749341E276B9}" type="presParOf" srcId="{69EC852C-8810-426D-80CB-A277E975A1AB}" destId="{5A79AD2E-AFAB-439B-B717-7D52C7200D22}" srcOrd="0" destOrd="0" presId="urn:microsoft.com/office/officeart/2005/8/layout/hierarchy5"/>
    <dgm:cxn modelId="{B743445A-59BE-4F84-A3FB-B614C0057524}" type="presParOf" srcId="{660600BC-03D0-4BF8-AD19-BE815AE676F8}" destId="{1ACDAC03-120F-4B29-8E14-B29021A0DF8F}" srcOrd="1" destOrd="0" presId="urn:microsoft.com/office/officeart/2005/8/layout/hierarchy5"/>
    <dgm:cxn modelId="{B1DC5302-0AE3-4A7F-B6CF-1C16E5E87A47}" type="presParOf" srcId="{1ACDAC03-120F-4B29-8E14-B29021A0DF8F}" destId="{A9F8C3E4-401F-4385-A450-05F20E7A0055}" srcOrd="0" destOrd="0" presId="urn:microsoft.com/office/officeart/2005/8/layout/hierarchy5"/>
    <dgm:cxn modelId="{5CDA0F60-786D-4FFD-A074-A4F439DBB49C}" type="presParOf" srcId="{1ACDAC03-120F-4B29-8E14-B29021A0DF8F}" destId="{5C6E415C-263E-4BAF-AB7D-C3BE8DCA4543}" srcOrd="1" destOrd="0" presId="urn:microsoft.com/office/officeart/2005/8/layout/hierarchy5"/>
    <dgm:cxn modelId="{8DE2D554-FF75-42DA-8E2E-6B0619E4D73B}" type="presParOf" srcId="{660600BC-03D0-4BF8-AD19-BE815AE676F8}" destId="{28F36EFA-290F-4C4E-A472-092F8FA01701}" srcOrd="2" destOrd="0" presId="urn:microsoft.com/office/officeart/2005/8/layout/hierarchy5"/>
    <dgm:cxn modelId="{AA34CFB2-7DC0-4525-AC77-3103C84E7A2A}" type="presParOf" srcId="{28F36EFA-290F-4C4E-A472-092F8FA01701}" destId="{B32E8DDD-58F2-4FA1-9D8E-450462073744}" srcOrd="0" destOrd="0" presId="urn:microsoft.com/office/officeart/2005/8/layout/hierarchy5"/>
    <dgm:cxn modelId="{5EF9DC1A-0B7B-467C-BB49-5FD32CC60779}" type="presParOf" srcId="{660600BC-03D0-4BF8-AD19-BE815AE676F8}" destId="{5FB8D39B-4CF5-49A1-8982-55DDD89972F0}" srcOrd="3" destOrd="0" presId="urn:microsoft.com/office/officeart/2005/8/layout/hierarchy5"/>
    <dgm:cxn modelId="{406A4BE8-537D-4BE1-8044-928E66B119F2}" type="presParOf" srcId="{5FB8D39B-4CF5-49A1-8982-55DDD89972F0}" destId="{C8F88A2D-B3A1-42AF-8ADB-2B61FF6A1D0E}" srcOrd="0" destOrd="0" presId="urn:microsoft.com/office/officeart/2005/8/layout/hierarchy5"/>
    <dgm:cxn modelId="{19B4BBA9-F106-4481-8AD3-1D14A75A696B}" type="presParOf" srcId="{5FB8D39B-4CF5-49A1-8982-55DDD89972F0}" destId="{41E46E56-3236-4DC0-849D-D291C4C9B713}" srcOrd="1" destOrd="0" presId="urn:microsoft.com/office/officeart/2005/8/layout/hierarchy5"/>
    <dgm:cxn modelId="{354E8D90-2F83-4582-B7EE-14168CD44DBE}" type="presParOf" srcId="{660600BC-03D0-4BF8-AD19-BE815AE676F8}" destId="{18E1F2EA-6A0A-4962-9E62-A4C55C40AEFD}" srcOrd="4" destOrd="0" presId="urn:microsoft.com/office/officeart/2005/8/layout/hierarchy5"/>
    <dgm:cxn modelId="{4B5E8D46-3485-4C5E-AD69-92CFE3A92A8D}" type="presParOf" srcId="{18E1F2EA-6A0A-4962-9E62-A4C55C40AEFD}" destId="{2D3C7D49-3975-4853-8555-FE5DCB4F89EB}" srcOrd="0" destOrd="0" presId="urn:microsoft.com/office/officeart/2005/8/layout/hierarchy5"/>
    <dgm:cxn modelId="{FE24AC24-C05F-485E-98B9-32D87ED241BB}" type="presParOf" srcId="{660600BC-03D0-4BF8-AD19-BE815AE676F8}" destId="{4B3F4FD7-63DB-48A0-8E3E-826CEBF6EDC2}" srcOrd="5" destOrd="0" presId="urn:microsoft.com/office/officeart/2005/8/layout/hierarchy5"/>
    <dgm:cxn modelId="{11FCB9A9-2DAE-4256-9C99-BAD5FD8BEFD8}" type="presParOf" srcId="{4B3F4FD7-63DB-48A0-8E3E-826CEBF6EDC2}" destId="{C988AC0F-C3D4-46A1-8A29-C45AF1103A9B}" srcOrd="0" destOrd="0" presId="urn:microsoft.com/office/officeart/2005/8/layout/hierarchy5"/>
    <dgm:cxn modelId="{3F7912E8-1EDD-45AF-AACA-5CCD8D0022E4}" type="presParOf" srcId="{4B3F4FD7-63DB-48A0-8E3E-826CEBF6EDC2}" destId="{FDCE9A71-237E-44C4-B1CB-822C33BE64B6}" srcOrd="1" destOrd="0" presId="urn:microsoft.com/office/officeart/2005/8/layout/hierarchy5"/>
    <dgm:cxn modelId="{2CE8E43D-7CCA-4E1B-8C23-66A879AF8E67}" type="presParOf" srcId="{660600BC-03D0-4BF8-AD19-BE815AE676F8}" destId="{5BF541E8-7014-4343-A3D4-76E2345D434B}" srcOrd="6" destOrd="0" presId="urn:microsoft.com/office/officeart/2005/8/layout/hierarchy5"/>
    <dgm:cxn modelId="{41774E9D-D0BA-40D9-AC9D-A7F3514CEC49}" type="presParOf" srcId="{5BF541E8-7014-4343-A3D4-76E2345D434B}" destId="{BE8DDA2C-C9CB-4571-9B6A-E71F52893C43}" srcOrd="0" destOrd="0" presId="urn:microsoft.com/office/officeart/2005/8/layout/hierarchy5"/>
    <dgm:cxn modelId="{E1BB8C4A-44B9-46E1-A3A9-08B60049F825}" type="presParOf" srcId="{660600BC-03D0-4BF8-AD19-BE815AE676F8}" destId="{A9C3E112-94D5-47DF-B234-96037BB6A6DC}" srcOrd="7" destOrd="0" presId="urn:microsoft.com/office/officeart/2005/8/layout/hierarchy5"/>
    <dgm:cxn modelId="{B79728E5-968B-4696-93E1-9E91757DE184}" type="presParOf" srcId="{A9C3E112-94D5-47DF-B234-96037BB6A6DC}" destId="{F165A8A3-647B-4896-9852-57C56AEE2C92}" srcOrd="0" destOrd="0" presId="urn:microsoft.com/office/officeart/2005/8/layout/hierarchy5"/>
    <dgm:cxn modelId="{CBADC5B7-5C7D-4641-A971-D760ACF00C9F}" type="presParOf" srcId="{A9C3E112-94D5-47DF-B234-96037BB6A6DC}" destId="{FDD44D95-F9CB-42F0-9640-92F8E08D6675}" srcOrd="1" destOrd="0" presId="urn:microsoft.com/office/officeart/2005/8/layout/hierarchy5"/>
    <dgm:cxn modelId="{6731DA3B-B304-4654-A607-95DA4F14A771}" type="presParOf" srcId="{21AC6A3A-EA62-4F8E-BA0E-4423119C0A79}" destId="{D1394A50-2CEA-4438-A015-8E61CF5C9789}" srcOrd="8" destOrd="0" presId="urn:microsoft.com/office/officeart/2005/8/layout/hierarchy5"/>
    <dgm:cxn modelId="{37C0229A-EDBB-49FF-B2B2-65E42A4E26D3}" type="presParOf" srcId="{D1394A50-2CEA-4438-A015-8E61CF5C9789}" destId="{9BD82A8C-DF92-4EDE-A4E1-26B016FC2B10}" srcOrd="0" destOrd="0" presId="urn:microsoft.com/office/officeart/2005/8/layout/hierarchy5"/>
    <dgm:cxn modelId="{B05DC2B6-39BC-40C1-B62B-9E77302A2626}" type="presParOf" srcId="{21AC6A3A-EA62-4F8E-BA0E-4423119C0A79}" destId="{5BB77876-F617-423D-A656-C9B2A1240968}" srcOrd="9" destOrd="0" presId="urn:microsoft.com/office/officeart/2005/8/layout/hierarchy5"/>
    <dgm:cxn modelId="{A7257713-01D6-489B-A588-F9DE6F136E03}" type="presParOf" srcId="{5BB77876-F617-423D-A656-C9B2A1240968}" destId="{AC366CB4-C73A-4FD6-B436-3381599E034E}" srcOrd="0" destOrd="0" presId="urn:microsoft.com/office/officeart/2005/8/layout/hierarchy5"/>
    <dgm:cxn modelId="{27679E20-2939-49D8-BE7B-5794DBFFECDC}" type="presParOf" srcId="{5BB77876-F617-423D-A656-C9B2A1240968}" destId="{8F855341-3D4C-4D5B-868F-E7EEB3D199BF}" srcOrd="1" destOrd="0" presId="urn:microsoft.com/office/officeart/2005/8/layout/hierarchy5"/>
    <dgm:cxn modelId="{A8E6E09A-B6B4-4BDF-AFBE-06CB3C0D2CE0}" type="presParOf" srcId="{8F855341-3D4C-4D5B-868F-E7EEB3D199BF}" destId="{97684C04-7B81-4A47-988A-FA763F4F1157}" srcOrd="0" destOrd="0" presId="urn:microsoft.com/office/officeart/2005/8/layout/hierarchy5"/>
    <dgm:cxn modelId="{DDEA0864-35C3-4B39-9163-79E47BA424A9}" type="presParOf" srcId="{97684C04-7B81-4A47-988A-FA763F4F1157}" destId="{0C4F7BCE-EAB4-400B-9DDF-9925D7E44A55}" srcOrd="0" destOrd="0" presId="urn:microsoft.com/office/officeart/2005/8/layout/hierarchy5"/>
    <dgm:cxn modelId="{9E0DEB4C-8107-489A-9EEA-0DAB69E863D5}" type="presParOf" srcId="{8F855341-3D4C-4D5B-868F-E7EEB3D199BF}" destId="{F4268C98-0277-4FDD-AFC7-7620687D788E}" srcOrd="1" destOrd="0" presId="urn:microsoft.com/office/officeart/2005/8/layout/hierarchy5"/>
    <dgm:cxn modelId="{7C668AA6-94C0-41FB-9355-E75E53E0C0ED}" type="presParOf" srcId="{F4268C98-0277-4FDD-AFC7-7620687D788E}" destId="{5B909987-0CAE-4248-8499-40F112658A62}" srcOrd="0" destOrd="0" presId="urn:microsoft.com/office/officeart/2005/8/layout/hierarchy5"/>
    <dgm:cxn modelId="{27DAA94B-D0B6-49F7-8B97-3FA5B70EA2ED}" type="presParOf" srcId="{F4268C98-0277-4FDD-AFC7-7620687D788E}" destId="{CA660E46-A701-4E37-B471-737F7E50408D}" srcOrd="1" destOrd="0" presId="urn:microsoft.com/office/officeart/2005/8/layout/hierarchy5"/>
    <dgm:cxn modelId="{F14C6448-ADCA-4941-9892-36CEDC7873A6}" type="presParOf" srcId="{8F855341-3D4C-4D5B-868F-E7EEB3D199BF}" destId="{7A74DB35-7E93-4651-8DDF-FFAC0E2EDF8F}" srcOrd="2" destOrd="0" presId="urn:microsoft.com/office/officeart/2005/8/layout/hierarchy5"/>
    <dgm:cxn modelId="{E59B949D-1F48-4450-BFDF-32366D4274C6}" type="presParOf" srcId="{7A74DB35-7E93-4651-8DDF-FFAC0E2EDF8F}" destId="{15ABFEA2-750B-4427-B946-80A92CF619F0}" srcOrd="0" destOrd="0" presId="urn:microsoft.com/office/officeart/2005/8/layout/hierarchy5"/>
    <dgm:cxn modelId="{016D3062-606C-4687-B469-21EDF2709FF0}" type="presParOf" srcId="{8F855341-3D4C-4D5B-868F-E7EEB3D199BF}" destId="{0BFC0A49-D405-42BA-932A-758826ED2D88}" srcOrd="3" destOrd="0" presId="urn:microsoft.com/office/officeart/2005/8/layout/hierarchy5"/>
    <dgm:cxn modelId="{64790226-CE53-42E2-8AA9-146D589F2897}" type="presParOf" srcId="{0BFC0A49-D405-42BA-932A-758826ED2D88}" destId="{2213F8BC-7F5A-4AD9-B854-12EB52822A97}" srcOrd="0" destOrd="0" presId="urn:microsoft.com/office/officeart/2005/8/layout/hierarchy5"/>
    <dgm:cxn modelId="{542E5851-2185-419C-8066-AFACE64549A7}" type="presParOf" srcId="{0BFC0A49-D405-42BA-932A-758826ED2D88}" destId="{2634EF6E-7851-4134-A0C9-E81143A00EC5}" srcOrd="1" destOrd="0" presId="urn:microsoft.com/office/officeart/2005/8/layout/hierarchy5"/>
    <dgm:cxn modelId="{2626EC96-9923-45D1-93AB-1869DBA57B64}" type="presParOf" srcId="{8F855341-3D4C-4D5B-868F-E7EEB3D199BF}" destId="{E1A11DDD-18FA-4004-9BE8-9BCF35273861}" srcOrd="4" destOrd="0" presId="urn:microsoft.com/office/officeart/2005/8/layout/hierarchy5"/>
    <dgm:cxn modelId="{2427A38D-1EC6-4305-8B25-8BE606BA5DD8}" type="presParOf" srcId="{E1A11DDD-18FA-4004-9BE8-9BCF35273861}" destId="{37F55A1B-A910-47E1-8B3C-2C8A9F191D12}" srcOrd="0" destOrd="0" presId="urn:microsoft.com/office/officeart/2005/8/layout/hierarchy5"/>
    <dgm:cxn modelId="{D4088AF7-07B5-4DF2-B479-44D0EBED9189}" type="presParOf" srcId="{8F855341-3D4C-4D5B-868F-E7EEB3D199BF}" destId="{D082D282-0702-4CB8-8C91-86DE7E364E55}" srcOrd="5" destOrd="0" presId="urn:microsoft.com/office/officeart/2005/8/layout/hierarchy5"/>
    <dgm:cxn modelId="{45F04B07-69F7-4027-BE9C-6D99720D7235}" type="presParOf" srcId="{D082D282-0702-4CB8-8C91-86DE7E364E55}" destId="{9F3D3E81-3B7A-4E8A-84BB-D0B7850AD6A1}" srcOrd="0" destOrd="0" presId="urn:microsoft.com/office/officeart/2005/8/layout/hierarchy5"/>
    <dgm:cxn modelId="{0C9B1C0E-A78C-4B1D-B6F6-76012E4F753B}" type="presParOf" srcId="{D082D282-0702-4CB8-8C91-86DE7E364E55}" destId="{A1283F70-526E-4768-9C06-CFE70C32AE81}" srcOrd="1" destOrd="0" presId="urn:microsoft.com/office/officeart/2005/8/layout/hierarchy5"/>
    <dgm:cxn modelId="{7A30BCCF-BA85-48C2-8CD1-7A28FD5B5A2F}" type="presParOf" srcId="{8F855341-3D4C-4D5B-868F-E7EEB3D199BF}" destId="{49A498FD-9DD6-4B9C-9E4B-1756813E2104}" srcOrd="6" destOrd="0" presId="urn:microsoft.com/office/officeart/2005/8/layout/hierarchy5"/>
    <dgm:cxn modelId="{09A4D28C-231E-4A37-BA2C-EE6C1DEFE119}" type="presParOf" srcId="{49A498FD-9DD6-4B9C-9E4B-1756813E2104}" destId="{4349F976-2F90-481B-9602-7C3E11FDAF30}" srcOrd="0" destOrd="0" presId="urn:microsoft.com/office/officeart/2005/8/layout/hierarchy5"/>
    <dgm:cxn modelId="{271A268A-AFCA-479A-8EF9-1D9A2BAABA79}" type="presParOf" srcId="{8F855341-3D4C-4D5B-868F-E7EEB3D199BF}" destId="{4942C656-3CE6-48A2-8232-B0F4D659F047}" srcOrd="7" destOrd="0" presId="urn:microsoft.com/office/officeart/2005/8/layout/hierarchy5"/>
    <dgm:cxn modelId="{99171908-592E-4A10-AD5A-C2AAC2EAFDAD}" type="presParOf" srcId="{4942C656-3CE6-48A2-8232-B0F4D659F047}" destId="{F0D336BE-8CE4-4853-BD3A-76712949F15A}" srcOrd="0" destOrd="0" presId="urn:microsoft.com/office/officeart/2005/8/layout/hierarchy5"/>
    <dgm:cxn modelId="{2479BC98-7C28-4B4C-842B-12A630CBFD3D}" type="presParOf" srcId="{4942C656-3CE6-48A2-8232-B0F4D659F047}" destId="{FE2242FD-7E99-4D4B-A5EC-C50DC4B007FF}" srcOrd="1" destOrd="0" presId="urn:microsoft.com/office/officeart/2005/8/layout/hierarchy5"/>
    <dgm:cxn modelId="{1A61AFEB-857D-4E15-B40B-18706BB74ACE}" type="presParOf" srcId="{DD15816B-5A97-4463-B44A-456F68E17229}" destId="{76CAB9F3-424D-4C48-8078-30A77F2E50C0}" srcOrd="1" destOrd="0" presId="urn:microsoft.com/office/officeart/2005/8/layout/hierarchy5"/>
    <dgm:cxn modelId="{4FF6BECC-781B-487A-9483-F309FB3B1287}" type="presParOf" srcId="{76CAB9F3-424D-4C48-8078-30A77F2E50C0}" destId="{A8B72EC7-AD20-4631-859D-C38ABB2FEDE3}" srcOrd="0" destOrd="0" presId="urn:microsoft.com/office/officeart/2005/8/layout/hierarchy5"/>
    <dgm:cxn modelId="{C3F5AEA4-BA13-4894-B3E8-C44166082434}" type="presParOf" srcId="{A8B72EC7-AD20-4631-859D-C38ABB2FEDE3}" destId="{0DD267EE-5B7D-4A3D-B043-BBCB874DAAE1}" srcOrd="0" destOrd="0" presId="urn:microsoft.com/office/officeart/2005/8/layout/hierarchy5"/>
    <dgm:cxn modelId="{C2F33588-F623-4B35-9ACC-DEB8D7D70F9B}" type="presParOf" srcId="{A8B72EC7-AD20-4631-859D-C38ABB2FEDE3}" destId="{03E19803-6D48-40ED-9304-15FC108895F2}" srcOrd="1" destOrd="0" presId="urn:microsoft.com/office/officeart/2005/8/layout/hierarchy5"/>
    <dgm:cxn modelId="{BDD0ADAA-B8F2-44D0-8112-5A6EBA955A2A}" type="presParOf" srcId="{76CAB9F3-424D-4C48-8078-30A77F2E50C0}" destId="{A0A269DB-8CF3-476A-8340-94A41C377CFC}" srcOrd="1" destOrd="0" presId="urn:microsoft.com/office/officeart/2005/8/layout/hierarchy5"/>
    <dgm:cxn modelId="{67394942-71FC-4B45-853A-F9A4E710C239}" type="presParOf" srcId="{A0A269DB-8CF3-476A-8340-94A41C377CFC}" destId="{F2E1FEF9-0B7D-4951-A15A-6BF6594A9157}" srcOrd="0" destOrd="0" presId="urn:microsoft.com/office/officeart/2005/8/layout/hierarchy5"/>
    <dgm:cxn modelId="{C129B272-0954-41BE-9998-ECB9B3BFFAC7}" type="presParOf" srcId="{76CAB9F3-424D-4C48-8078-30A77F2E50C0}" destId="{3706B5BD-E09E-4D0B-9ACC-9EE997E83698}" srcOrd="2" destOrd="0" presId="urn:microsoft.com/office/officeart/2005/8/layout/hierarchy5"/>
    <dgm:cxn modelId="{FE43EA3D-8D91-4D0C-BA49-0388F98E4C49}" type="presParOf" srcId="{3706B5BD-E09E-4D0B-9ACC-9EE997E83698}" destId="{D443A850-84C3-42D6-A285-77044588663D}" srcOrd="0" destOrd="0" presId="urn:microsoft.com/office/officeart/2005/8/layout/hierarchy5"/>
    <dgm:cxn modelId="{71899DEF-03DE-473C-8B0D-D7C527116927}" type="presParOf" srcId="{3706B5BD-E09E-4D0B-9ACC-9EE997E83698}" destId="{3BC0C682-49AF-4444-935B-C31FD7B7E03D}" srcOrd="1" destOrd="0" presId="urn:microsoft.com/office/officeart/2005/8/layout/hierarchy5"/>
    <dgm:cxn modelId="{5747F979-0D87-4836-ACDB-829A7FA5C4CE}" type="presParOf" srcId="{76CAB9F3-424D-4C48-8078-30A77F2E50C0}" destId="{DA0B0916-780D-495B-9D1F-E51BBA82EE21}" srcOrd="3" destOrd="0" presId="urn:microsoft.com/office/officeart/2005/8/layout/hierarchy5"/>
    <dgm:cxn modelId="{E9DE1431-8A31-4039-8041-7E4BE86C0D1F}" type="presParOf" srcId="{DA0B0916-780D-495B-9D1F-E51BBA82EE21}" destId="{C5F545E5-2E3C-455E-BA2E-73E30D8D2983}" srcOrd="0" destOrd="0" presId="urn:microsoft.com/office/officeart/2005/8/layout/hierarchy5"/>
    <dgm:cxn modelId="{C5D32A7F-B71A-4D97-A7E2-560CB9F328FD}" type="presParOf" srcId="{76CAB9F3-424D-4C48-8078-30A77F2E50C0}" destId="{80297A8E-C315-4AD0-854B-C0DDA8E69F41}" srcOrd="4" destOrd="0" presId="urn:microsoft.com/office/officeart/2005/8/layout/hierarchy5"/>
    <dgm:cxn modelId="{0822F789-3514-4627-B36D-192077570DB0}" type="presParOf" srcId="{80297A8E-C315-4AD0-854B-C0DDA8E69F41}" destId="{A41E6833-938D-4779-A65A-8045F3E4418F}" srcOrd="0" destOrd="0" presId="urn:microsoft.com/office/officeart/2005/8/layout/hierarchy5"/>
    <dgm:cxn modelId="{915D62B0-1D4F-450C-B298-1FA8A312EF9E}" type="presParOf" srcId="{80297A8E-C315-4AD0-854B-C0DDA8E69F41}" destId="{BD79B523-34AB-48F8-A91C-B8DA7B6FF4C4}" srcOrd="1" destOrd="0" presId="urn:microsoft.com/office/officeart/2005/8/layout/hierarchy5"/>
    <dgm:cxn modelId="{AAFF18CF-1670-4941-9295-6F4010718841}" type="presParOf" srcId="{76CAB9F3-424D-4C48-8078-30A77F2E50C0}" destId="{168A74BA-CE40-457B-B4CF-30C2025CAC44}" srcOrd="5" destOrd="0" presId="urn:microsoft.com/office/officeart/2005/8/layout/hierarchy5"/>
    <dgm:cxn modelId="{F59D9D52-E345-4378-B082-1D834F843D19}" type="presParOf" srcId="{168A74BA-CE40-457B-B4CF-30C2025CAC44}" destId="{4B5C13A6-261F-430B-A82E-B342A0B17519}" srcOrd="0" destOrd="0" presId="urn:microsoft.com/office/officeart/2005/8/layout/hierarchy5"/>
    <dgm:cxn modelId="{92319307-D560-4704-AE61-1308408988E5}" type="presParOf" srcId="{76CAB9F3-424D-4C48-8078-30A77F2E50C0}" destId="{3455E638-74ED-47F5-9584-EBED34001872}" srcOrd="6" destOrd="0" presId="urn:microsoft.com/office/officeart/2005/8/layout/hierarchy5"/>
    <dgm:cxn modelId="{A141ACFD-9591-4723-9545-8A9BC90A65AA}" type="presParOf" srcId="{3455E638-74ED-47F5-9584-EBED34001872}" destId="{68E4FB85-AA7A-4203-BCDA-5A036A8A75AB}" srcOrd="0" destOrd="0" presId="urn:microsoft.com/office/officeart/2005/8/layout/hierarchy5"/>
    <dgm:cxn modelId="{9BFCB567-9769-490A-913D-08E8EA10BE50}" type="presParOf" srcId="{3455E638-74ED-47F5-9584-EBED34001872}" destId="{E7906961-795F-4052-8A3B-F308D7FEA4C7}" srcOrd="1" destOrd="0" presId="urn:microsoft.com/office/officeart/2005/8/layout/hierarchy5"/>
  </dgm:cxnLst>
  <dgm:bg/>
  <dgm:whole>
    <a:ln w="6350">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A01288-C3B3-41DE-9773-D269CE6D0437}">
      <dsp:nvSpPr>
        <dsp:cNvPr id="0" name=""/>
        <dsp:cNvSpPr/>
      </dsp:nvSpPr>
      <dsp:spPr>
        <a:xfrm>
          <a:off x="826382" y="128855"/>
          <a:ext cx="2557283" cy="888111"/>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E1C2EB-C5AE-4067-9875-725714A5583D}">
      <dsp:nvSpPr>
        <dsp:cNvPr id="0" name=""/>
        <dsp:cNvSpPr/>
      </dsp:nvSpPr>
      <dsp:spPr>
        <a:xfrm>
          <a:off x="1857226" y="2303537"/>
          <a:ext cx="495597" cy="317182"/>
        </a:xfrm>
        <a:prstGeom prst="downArrow">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758576-30E5-4D41-9901-3E21B5353634}">
      <dsp:nvSpPr>
        <dsp:cNvPr id="0" name=""/>
        <dsp:cNvSpPr/>
      </dsp:nvSpPr>
      <dsp:spPr>
        <a:xfrm>
          <a:off x="915590" y="2557283"/>
          <a:ext cx="2378868" cy="59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pt-BR" sz="1800" kern="1200" dirty="0"/>
            <a:t>ACESSO</a:t>
          </a:r>
        </a:p>
      </dsp:txBody>
      <dsp:txXfrm>
        <a:off x="915590" y="2557283"/>
        <a:ext cx="2378868" cy="594717"/>
      </dsp:txXfrm>
    </dsp:sp>
    <dsp:sp modelId="{987CAB60-F765-457A-8640-C24462B63106}">
      <dsp:nvSpPr>
        <dsp:cNvPr id="0" name=""/>
        <dsp:cNvSpPr/>
      </dsp:nvSpPr>
      <dsp:spPr>
        <a:xfrm>
          <a:off x="1498189" y="1174381"/>
          <a:ext cx="1400014" cy="71442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b="1" kern="1200" dirty="0"/>
            <a:t>PRESERVATION</a:t>
          </a:r>
        </a:p>
      </dsp:txBody>
      <dsp:txXfrm>
        <a:off x="1703216" y="1279006"/>
        <a:ext cx="989960" cy="505177"/>
      </dsp:txXfrm>
    </dsp:sp>
    <dsp:sp modelId="{3D61C4AC-5C2F-404C-B67B-363C43676BA5}">
      <dsp:nvSpPr>
        <dsp:cNvPr id="0" name=""/>
        <dsp:cNvSpPr/>
      </dsp:nvSpPr>
      <dsp:spPr>
        <a:xfrm>
          <a:off x="899156" y="400432"/>
          <a:ext cx="972371" cy="892075"/>
        </a:xfrm>
        <a:prstGeom prst="ellipse">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b="1" kern="1200" dirty="0"/>
            <a:t>USABILITY</a:t>
          </a:r>
        </a:p>
      </dsp:txBody>
      <dsp:txXfrm>
        <a:off x="1041556" y="531073"/>
        <a:ext cx="687571" cy="630793"/>
      </dsp:txXfrm>
    </dsp:sp>
    <dsp:sp modelId="{41078B5B-2023-4955-8549-523AD5DE5261}">
      <dsp:nvSpPr>
        <dsp:cNvPr id="0" name=""/>
        <dsp:cNvSpPr/>
      </dsp:nvSpPr>
      <dsp:spPr>
        <a:xfrm>
          <a:off x="1845423" y="200617"/>
          <a:ext cx="1252688" cy="892075"/>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b="1" kern="1200" dirty="0"/>
            <a:t>AVAILABILITY</a:t>
          </a:r>
        </a:p>
      </dsp:txBody>
      <dsp:txXfrm>
        <a:off x="2028875" y="331258"/>
        <a:ext cx="885784" cy="630793"/>
      </dsp:txXfrm>
    </dsp:sp>
    <dsp:sp modelId="{60F0CE86-FC06-42A5-9344-FBE57C0F1691}">
      <dsp:nvSpPr>
        <dsp:cNvPr id="0" name=""/>
        <dsp:cNvSpPr/>
      </dsp:nvSpPr>
      <dsp:spPr>
        <a:xfrm>
          <a:off x="708359" y="15227"/>
          <a:ext cx="2775346" cy="2220277"/>
        </a:xfrm>
        <a:prstGeom prst="funnel">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4FB85-AA7A-4203-BCDA-5A036A8A75AB}">
      <dsp:nvSpPr>
        <dsp:cNvPr id="0" name=""/>
        <dsp:cNvSpPr/>
      </dsp:nvSpPr>
      <dsp:spPr>
        <a:xfrm>
          <a:off x="4144225" y="240455"/>
          <a:ext cx="1254671" cy="3009645"/>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Subconjuntos</a:t>
          </a:r>
          <a:endParaRPr lang="pt-BR" sz="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4166703" y="262933"/>
        <a:ext cx="1209715" cy="722503"/>
      </dsp:txXfrm>
    </dsp:sp>
    <dsp:sp modelId="{A41E6833-938D-4779-A65A-8045F3E4418F}">
      <dsp:nvSpPr>
        <dsp:cNvPr id="0" name=""/>
        <dsp:cNvSpPr/>
      </dsp:nvSpPr>
      <dsp:spPr>
        <a:xfrm>
          <a:off x="2770606" y="240455"/>
          <a:ext cx="1254671" cy="3009645"/>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 subordinada</a:t>
          </a:r>
        </a:p>
      </dsp:txBody>
      <dsp:txXfrm>
        <a:off x="2793084" y="262933"/>
        <a:ext cx="1209715" cy="722503"/>
      </dsp:txXfrm>
    </dsp:sp>
    <dsp:sp modelId="{D443A850-84C3-42D6-A285-77044588663D}">
      <dsp:nvSpPr>
        <dsp:cNvPr id="0" name=""/>
        <dsp:cNvSpPr/>
      </dsp:nvSpPr>
      <dsp:spPr>
        <a:xfrm>
          <a:off x="1396987" y="240455"/>
          <a:ext cx="1254671" cy="3009645"/>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a:t>
          </a:r>
          <a:endParaRPr lang="pt-BR" sz="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1419465" y="262933"/>
        <a:ext cx="1209715" cy="722503"/>
      </dsp:txXfrm>
    </dsp:sp>
    <dsp:sp modelId="{0DD267EE-5B7D-4A3D-B043-BBCB874DAAE1}">
      <dsp:nvSpPr>
        <dsp:cNvPr id="0" name=""/>
        <dsp:cNvSpPr/>
      </dsp:nvSpPr>
      <dsp:spPr>
        <a:xfrm>
          <a:off x="23368" y="240455"/>
          <a:ext cx="1254671" cy="3009645"/>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Classe</a:t>
          </a:r>
          <a:endParaRPr lang="pt-BR" sz="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45846" y="262933"/>
        <a:ext cx="1209715" cy="722503"/>
      </dsp:txXfrm>
    </dsp:sp>
    <dsp:sp modelId="{37315875-A390-40DE-BA19-47DD0354C174}">
      <dsp:nvSpPr>
        <dsp:cNvPr id="0" name=""/>
        <dsp:cNvSpPr/>
      </dsp:nvSpPr>
      <dsp:spPr>
        <a:xfrm>
          <a:off x="82842" y="1812972"/>
          <a:ext cx="1123137" cy="312813"/>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Paisagem natural</a:t>
          </a:r>
        </a:p>
      </dsp:txBody>
      <dsp:txXfrm>
        <a:off x="92004" y="1822134"/>
        <a:ext cx="1104813" cy="294489"/>
      </dsp:txXfrm>
    </dsp:sp>
    <dsp:sp modelId="{1355E893-37D7-4E32-BB2B-F2C36980FE68}">
      <dsp:nvSpPr>
        <dsp:cNvPr id="0" name=""/>
        <dsp:cNvSpPr/>
      </dsp:nvSpPr>
      <dsp:spPr>
        <a:xfrm rot="21513817">
          <a:off x="1205941" y="1958838"/>
          <a:ext cx="237969" cy="15117"/>
        </a:xfrm>
        <a:custGeom>
          <a:avLst/>
          <a:gdLst/>
          <a:ahLst/>
          <a:cxnLst/>
          <a:rect l="0" t="0" r="0" b="0"/>
          <a:pathLst>
            <a:path>
              <a:moveTo>
                <a:pt x="0" y="7624"/>
              </a:moveTo>
              <a:lnTo>
                <a:pt x="236983" y="762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1318830" y="1960598"/>
        <a:ext cx="0" cy="0"/>
      </dsp:txXfrm>
    </dsp:sp>
    <dsp:sp modelId="{03B355C0-4902-4DD3-ADC8-99189F6B3443}">
      <dsp:nvSpPr>
        <dsp:cNvPr id="0" name=""/>
        <dsp:cNvSpPr/>
      </dsp:nvSpPr>
      <dsp:spPr>
        <a:xfrm>
          <a:off x="1443873" y="1807007"/>
          <a:ext cx="1158155" cy="312813"/>
        </a:xfrm>
        <a:prstGeom prst="roundRect">
          <a:avLst>
            <a:gd name="adj" fmla="val 10000"/>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Cobertura da terra</a:t>
          </a:r>
        </a:p>
      </dsp:txBody>
      <dsp:txXfrm>
        <a:off x="1453035" y="1816169"/>
        <a:ext cx="1139831" cy="294489"/>
      </dsp:txXfrm>
    </dsp:sp>
    <dsp:sp modelId="{EDE2A0F2-3E3A-4C6B-92BE-8297AA578B1A}">
      <dsp:nvSpPr>
        <dsp:cNvPr id="0" name=""/>
        <dsp:cNvSpPr/>
      </dsp:nvSpPr>
      <dsp:spPr>
        <a:xfrm rot="17281243">
          <a:off x="2358078" y="1619958"/>
          <a:ext cx="706449" cy="15117"/>
        </a:xfrm>
        <a:custGeom>
          <a:avLst/>
          <a:gdLst/>
          <a:ahLst/>
          <a:cxnLst/>
          <a:rect l="0" t="0" r="0" b="0"/>
          <a:pathLst>
            <a:path>
              <a:moveTo>
                <a:pt x="0" y="7624"/>
              </a:moveTo>
              <a:lnTo>
                <a:pt x="703522" y="762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2689044" y="1638847"/>
        <a:ext cx="0" cy="0"/>
      </dsp:txXfrm>
    </dsp:sp>
    <dsp:sp modelId="{E1586E3F-6BC0-4FC9-A856-10B27A673F7B}">
      <dsp:nvSpPr>
        <dsp:cNvPr id="0" name=""/>
        <dsp:cNvSpPr/>
      </dsp:nvSpPr>
      <dsp:spPr>
        <a:xfrm>
          <a:off x="2820577" y="1135212"/>
          <a:ext cx="1158184" cy="312813"/>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Águas</a:t>
          </a:r>
        </a:p>
      </dsp:txBody>
      <dsp:txXfrm>
        <a:off x="2829739" y="1144374"/>
        <a:ext cx="1139860" cy="294489"/>
      </dsp:txXfrm>
    </dsp:sp>
    <dsp:sp modelId="{A4A80DBA-511E-42C6-B9C3-829A29AD0AA7}">
      <dsp:nvSpPr>
        <dsp:cNvPr id="0" name=""/>
        <dsp:cNvSpPr/>
      </dsp:nvSpPr>
      <dsp:spPr>
        <a:xfrm rot="17886096">
          <a:off x="3834323" y="1043191"/>
          <a:ext cx="546118" cy="15117"/>
        </a:xfrm>
        <a:custGeom>
          <a:avLst/>
          <a:gdLst/>
          <a:ahLst/>
          <a:cxnLst/>
          <a:rect l="0" t="0" r="0" b="0"/>
          <a:pathLst>
            <a:path>
              <a:moveTo>
                <a:pt x="0" y="7624"/>
              </a:moveTo>
              <a:lnTo>
                <a:pt x="543854"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088908" y="1056362"/>
        <a:ext cx="0" cy="0"/>
      </dsp:txXfrm>
    </dsp:sp>
    <dsp:sp modelId="{F1ECDEDE-5549-4FAF-9E0E-E35B5D18DCF4}">
      <dsp:nvSpPr>
        <dsp:cNvPr id="0" name=""/>
        <dsp:cNvSpPr/>
      </dsp:nvSpPr>
      <dsp:spPr>
        <a:xfrm>
          <a:off x="4236003" y="670107"/>
          <a:ext cx="1094851" cy="279547"/>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Alagados</a:t>
          </a:r>
        </a:p>
      </dsp:txBody>
      <dsp:txXfrm>
        <a:off x="4244191" y="678295"/>
        <a:ext cx="1078475" cy="263171"/>
      </dsp:txXfrm>
    </dsp:sp>
    <dsp:sp modelId="{FDB9E50C-37F8-4509-B692-467E49296180}">
      <dsp:nvSpPr>
        <dsp:cNvPr id="0" name=""/>
        <dsp:cNvSpPr/>
      </dsp:nvSpPr>
      <dsp:spPr>
        <a:xfrm rot="19682300">
          <a:off x="3955779" y="1203809"/>
          <a:ext cx="303207" cy="15117"/>
        </a:xfrm>
        <a:custGeom>
          <a:avLst/>
          <a:gdLst/>
          <a:ahLst/>
          <a:cxnLst/>
          <a:rect l="0" t="0" r="0" b="0"/>
          <a:pathLst>
            <a:path>
              <a:moveTo>
                <a:pt x="0" y="7624"/>
              </a:moveTo>
              <a:lnTo>
                <a:pt x="301950"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096939" y="1208949"/>
        <a:ext cx="0" cy="0"/>
      </dsp:txXfrm>
    </dsp:sp>
    <dsp:sp modelId="{11DC8A96-B751-483B-A3C4-70B64916400F}">
      <dsp:nvSpPr>
        <dsp:cNvPr id="0" name=""/>
        <dsp:cNvSpPr/>
      </dsp:nvSpPr>
      <dsp:spPr>
        <a:xfrm>
          <a:off x="4236003" y="994259"/>
          <a:ext cx="1080970" cy="2737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Cursos de águas</a:t>
          </a:r>
        </a:p>
      </dsp:txBody>
      <dsp:txXfrm>
        <a:off x="4244020" y="1002276"/>
        <a:ext cx="1064936" cy="257678"/>
      </dsp:txXfrm>
    </dsp:sp>
    <dsp:sp modelId="{1547D3E8-57E4-4D15-8D3E-673744267CBC}">
      <dsp:nvSpPr>
        <dsp:cNvPr id="0" name=""/>
        <dsp:cNvSpPr/>
      </dsp:nvSpPr>
      <dsp:spPr>
        <a:xfrm rot="1891720">
          <a:off x="3956486" y="1362968"/>
          <a:ext cx="301792" cy="15117"/>
        </a:xfrm>
        <a:custGeom>
          <a:avLst/>
          <a:gdLst/>
          <a:ahLst/>
          <a:cxnLst/>
          <a:rect l="0" t="0" r="0" b="0"/>
          <a:pathLst>
            <a:path>
              <a:moveTo>
                <a:pt x="0" y="7624"/>
              </a:moveTo>
              <a:lnTo>
                <a:pt x="300541"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104897" y="1360150"/>
        <a:ext cx="0" cy="0"/>
      </dsp:txXfrm>
    </dsp:sp>
    <dsp:sp modelId="{42DFE077-8C53-406B-A044-30A2D28C4DD5}">
      <dsp:nvSpPr>
        <dsp:cNvPr id="0" name=""/>
        <dsp:cNvSpPr/>
      </dsp:nvSpPr>
      <dsp:spPr>
        <a:xfrm>
          <a:off x="4236003" y="1312577"/>
          <a:ext cx="1080970" cy="2737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Pântanos</a:t>
          </a:r>
        </a:p>
      </dsp:txBody>
      <dsp:txXfrm>
        <a:off x="4244020" y="1320594"/>
        <a:ext cx="1064936" cy="257678"/>
      </dsp:txXfrm>
    </dsp:sp>
    <dsp:sp modelId="{1E5BAAB5-F0BA-45D7-BAE2-B97E5AF77332}">
      <dsp:nvSpPr>
        <dsp:cNvPr id="0" name=""/>
        <dsp:cNvSpPr/>
      </dsp:nvSpPr>
      <dsp:spPr>
        <a:xfrm rot="3697132">
          <a:off x="3836792" y="1522127"/>
          <a:ext cx="541180" cy="15117"/>
        </a:xfrm>
        <a:custGeom>
          <a:avLst/>
          <a:gdLst/>
          <a:ahLst/>
          <a:cxnLst/>
          <a:rect l="0" t="0" r="0" b="0"/>
          <a:pathLst>
            <a:path>
              <a:moveTo>
                <a:pt x="0" y="7624"/>
              </a:moveTo>
              <a:lnTo>
                <a:pt x="538937"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112855" y="1511351"/>
        <a:ext cx="0" cy="0"/>
      </dsp:txXfrm>
    </dsp:sp>
    <dsp:sp modelId="{97781AA5-F761-4F02-98E2-7DABEE4FF5DB}">
      <dsp:nvSpPr>
        <dsp:cNvPr id="0" name=""/>
        <dsp:cNvSpPr/>
      </dsp:nvSpPr>
      <dsp:spPr>
        <a:xfrm>
          <a:off x="4236003" y="1630895"/>
          <a:ext cx="1080970" cy="2737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Rios</a:t>
          </a:r>
        </a:p>
      </dsp:txBody>
      <dsp:txXfrm>
        <a:off x="4244020" y="1638912"/>
        <a:ext cx="1064936" cy="257678"/>
      </dsp:txXfrm>
    </dsp:sp>
    <dsp:sp modelId="{B03A670F-81C0-4628-AA37-A0CCE5C77C6F}">
      <dsp:nvSpPr>
        <dsp:cNvPr id="0" name=""/>
        <dsp:cNvSpPr/>
      </dsp:nvSpPr>
      <dsp:spPr>
        <a:xfrm rot="21537257">
          <a:off x="2602009" y="1953684"/>
          <a:ext cx="237934" cy="15117"/>
        </a:xfrm>
        <a:custGeom>
          <a:avLst/>
          <a:gdLst/>
          <a:ahLst/>
          <a:cxnLst/>
          <a:rect l="0" t="0" r="0" b="0"/>
          <a:pathLst>
            <a:path>
              <a:moveTo>
                <a:pt x="0" y="7624"/>
              </a:moveTo>
              <a:lnTo>
                <a:pt x="236948" y="762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2714920" y="1955404"/>
        <a:ext cx="0" cy="0"/>
      </dsp:txXfrm>
    </dsp:sp>
    <dsp:sp modelId="{42E9CF01-853F-4DE6-BECE-1D9A96F3BDF0}">
      <dsp:nvSpPr>
        <dsp:cNvPr id="0" name=""/>
        <dsp:cNvSpPr/>
      </dsp:nvSpPr>
      <dsp:spPr>
        <a:xfrm>
          <a:off x="2839923" y="1802664"/>
          <a:ext cx="1158155" cy="312813"/>
        </a:xfrm>
        <a:prstGeom prst="round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Áreas de mineração</a:t>
          </a:r>
        </a:p>
      </dsp:txBody>
      <dsp:txXfrm>
        <a:off x="2855193" y="1817934"/>
        <a:ext cx="1127615" cy="282273"/>
      </dsp:txXfrm>
    </dsp:sp>
    <dsp:sp modelId="{4E57492A-3F1A-4AF0-83F8-1EE8F6AAE59D}">
      <dsp:nvSpPr>
        <dsp:cNvPr id="0" name=""/>
        <dsp:cNvSpPr/>
      </dsp:nvSpPr>
      <dsp:spPr>
        <a:xfrm rot="4202649">
          <a:off x="2372459" y="2283445"/>
          <a:ext cx="697033" cy="15117"/>
        </a:xfrm>
        <a:custGeom>
          <a:avLst/>
          <a:gdLst/>
          <a:ahLst/>
          <a:cxnLst/>
          <a:rect l="0" t="0" r="0" b="0"/>
          <a:pathLst>
            <a:path>
              <a:moveTo>
                <a:pt x="0" y="7624"/>
              </a:moveTo>
              <a:lnTo>
                <a:pt x="694144" y="762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2731407" y="2268677"/>
        <a:ext cx="0" cy="0"/>
      </dsp:txXfrm>
    </dsp:sp>
    <dsp:sp modelId="{B7586874-76C8-4414-8CBE-1676677C4F18}">
      <dsp:nvSpPr>
        <dsp:cNvPr id="0" name=""/>
        <dsp:cNvSpPr/>
      </dsp:nvSpPr>
      <dsp:spPr>
        <a:xfrm>
          <a:off x="2839923" y="2462188"/>
          <a:ext cx="1158155" cy="312813"/>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Vegetação</a:t>
          </a:r>
        </a:p>
      </dsp:txBody>
      <dsp:txXfrm>
        <a:off x="2849085" y="2471350"/>
        <a:ext cx="1139831" cy="294489"/>
      </dsp:txXfrm>
    </dsp:sp>
    <dsp:sp modelId="{41808FF7-3CAD-4DC9-992B-5307FCED3D5E}">
      <dsp:nvSpPr>
        <dsp:cNvPr id="0" name=""/>
        <dsp:cNvSpPr/>
      </dsp:nvSpPr>
      <dsp:spPr>
        <a:xfrm rot="18373697">
          <a:off x="3915763" y="2448683"/>
          <a:ext cx="402526" cy="15117"/>
        </a:xfrm>
        <a:custGeom>
          <a:avLst/>
          <a:gdLst/>
          <a:ahLst/>
          <a:cxnLst/>
          <a:rect l="0" t="0" r="0" b="0"/>
          <a:pathLst>
            <a:path>
              <a:moveTo>
                <a:pt x="0" y="7624"/>
              </a:moveTo>
              <a:lnTo>
                <a:pt x="400858"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102961" y="2458412"/>
        <a:ext cx="0" cy="0"/>
      </dsp:txXfrm>
    </dsp:sp>
    <dsp:sp modelId="{AAFCEE76-E13B-446D-ACDD-6A39E0608D99}">
      <dsp:nvSpPr>
        <dsp:cNvPr id="0" name=""/>
        <dsp:cNvSpPr/>
      </dsp:nvSpPr>
      <dsp:spPr>
        <a:xfrm>
          <a:off x="4235974" y="2157032"/>
          <a:ext cx="1080970" cy="2737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Campos</a:t>
          </a:r>
        </a:p>
      </dsp:txBody>
      <dsp:txXfrm>
        <a:off x="4243991" y="2165049"/>
        <a:ext cx="1064936" cy="257678"/>
      </dsp:txXfrm>
    </dsp:sp>
    <dsp:sp modelId="{66C02DBE-07E9-4505-A94A-4862029FB8E1}">
      <dsp:nvSpPr>
        <dsp:cNvPr id="0" name=""/>
        <dsp:cNvSpPr/>
      </dsp:nvSpPr>
      <dsp:spPr>
        <a:xfrm rot="21507719">
          <a:off x="3998036" y="2607842"/>
          <a:ext cx="237980" cy="15117"/>
        </a:xfrm>
        <a:custGeom>
          <a:avLst/>
          <a:gdLst/>
          <a:ahLst/>
          <a:cxnLst/>
          <a:rect l="0" t="0" r="0" b="0"/>
          <a:pathLst>
            <a:path>
              <a:moveTo>
                <a:pt x="0" y="7624"/>
              </a:moveTo>
              <a:lnTo>
                <a:pt x="236994"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110919" y="2609613"/>
        <a:ext cx="0" cy="0"/>
      </dsp:txXfrm>
    </dsp:sp>
    <dsp:sp modelId="{DCE5FD2E-3E7D-4730-B01A-FA1EE46D43F9}">
      <dsp:nvSpPr>
        <dsp:cNvPr id="0" name=""/>
        <dsp:cNvSpPr/>
      </dsp:nvSpPr>
      <dsp:spPr>
        <a:xfrm>
          <a:off x="4235974" y="2475351"/>
          <a:ext cx="1080970" cy="2737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Matas</a:t>
          </a:r>
        </a:p>
      </dsp:txBody>
      <dsp:txXfrm>
        <a:off x="4243991" y="2483368"/>
        <a:ext cx="1064936" cy="257678"/>
      </dsp:txXfrm>
    </dsp:sp>
    <dsp:sp modelId="{2BA7EFB4-5BD2-452B-A431-97ABA0282750}">
      <dsp:nvSpPr>
        <dsp:cNvPr id="0" name=""/>
        <dsp:cNvSpPr/>
      </dsp:nvSpPr>
      <dsp:spPr>
        <a:xfrm rot="3160136">
          <a:off x="3920879" y="2767001"/>
          <a:ext cx="392294" cy="15117"/>
        </a:xfrm>
        <a:custGeom>
          <a:avLst/>
          <a:gdLst/>
          <a:ahLst/>
          <a:cxnLst/>
          <a:rect l="0" t="0" r="0" b="0"/>
          <a:pathLst>
            <a:path>
              <a:moveTo>
                <a:pt x="0" y="7624"/>
              </a:moveTo>
              <a:lnTo>
                <a:pt x="390668" y="762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4118877" y="2760814"/>
        <a:ext cx="0" cy="0"/>
      </dsp:txXfrm>
    </dsp:sp>
    <dsp:sp modelId="{FD51A31E-79DD-42DD-BC46-767871DD8CD0}">
      <dsp:nvSpPr>
        <dsp:cNvPr id="0" name=""/>
        <dsp:cNvSpPr/>
      </dsp:nvSpPr>
      <dsp:spPr>
        <a:xfrm>
          <a:off x="4235974" y="2793669"/>
          <a:ext cx="1080970" cy="2737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Florestas</a:t>
          </a:r>
        </a:p>
      </dsp:txBody>
      <dsp:txXfrm>
        <a:off x="4243991" y="2801686"/>
        <a:ext cx="1064936" cy="2576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4FB85-AA7A-4203-BCDA-5A036A8A75AB}">
      <dsp:nvSpPr>
        <dsp:cNvPr id="0" name=""/>
        <dsp:cNvSpPr/>
      </dsp:nvSpPr>
      <dsp:spPr>
        <a:xfrm>
          <a:off x="3657600" y="41"/>
          <a:ext cx="1760219" cy="8160876"/>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Subconjuntos</a:t>
          </a:r>
          <a:endParaRPr lang="pt-BR" sz="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3709155" y="51596"/>
        <a:ext cx="1657109" cy="2315749"/>
      </dsp:txXfrm>
    </dsp:sp>
    <dsp:sp modelId="{A41E6833-938D-4779-A65A-8045F3E4418F}">
      <dsp:nvSpPr>
        <dsp:cNvPr id="0" name=""/>
        <dsp:cNvSpPr/>
      </dsp:nvSpPr>
      <dsp:spPr>
        <a:xfrm>
          <a:off x="2399637" y="41"/>
          <a:ext cx="1182576" cy="8160876"/>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 subordinada</a:t>
          </a:r>
        </a:p>
      </dsp:txBody>
      <dsp:txXfrm>
        <a:off x="2434273" y="34677"/>
        <a:ext cx="1113304" cy="2349587"/>
      </dsp:txXfrm>
    </dsp:sp>
    <dsp:sp modelId="{D443A850-84C3-42D6-A285-77044588663D}">
      <dsp:nvSpPr>
        <dsp:cNvPr id="0" name=""/>
        <dsp:cNvSpPr/>
      </dsp:nvSpPr>
      <dsp:spPr>
        <a:xfrm>
          <a:off x="1193485" y="41"/>
          <a:ext cx="1125851" cy="8160876"/>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Subclasse</a:t>
          </a:r>
          <a:endParaRPr lang="pt-BR" sz="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1226460" y="33016"/>
        <a:ext cx="1059901" cy="2352909"/>
      </dsp:txXfrm>
    </dsp:sp>
    <dsp:sp modelId="{0DD267EE-5B7D-4A3D-B043-BBCB874DAAE1}">
      <dsp:nvSpPr>
        <dsp:cNvPr id="0" name=""/>
        <dsp:cNvSpPr/>
      </dsp:nvSpPr>
      <dsp:spPr>
        <a:xfrm>
          <a:off x="160022" y="0"/>
          <a:ext cx="1111411" cy="826008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108000" rIns="56896" bIns="56896" numCol="1" spcCol="1270" anchor="t"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Classe</a:t>
          </a:r>
          <a:endParaRPr lang="pt-BR" sz="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192574" y="32552"/>
        <a:ext cx="1046307" cy="2412920"/>
      </dsp:txXfrm>
    </dsp:sp>
    <dsp:sp modelId="{37315875-A390-40DE-BA19-47DD0354C174}">
      <dsp:nvSpPr>
        <dsp:cNvPr id="0" name=""/>
        <dsp:cNvSpPr/>
      </dsp:nvSpPr>
      <dsp:spPr>
        <a:xfrm>
          <a:off x="12891" y="2598855"/>
          <a:ext cx="1028034" cy="206302"/>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Paisagem cultural</a:t>
          </a:r>
        </a:p>
      </dsp:txBody>
      <dsp:txXfrm>
        <a:off x="18933" y="2604897"/>
        <a:ext cx="1015950" cy="194218"/>
      </dsp:txXfrm>
    </dsp:sp>
    <dsp:sp modelId="{1355E893-37D7-4E32-BB2B-F2C36980FE68}">
      <dsp:nvSpPr>
        <dsp:cNvPr id="0" name=""/>
        <dsp:cNvSpPr/>
      </dsp:nvSpPr>
      <dsp:spPr>
        <a:xfrm rot="16725003">
          <a:off x="417395" y="1973025"/>
          <a:ext cx="1470806" cy="4273"/>
        </a:xfrm>
        <a:custGeom>
          <a:avLst/>
          <a:gdLst/>
          <a:ahLst/>
          <a:cxnLst/>
          <a:rect l="0" t="0" r="0" b="0"/>
          <a:pathLst>
            <a:path>
              <a:moveTo>
                <a:pt x="0" y="2136"/>
              </a:moveTo>
              <a:lnTo>
                <a:pt x="1440504" y="213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1110862" y="2005910"/>
        <a:ext cx="0" cy="0"/>
      </dsp:txXfrm>
    </dsp:sp>
    <dsp:sp modelId="{03B355C0-4902-4DD3-ADC8-99189F6B3443}">
      <dsp:nvSpPr>
        <dsp:cNvPr id="0" name=""/>
        <dsp:cNvSpPr/>
      </dsp:nvSpPr>
      <dsp:spPr>
        <a:xfrm>
          <a:off x="1264671" y="1145167"/>
          <a:ext cx="1010458" cy="206302"/>
        </a:xfrm>
        <a:prstGeom prst="roundRect">
          <a:avLst>
            <a:gd name="adj" fmla="val 10000"/>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Áreas urbanizadas</a:t>
          </a:r>
        </a:p>
      </dsp:txBody>
      <dsp:txXfrm>
        <a:off x="1270713" y="1151209"/>
        <a:ext cx="998374" cy="194218"/>
      </dsp:txXfrm>
    </dsp:sp>
    <dsp:sp modelId="{EDE2A0F2-3E3A-4C6B-92BE-8297AA578B1A}">
      <dsp:nvSpPr>
        <dsp:cNvPr id="0" name=""/>
        <dsp:cNvSpPr/>
      </dsp:nvSpPr>
      <dsp:spPr>
        <a:xfrm rot="18313716">
          <a:off x="2207684" y="1115987"/>
          <a:ext cx="318768" cy="4273"/>
        </a:xfrm>
        <a:custGeom>
          <a:avLst/>
          <a:gdLst/>
          <a:ahLst/>
          <a:cxnLst/>
          <a:rect l="0" t="0" r="0" b="0"/>
          <a:pathLst>
            <a:path>
              <a:moveTo>
                <a:pt x="0" y="2136"/>
              </a:moveTo>
              <a:lnTo>
                <a:pt x="312201"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2355962" y="1120036"/>
        <a:ext cx="0" cy="0"/>
      </dsp:txXfrm>
    </dsp:sp>
    <dsp:sp modelId="{E1586E3F-6BC0-4FC9-A856-10B27A673F7B}">
      <dsp:nvSpPr>
        <dsp:cNvPr id="0" name=""/>
        <dsp:cNvSpPr/>
      </dsp:nvSpPr>
      <dsp:spPr>
        <a:xfrm>
          <a:off x="2459008" y="884778"/>
          <a:ext cx="1056439" cy="206302"/>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Cidades</a:t>
          </a:r>
        </a:p>
      </dsp:txBody>
      <dsp:txXfrm>
        <a:off x="2465050" y="890820"/>
        <a:ext cx="1044355" cy="194218"/>
      </dsp:txXfrm>
    </dsp:sp>
    <dsp:sp modelId="{4E57492A-3F1A-4AF0-83F8-1EE8F6AAE59D}">
      <dsp:nvSpPr>
        <dsp:cNvPr id="0" name=""/>
        <dsp:cNvSpPr/>
      </dsp:nvSpPr>
      <dsp:spPr>
        <a:xfrm rot="21568029">
          <a:off x="2275125" y="1245267"/>
          <a:ext cx="196646" cy="4273"/>
        </a:xfrm>
        <a:custGeom>
          <a:avLst/>
          <a:gdLst/>
          <a:ahLst/>
          <a:cxnLst/>
          <a:rect l="0" t="0" r="0" b="0"/>
          <a:pathLst>
            <a:path>
              <a:moveTo>
                <a:pt x="0" y="2136"/>
              </a:moveTo>
              <a:lnTo>
                <a:pt x="192595"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pt-BR" sz="400" kern="1200">
            <a:solidFill>
              <a:sysClr val="windowText" lastClr="000000">
                <a:hueOff val="0"/>
                <a:satOff val="0"/>
                <a:lumOff val="0"/>
                <a:alphaOff val="0"/>
              </a:sysClr>
            </a:solidFill>
            <a:latin typeface="Calibri" panose="020F0502020204030204"/>
            <a:ea typeface="+mn-ea"/>
            <a:cs typeface="+mn-cs"/>
          </a:endParaRPr>
        </a:p>
      </dsp:txBody>
      <dsp:txXfrm>
        <a:off x="2368486" y="1242533"/>
        <a:ext cx="0" cy="0"/>
      </dsp:txXfrm>
    </dsp:sp>
    <dsp:sp modelId="{B7586874-76C8-4414-8CBE-1676677C4F18}">
      <dsp:nvSpPr>
        <dsp:cNvPr id="0" name=""/>
        <dsp:cNvSpPr/>
      </dsp:nvSpPr>
      <dsp:spPr>
        <a:xfrm>
          <a:off x="2471767" y="1143338"/>
          <a:ext cx="1045241" cy="206302"/>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Times New Roman" panose="02020603050405020304" pitchFamily="18" charset="0"/>
            </a:rPr>
            <a:t>Vilas</a:t>
          </a:r>
        </a:p>
      </dsp:txBody>
      <dsp:txXfrm>
        <a:off x="2477809" y="1149380"/>
        <a:ext cx="1033157" cy="194218"/>
      </dsp:txXfrm>
    </dsp:sp>
    <dsp:sp modelId="{D8BE0807-1AF1-40D0-A02C-709D7E1B8D8B}">
      <dsp:nvSpPr>
        <dsp:cNvPr id="0" name=""/>
        <dsp:cNvSpPr/>
      </dsp:nvSpPr>
      <dsp:spPr>
        <a:xfrm rot="3406133">
          <a:off x="2194040" y="1396250"/>
          <a:ext cx="358817" cy="4273"/>
        </a:xfrm>
        <a:custGeom>
          <a:avLst/>
          <a:gdLst/>
          <a:ahLst/>
          <a:cxnLst/>
          <a:rect l="0" t="0" r="0" b="0"/>
          <a:pathLst>
            <a:path>
              <a:moveTo>
                <a:pt x="0" y="2136"/>
              </a:moveTo>
              <a:lnTo>
                <a:pt x="351424"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2376035" y="1385968"/>
        <a:ext cx="0" cy="0"/>
      </dsp:txXfrm>
    </dsp:sp>
    <dsp:sp modelId="{3B17E7FB-32CA-4299-89AB-3E1E46D3D6B5}">
      <dsp:nvSpPr>
        <dsp:cNvPr id="0" name=""/>
        <dsp:cNvSpPr/>
      </dsp:nvSpPr>
      <dsp:spPr>
        <a:xfrm>
          <a:off x="2471767" y="1416783"/>
          <a:ext cx="1045241" cy="263347"/>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Complexos industriais</a:t>
          </a:r>
        </a:p>
      </dsp:txBody>
      <dsp:txXfrm>
        <a:off x="2479480" y="1424496"/>
        <a:ext cx="1029815" cy="247921"/>
      </dsp:txXfrm>
    </dsp:sp>
    <dsp:sp modelId="{97DC6227-E2CD-4F1E-8D23-59FEED78070A}">
      <dsp:nvSpPr>
        <dsp:cNvPr id="0" name=""/>
        <dsp:cNvSpPr/>
      </dsp:nvSpPr>
      <dsp:spPr>
        <a:xfrm rot="4906764">
          <a:off x="370389" y="3474240"/>
          <a:ext cx="1564818" cy="4273"/>
        </a:xfrm>
        <a:custGeom>
          <a:avLst/>
          <a:gdLst/>
          <a:ahLst/>
          <a:cxnLst/>
          <a:rect l="0" t="0" r="0" b="0"/>
          <a:pathLst>
            <a:path>
              <a:moveTo>
                <a:pt x="0" y="2136"/>
              </a:moveTo>
              <a:lnTo>
                <a:pt x="1532579" y="213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1185922" y="3432064"/>
        <a:ext cx="0" cy="0"/>
      </dsp:txXfrm>
    </dsp:sp>
    <dsp:sp modelId="{8AD5E56F-4A01-4D86-8928-9C3018F95A3A}">
      <dsp:nvSpPr>
        <dsp:cNvPr id="0" name=""/>
        <dsp:cNvSpPr/>
      </dsp:nvSpPr>
      <dsp:spPr>
        <a:xfrm>
          <a:off x="1264671" y="4152689"/>
          <a:ext cx="1009426" cy="196116"/>
        </a:xfrm>
        <a:prstGeom prst="roundRect">
          <a:avLst>
            <a:gd name="adj" fmla="val 10000"/>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Áreas agrícolas</a:t>
          </a:r>
        </a:p>
      </dsp:txBody>
      <dsp:txXfrm>
        <a:off x="1270415" y="4158433"/>
        <a:ext cx="997938" cy="184628"/>
      </dsp:txXfrm>
    </dsp:sp>
    <dsp:sp modelId="{325711CC-2942-4812-86A6-A5E5955A57B6}">
      <dsp:nvSpPr>
        <dsp:cNvPr id="0" name=""/>
        <dsp:cNvSpPr/>
      </dsp:nvSpPr>
      <dsp:spPr>
        <a:xfrm rot="16507161">
          <a:off x="1270564" y="3151152"/>
          <a:ext cx="2203706" cy="4273"/>
        </a:xfrm>
        <a:custGeom>
          <a:avLst/>
          <a:gdLst/>
          <a:ahLst/>
          <a:cxnLst/>
          <a:rect l="0" t="0" r="0" b="0"/>
          <a:pathLst>
            <a:path>
              <a:moveTo>
                <a:pt x="0" y="2136"/>
              </a:moveTo>
              <a:lnTo>
                <a:pt x="2158303"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2312628" y="3203245"/>
        <a:ext cx="0" cy="0"/>
      </dsp:txXfrm>
    </dsp:sp>
    <dsp:sp modelId="{EEE42F74-E025-4119-A980-1AC7B0C56892}">
      <dsp:nvSpPr>
        <dsp:cNvPr id="0" name=""/>
        <dsp:cNvSpPr/>
      </dsp:nvSpPr>
      <dsp:spPr>
        <a:xfrm>
          <a:off x="2470736" y="1869696"/>
          <a:ext cx="1045241" cy="372270"/>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Estabelecimento agropecuário</a:t>
          </a:r>
        </a:p>
      </dsp:txBody>
      <dsp:txXfrm>
        <a:off x="2481639" y="1880599"/>
        <a:ext cx="1023435" cy="350464"/>
      </dsp:txXfrm>
    </dsp:sp>
    <dsp:sp modelId="{4AD2293D-6454-4451-8EF7-9F6C7C284D02}">
      <dsp:nvSpPr>
        <dsp:cNvPr id="0" name=""/>
        <dsp:cNvSpPr/>
      </dsp:nvSpPr>
      <dsp:spPr>
        <a:xfrm rot="19947420">
          <a:off x="3497707" y="1979152"/>
          <a:ext cx="322403" cy="4273"/>
        </a:xfrm>
        <a:custGeom>
          <a:avLst/>
          <a:gdLst/>
          <a:ahLst/>
          <a:cxnLst/>
          <a:rect l="0" t="0" r="0" b="0"/>
          <a:pathLst>
            <a:path>
              <a:moveTo>
                <a:pt x="0" y="2136"/>
              </a:moveTo>
              <a:lnTo>
                <a:pt x="315760"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48035" y="1977870"/>
        <a:ext cx="0" cy="0"/>
      </dsp:txXfrm>
    </dsp:sp>
    <dsp:sp modelId="{35FFCD69-B218-466F-BF0B-A662C4A78557}">
      <dsp:nvSpPr>
        <dsp:cNvPr id="0" name=""/>
        <dsp:cNvSpPr/>
      </dsp:nvSpPr>
      <dsp:spPr>
        <a:xfrm>
          <a:off x="3801840" y="1808689"/>
          <a:ext cx="1576218"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Fazendas</a:t>
          </a:r>
        </a:p>
      </dsp:txBody>
      <dsp:txXfrm>
        <a:off x="3807584" y="1814433"/>
        <a:ext cx="1564730" cy="184628"/>
      </dsp:txXfrm>
    </dsp:sp>
    <dsp:sp modelId="{60D31327-DD12-4844-9116-E22C636E93D4}">
      <dsp:nvSpPr>
        <dsp:cNvPr id="0" name=""/>
        <dsp:cNvSpPr/>
      </dsp:nvSpPr>
      <dsp:spPr>
        <a:xfrm rot="1413745">
          <a:off x="3502976" y="2116028"/>
          <a:ext cx="311864" cy="4273"/>
        </a:xfrm>
        <a:custGeom>
          <a:avLst/>
          <a:gdLst/>
          <a:ahLst/>
          <a:cxnLst/>
          <a:rect l="0" t="0" r="0" b="0"/>
          <a:pathLst>
            <a:path>
              <a:moveTo>
                <a:pt x="0" y="2136"/>
              </a:moveTo>
              <a:lnTo>
                <a:pt x="305439"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54879" y="2107901"/>
        <a:ext cx="0" cy="0"/>
      </dsp:txXfrm>
    </dsp:sp>
    <dsp:sp modelId="{F0D84C75-7F41-49DE-A4D6-54975E7ADF3C}">
      <dsp:nvSpPr>
        <dsp:cNvPr id="0" name=""/>
        <dsp:cNvSpPr/>
      </dsp:nvSpPr>
      <dsp:spPr>
        <a:xfrm>
          <a:off x="3801840" y="2082440"/>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Hortos</a:t>
          </a:r>
        </a:p>
      </dsp:txBody>
      <dsp:txXfrm>
        <a:off x="3807584" y="2088184"/>
        <a:ext cx="1554979" cy="184628"/>
      </dsp:txXfrm>
    </dsp:sp>
    <dsp:sp modelId="{1A6BA294-BCAC-4BE2-A9A0-289912BCFCCC}">
      <dsp:nvSpPr>
        <dsp:cNvPr id="0" name=""/>
        <dsp:cNvSpPr/>
      </dsp:nvSpPr>
      <dsp:spPr>
        <a:xfrm rot="16774525">
          <a:off x="1781364" y="3665792"/>
          <a:ext cx="1182104" cy="4273"/>
        </a:xfrm>
        <a:custGeom>
          <a:avLst/>
          <a:gdLst/>
          <a:ahLst/>
          <a:cxnLst/>
          <a:rect l="0" t="0" r="0" b="0"/>
          <a:pathLst>
            <a:path>
              <a:moveTo>
                <a:pt x="0" y="2136"/>
              </a:moveTo>
              <a:lnTo>
                <a:pt x="1157750"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2338360" y="3692154"/>
        <a:ext cx="0" cy="0"/>
      </dsp:txXfrm>
    </dsp:sp>
    <dsp:sp modelId="{D30A759C-A63E-4387-B92B-0176417C6C5D}">
      <dsp:nvSpPr>
        <dsp:cNvPr id="0" name=""/>
        <dsp:cNvSpPr/>
      </dsp:nvSpPr>
      <dsp:spPr>
        <a:xfrm>
          <a:off x="2470736" y="2987054"/>
          <a:ext cx="1045241" cy="196116"/>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Práticas agrícolas</a:t>
          </a:r>
        </a:p>
      </dsp:txBody>
      <dsp:txXfrm>
        <a:off x="2476480" y="2992798"/>
        <a:ext cx="1033753" cy="184628"/>
      </dsp:txXfrm>
    </dsp:sp>
    <dsp:sp modelId="{D4538BF9-C70A-4BD3-9060-810EE6D49151}">
      <dsp:nvSpPr>
        <dsp:cNvPr id="0" name=""/>
        <dsp:cNvSpPr/>
      </dsp:nvSpPr>
      <dsp:spPr>
        <a:xfrm rot="17937178">
          <a:off x="3363651" y="2824619"/>
          <a:ext cx="590514" cy="4273"/>
        </a:xfrm>
        <a:custGeom>
          <a:avLst/>
          <a:gdLst/>
          <a:ahLst/>
          <a:cxnLst/>
          <a:rect l="0" t="0" r="0" b="0"/>
          <a:pathLst>
            <a:path>
              <a:moveTo>
                <a:pt x="0" y="2136"/>
              </a:moveTo>
              <a:lnTo>
                <a:pt x="578348"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38845" y="2832527"/>
        <a:ext cx="0" cy="0"/>
      </dsp:txXfrm>
    </dsp:sp>
    <dsp:sp modelId="{C865CFE1-91EE-404F-B002-EFC64738C5ED}">
      <dsp:nvSpPr>
        <dsp:cNvPr id="0" name=""/>
        <dsp:cNvSpPr/>
      </dsp:nvSpPr>
      <dsp:spPr>
        <a:xfrm>
          <a:off x="3801840" y="2470343"/>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Plantio em nível</a:t>
          </a:r>
        </a:p>
      </dsp:txBody>
      <dsp:txXfrm>
        <a:off x="3807584" y="2476087"/>
        <a:ext cx="1554979" cy="184628"/>
      </dsp:txXfrm>
    </dsp:sp>
    <dsp:sp modelId="{D5CCFA66-0FD1-4144-BB7E-8D214F4AF0FC}">
      <dsp:nvSpPr>
        <dsp:cNvPr id="0" name=""/>
        <dsp:cNvSpPr/>
      </dsp:nvSpPr>
      <dsp:spPr>
        <a:xfrm rot="18981822">
          <a:off x="3461417" y="2946690"/>
          <a:ext cx="394983" cy="4273"/>
        </a:xfrm>
        <a:custGeom>
          <a:avLst/>
          <a:gdLst/>
          <a:ahLst/>
          <a:cxnLst/>
          <a:rect l="0" t="0" r="0" b="0"/>
          <a:pathLst>
            <a:path>
              <a:moveTo>
                <a:pt x="0" y="2136"/>
              </a:moveTo>
              <a:lnTo>
                <a:pt x="386845"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44948" y="2948494"/>
        <a:ext cx="0" cy="0"/>
      </dsp:txXfrm>
    </dsp:sp>
    <dsp:sp modelId="{0B34F9CC-3F84-4CEE-9443-20849904CCAB}">
      <dsp:nvSpPr>
        <dsp:cNvPr id="0" name=""/>
        <dsp:cNvSpPr/>
      </dsp:nvSpPr>
      <dsp:spPr>
        <a:xfrm>
          <a:off x="3801840" y="2714484"/>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Pousio ou descanso de solos</a:t>
          </a:r>
        </a:p>
      </dsp:txBody>
      <dsp:txXfrm>
        <a:off x="3807584" y="2720228"/>
        <a:ext cx="1554979" cy="184628"/>
      </dsp:txXfrm>
    </dsp:sp>
    <dsp:sp modelId="{DD158556-FDB0-4FEF-917A-22DFCF6367A1}">
      <dsp:nvSpPr>
        <dsp:cNvPr id="0" name=""/>
        <dsp:cNvSpPr/>
      </dsp:nvSpPr>
      <dsp:spPr>
        <a:xfrm rot="21575910">
          <a:off x="3515974" y="3081950"/>
          <a:ext cx="292463" cy="4273"/>
        </a:xfrm>
        <a:custGeom>
          <a:avLst/>
          <a:gdLst/>
          <a:ahLst/>
          <a:cxnLst/>
          <a:rect l="0" t="0" r="0" b="0"/>
          <a:pathLst>
            <a:path>
              <a:moveTo>
                <a:pt x="0" y="2136"/>
              </a:moveTo>
              <a:lnTo>
                <a:pt x="286438"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54843" y="3076826"/>
        <a:ext cx="0" cy="0"/>
      </dsp:txXfrm>
    </dsp:sp>
    <dsp:sp modelId="{A0A1D0C7-1CC7-4D07-AC43-DF2ECD7E7A4D}">
      <dsp:nvSpPr>
        <dsp:cNvPr id="0" name=""/>
        <dsp:cNvSpPr/>
      </dsp:nvSpPr>
      <dsp:spPr>
        <a:xfrm>
          <a:off x="3808434" y="2958996"/>
          <a:ext cx="1566467" cy="24813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Proteção e/ou conservação de encostas</a:t>
          </a:r>
        </a:p>
      </dsp:txBody>
      <dsp:txXfrm>
        <a:off x="3815702" y="2966264"/>
        <a:ext cx="1551931" cy="233596"/>
      </dsp:txXfrm>
    </dsp:sp>
    <dsp:sp modelId="{D8B17A21-E616-4DDB-BBDC-8324F8F585D7}">
      <dsp:nvSpPr>
        <dsp:cNvPr id="0" name=""/>
        <dsp:cNvSpPr/>
      </dsp:nvSpPr>
      <dsp:spPr>
        <a:xfrm rot="2428034">
          <a:off x="3469997" y="3207721"/>
          <a:ext cx="384418" cy="4273"/>
        </a:xfrm>
        <a:custGeom>
          <a:avLst/>
          <a:gdLst/>
          <a:ahLst/>
          <a:cxnLst/>
          <a:rect l="0" t="0" r="0" b="0"/>
          <a:pathLst>
            <a:path>
              <a:moveTo>
                <a:pt x="0" y="2136"/>
              </a:moveTo>
              <a:lnTo>
                <a:pt x="376498"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61131" y="3196310"/>
        <a:ext cx="0" cy="0"/>
      </dsp:txXfrm>
    </dsp:sp>
    <dsp:sp modelId="{4A694950-E2A0-46CD-83B9-2757EFE9916D}">
      <dsp:nvSpPr>
        <dsp:cNvPr id="0" name=""/>
        <dsp:cNvSpPr/>
      </dsp:nvSpPr>
      <dsp:spPr>
        <a:xfrm>
          <a:off x="3808434" y="3236546"/>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Queimada</a:t>
          </a:r>
        </a:p>
      </dsp:txBody>
      <dsp:txXfrm>
        <a:off x="3814178" y="3242290"/>
        <a:ext cx="1554979" cy="184628"/>
      </dsp:txXfrm>
    </dsp:sp>
    <dsp:sp modelId="{4CA8A06A-628F-486F-BF42-DAB5E7041E51}">
      <dsp:nvSpPr>
        <dsp:cNvPr id="0" name=""/>
        <dsp:cNvSpPr/>
      </dsp:nvSpPr>
      <dsp:spPr>
        <a:xfrm rot="3542190">
          <a:off x="3377987" y="3326691"/>
          <a:ext cx="568437" cy="4273"/>
        </a:xfrm>
        <a:custGeom>
          <a:avLst/>
          <a:gdLst/>
          <a:ahLst/>
          <a:cxnLst/>
          <a:rect l="0" t="0" r="0" b="0"/>
          <a:pathLst>
            <a:path>
              <a:moveTo>
                <a:pt x="0" y="2136"/>
              </a:moveTo>
              <a:lnTo>
                <a:pt x="556726"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67080" y="3309331"/>
        <a:ext cx="0" cy="0"/>
      </dsp:txXfrm>
    </dsp:sp>
    <dsp:sp modelId="{99E0F38B-22BC-4C0F-B4F4-4D46B4C1D9E3}">
      <dsp:nvSpPr>
        <dsp:cNvPr id="0" name=""/>
        <dsp:cNvSpPr/>
      </dsp:nvSpPr>
      <dsp:spPr>
        <a:xfrm>
          <a:off x="3808434" y="3474486"/>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Rotação de culturas</a:t>
          </a:r>
        </a:p>
      </dsp:txBody>
      <dsp:txXfrm>
        <a:off x="3814178" y="3480230"/>
        <a:ext cx="1554979" cy="184628"/>
      </dsp:txXfrm>
    </dsp:sp>
    <dsp:sp modelId="{E6B0E921-D293-4BF9-94CB-76C4245C0E8B}">
      <dsp:nvSpPr>
        <dsp:cNvPr id="0" name=""/>
        <dsp:cNvSpPr/>
      </dsp:nvSpPr>
      <dsp:spPr>
        <a:xfrm rot="20763580">
          <a:off x="2271114" y="4224205"/>
          <a:ext cx="202605" cy="4273"/>
        </a:xfrm>
        <a:custGeom>
          <a:avLst/>
          <a:gdLst/>
          <a:ahLst/>
          <a:cxnLst/>
          <a:rect l="0" t="0" r="0" b="0"/>
          <a:pathLst>
            <a:path>
              <a:moveTo>
                <a:pt x="0" y="2136"/>
              </a:moveTo>
              <a:lnTo>
                <a:pt x="198431"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2366281" y="4222646"/>
        <a:ext cx="0" cy="0"/>
      </dsp:txXfrm>
    </dsp:sp>
    <dsp:sp modelId="{929EA9E7-B578-4B3E-8D00-0225D42DA50D}">
      <dsp:nvSpPr>
        <dsp:cNvPr id="0" name=""/>
        <dsp:cNvSpPr/>
      </dsp:nvSpPr>
      <dsp:spPr>
        <a:xfrm>
          <a:off x="2470736" y="4103879"/>
          <a:ext cx="1045241" cy="196116"/>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Recursos hídricos</a:t>
          </a:r>
        </a:p>
      </dsp:txBody>
      <dsp:txXfrm>
        <a:off x="2476480" y="4109623"/>
        <a:ext cx="1033753" cy="184628"/>
      </dsp:txXfrm>
    </dsp:sp>
    <dsp:sp modelId="{F25D7220-CD59-4FFA-92B9-F0D18F30A8F0}">
      <dsp:nvSpPr>
        <dsp:cNvPr id="0" name=""/>
        <dsp:cNvSpPr/>
      </dsp:nvSpPr>
      <dsp:spPr>
        <a:xfrm rot="19263501">
          <a:off x="3474200" y="4081633"/>
          <a:ext cx="376011" cy="4273"/>
        </a:xfrm>
        <a:custGeom>
          <a:avLst/>
          <a:gdLst/>
          <a:ahLst/>
          <a:cxnLst/>
          <a:rect l="0" t="0" r="0" b="0"/>
          <a:pathLst>
            <a:path>
              <a:moveTo>
                <a:pt x="0" y="2136"/>
              </a:moveTo>
              <a:lnTo>
                <a:pt x="368264"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48986" y="4082367"/>
        <a:ext cx="0" cy="0"/>
      </dsp:txXfrm>
    </dsp:sp>
    <dsp:sp modelId="{E8838CA3-0E28-437C-B3C3-672E0B7FAB13}">
      <dsp:nvSpPr>
        <dsp:cNvPr id="0" name=""/>
        <dsp:cNvSpPr/>
      </dsp:nvSpPr>
      <dsp:spPr>
        <a:xfrm>
          <a:off x="3808434" y="3867545"/>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Poços artesianos</a:t>
          </a:r>
        </a:p>
      </dsp:txBody>
      <dsp:txXfrm>
        <a:off x="3814178" y="3873289"/>
        <a:ext cx="1554979" cy="184628"/>
      </dsp:txXfrm>
    </dsp:sp>
    <dsp:sp modelId="{23518BE6-90BB-43C6-B430-C2F4F1E43DB7}">
      <dsp:nvSpPr>
        <dsp:cNvPr id="0" name=""/>
        <dsp:cNvSpPr/>
      </dsp:nvSpPr>
      <dsp:spPr>
        <a:xfrm rot="21473105">
          <a:off x="3515878" y="4194400"/>
          <a:ext cx="292655" cy="4273"/>
        </a:xfrm>
        <a:custGeom>
          <a:avLst/>
          <a:gdLst/>
          <a:ahLst/>
          <a:cxnLst/>
          <a:rect l="0" t="0" r="0" b="0"/>
          <a:pathLst>
            <a:path>
              <a:moveTo>
                <a:pt x="0" y="2136"/>
              </a:moveTo>
              <a:lnTo>
                <a:pt x="286626"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54624" y="4189495"/>
        <a:ext cx="0" cy="0"/>
      </dsp:txXfrm>
    </dsp:sp>
    <dsp:sp modelId="{2B0E3178-06E4-400D-868A-A750A946E9B0}">
      <dsp:nvSpPr>
        <dsp:cNvPr id="0" name=""/>
        <dsp:cNvSpPr/>
      </dsp:nvSpPr>
      <dsp:spPr>
        <a:xfrm>
          <a:off x="3808434" y="4093078"/>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Poços comuns</a:t>
          </a:r>
        </a:p>
      </dsp:txBody>
      <dsp:txXfrm>
        <a:off x="3814178" y="4098822"/>
        <a:ext cx="1554979" cy="184628"/>
      </dsp:txXfrm>
    </dsp:sp>
    <dsp:sp modelId="{5742B88E-155D-4129-852D-C2292AAFAE6A}">
      <dsp:nvSpPr>
        <dsp:cNvPr id="0" name=""/>
        <dsp:cNvSpPr/>
      </dsp:nvSpPr>
      <dsp:spPr>
        <a:xfrm rot="2177259">
          <a:off x="3480793" y="4307167"/>
          <a:ext cx="362824" cy="4273"/>
        </a:xfrm>
        <a:custGeom>
          <a:avLst/>
          <a:gdLst/>
          <a:ahLst/>
          <a:cxnLst/>
          <a:rect l="0" t="0" r="0" b="0"/>
          <a:pathLst>
            <a:path>
              <a:moveTo>
                <a:pt x="0" y="2136"/>
              </a:moveTo>
              <a:lnTo>
                <a:pt x="355349"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60262" y="4296624"/>
        <a:ext cx="0" cy="0"/>
      </dsp:txXfrm>
    </dsp:sp>
    <dsp:sp modelId="{1DA5D232-807B-48EB-B212-1A5CC8432626}">
      <dsp:nvSpPr>
        <dsp:cNvPr id="0" name=""/>
        <dsp:cNvSpPr/>
      </dsp:nvSpPr>
      <dsp:spPr>
        <a:xfrm>
          <a:off x="3808434" y="4318612"/>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Cisternas</a:t>
          </a:r>
        </a:p>
      </dsp:txBody>
      <dsp:txXfrm>
        <a:off x="3814178" y="4324356"/>
        <a:ext cx="1554979" cy="184628"/>
      </dsp:txXfrm>
    </dsp:sp>
    <dsp:sp modelId="{FAC0DB6A-AD4F-4C26-911C-78404143D7A2}">
      <dsp:nvSpPr>
        <dsp:cNvPr id="0" name=""/>
        <dsp:cNvSpPr/>
      </dsp:nvSpPr>
      <dsp:spPr>
        <a:xfrm rot="4670906">
          <a:off x="1905340" y="4705222"/>
          <a:ext cx="934153" cy="4273"/>
        </a:xfrm>
        <a:custGeom>
          <a:avLst/>
          <a:gdLst/>
          <a:ahLst/>
          <a:cxnLst/>
          <a:rect l="0" t="0" r="0" b="0"/>
          <a:pathLst>
            <a:path>
              <a:moveTo>
                <a:pt x="0" y="2136"/>
              </a:moveTo>
              <a:lnTo>
                <a:pt x="914907"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2390331" y="4679612"/>
        <a:ext cx="0" cy="0"/>
      </dsp:txXfrm>
    </dsp:sp>
    <dsp:sp modelId="{D5133E21-936C-4D7A-ACF8-9BCBFA61A708}">
      <dsp:nvSpPr>
        <dsp:cNvPr id="0" name=""/>
        <dsp:cNvSpPr/>
      </dsp:nvSpPr>
      <dsp:spPr>
        <a:xfrm>
          <a:off x="2470736" y="5065912"/>
          <a:ext cx="1045241" cy="196116"/>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Terras irrigadas</a:t>
          </a:r>
        </a:p>
      </dsp:txBody>
      <dsp:txXfrm>
        <a:off x="2476480" y="5071656"/>
        <a:ext cx="1033753" cy="184628"/>
      </dsp:txXfrm>
    </dsp:sp>
    <dsp:sp modelId="{69EC852C-8810-426D-80CB-A277E975A1AB}">
      <dsp:nvSpPr>
        <dsp:cNvPr id="0" name=""/>
        <dsp:cNvSpPr/>
      </dsp:nvSpPr>
      <dsp:spPr>
        <a:xfrm rot="18530040">
          <a:off x="3433284" y="4989107"/>
          <a:ext cx="443476" cy="4273"/>
        </a:xfrm>
        <a:custGeom>
          <a:avLst/>
          <a:gdLst/>
          <a:ahLst/>
          <a:cxnLst/>
          <a:rect l="0" t="0" r="0" b="0"/>
          <a:pathLst>
            <a:path>
              <a:moveTo>
                <a:pt x="0" y="2136"/>
              </a:moveTo>
              <a:lnTo>
                <a:pt x="434339"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39434" y="4992928"/>
        <a:ext cx="0" cy="0"/>
      </dsp:txXfrm>
    </dsp:sp>
    <dsp:sp modelId="{A9F8C3E4-401F-4385-A450-05F20E7A0055}">
      <dsp:nvSpPr>
        <dsp:cNvPr id="0" name=""/>
        <dsp:cNvSpPr/>
      </dsp:nvSpPr>
      <dsp:spPr>
        <a:xfrm>
          <a:off x="3794066" y="4720459"/>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Gotejamento</a:t>
          </a:r>
        </a:p>
      </dsp:txBody>
      <dsp:txXfrm>
        <a:off x="3799810" y="4726203"/>
        <a:ext cx="1554979" cy="184628"/>
      </dsp:txXfrm>
    </dsp:sp>
    <dsp:sp modelId="{28F36EFA-290F-4C4E-A472-092F8FA01701}">
      <dsp:nvSpPr>
        <dsp:cNvPr id="0" name=""/>
        <dsp:cNvSpPr/>
      </dsp:nvSpPr>
      <dsp:spPr>
        <a:xfrm rot="20200382">
          <a:off x="3503600" y="5101874"/>
          <a:ext cx="302843" cy="4273"/>
        </a:xfrm>
        <a:custGeom>
          <a:avLst/>
          <a:gdLst/>
          <a:ahLst/>
          <a:cxnLst/>
          <a:rect l="0" t="0" r="0" b="0"/>
          <a:pathLst>
            <a:path>
              <a:moveTo>
                <a:pt x="0" y="2136"/>
              </a:moveTo>
              <a:lnTo>
                <a:pt x="296604"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45072" y="5100056"/>
        <a:ext cx="0" cy="0"/>
      </dsp:txXfrm>
    </dsp:sp>
    <dsp:sp modelId="{C8F88A2D-B3A1-42AF-8ADB-2B61FF6A1D0E}">
      <dsp:nvSpPr>
        <dsp:cNvPr id="0" name=""/>
        <dsp:cNvSpPr/>
      </dsp:nvSpPr>
      <dsp:spPr>
        <a:xfrm>
          <a:off x="3794066" y="4945993"/>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Inundação</a:t>
          </a:r>
        </a:p>
      </dsp:txBody>
      <dsp:txXfrm>
        <a:off x="3799810" y="4951737"/>
        <a:ext cx="1554979" cy="184628"/>
      </dsp:txXfrm>
    </dsp:sp>
    <dsp:sp modelId="{18E1F2EA-6A0A-4962-9E62-A4C55C40AEFD}">
      <dsp:nvSpPr>
        <dsp:cNvPr id="0" name=""/>
        <dsp:cNvSpPr/>
      </dsp:nvSpPr>
      <dsp:spPr>
        <a:xfrm rot="1273716">
          <a:off x="3506081" y="5214641"/>
          <a:ext cx="291680" cy="4273"/>
        </a:xfrm>
        <a:custGeom>
          <a:avLst/>
          <a:gdLst/>
          <a:ahLst/>
          <a:cxnLst/>
          <a:rect l="0" t="0" r="0" b="0"/>
          <a:pathLst>
            <a:path>
              <a:moveTo>
                <a:pt x="0" y="2136"/>
              </a:moveTo>
              <a:lnTo>
                <a:pt x="285671"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47764" y="5207339"/>
        <a:ext cx="0" cy="0"/>
      </dsp:txXfrm>
    </dsp:sp>
    <dsp:sp modelId="{C988AC0F-C3D4-46A1-8A29-C45AF1103A9B}">
      <dsp:nvSpPr>
        <dsp:cNvPr id="0" name=""/>
        <dsp:cNvSpPr/>
      </dsp:nvSpPr>
      <dsp:spPr>
        <a:xfrm>
          <a:off x="3787865" y="5171526"/>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Pivô central</a:t>
          </a:r>
        </a:p>
      </dsp:txBody>
      <dsp:txXfrm>
        <a:off x="3793609" y="5177270"/>
        <a:ext cx="1554979" cy="184628"/>
      </dsp:txXfrm>
    </dsp:sp>
    <dsp:sp modelId="{5BF541E8-7014-4343-A3D4-76E2345D434B}">
      <dsp:nvSpPr>
        <dsp:cNvPr id="0" name=""/>
        <dsp:cNvSpPr/>
      </dsp:nvSpPr>
      <dsp:spPr>
        <a:xfrm rot="3036747">
          <a:off x="3437689" y="5327407"/>
          <a:ext cx="428465" cy="4273"/>
        </a:xfrm>
        <a:custGeom>
          <a:avLst/>
          <a:gdLst/>
          <a:ahLst/>
          <a:cxnLst/>
          <a:rect l="0" t="0" r="0" b="0"/>
          <a:pathLst>
            <a:path>
              <a:moveTo>
                <a:pt x="0" y="2136"/>
              </a:moveTo>
              <a:lnTo>
                <a:pt x="419637"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53403" y="5314469"/>
        <a:ext cx="0" cy="0"/>
      </dsp:txXfrm>
    </dsp:sp>
    <dsp:sp modelId="{F165A8A3-647B-4896-9852-57C56AEE2C92}">
      <dsp:nvSpPr>
        <dsp:cNvPr id="0" name=""/>
        <dsp:cNvSpPr/>
      </dsp:nvSpPr>
      <dsp:spPr>
        <a:xfrm>
          <a:off x="3787865" y="5397060"/>
          <a:ext cx="1566467" cy="19611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Sulcos</a:t>
          </a:r>
        </a:p>
      </dsp:txBody>
      <dsp:txXfrm>
        <a:off x="3793609" y="5402804"/>
        <a:ext cx="1554979" cy="184628"/>
      </dsp:txXfrm>
    </dsp:sp>
    <dsp:sp modelId="{D1394A50-2CEA-4438-A015-8E61CF5C9789}">
      <dsp:nvSpPr>
        <dsp:cNvPr id="0" name=""/>
        <dsp:cNvSpPr/>
      </dsp:nvSpPr>
      <dsp:spPr>
        <a:xfrm rot="5136050">
          <a:off x="1090629" y="5526621"/>
          <a:ext cx="2563574" cy="4273"/>
        </a:xfrm>
        <a:custGeom>
          <a:avLst/>
          <a:gdLst/>
          <a:ahLst/>
          <a:cxnLst/>
          <a:rect l="0" t="0" r="0" b="0"/>
          <a:pathLst>
            <a:path>
              <a:moveTo>
                <a:pt x="0" y="2136"/>
              </a:moveTo>
              <a:lnTo>
                <a:pt x="2510757" y="213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2431400" y="5459941"/>
        <a:ext cx="0" cy="0"/>
      </dsp:txXfrm>
    </dsp:sp>
    <dsp:sp modelId="{AC366CB4-C73A-4FD6-B436-3381599E034E}">
      <dsp:nvSpPr>
        <dsp:cNvPr id="0" name=""/>
        <dsp:cNvSpPr/>
      </dsp:nvSpPr>
      <dsp:spPr>
        <a:xfrm>
          <a:off x="2470736" y="6708710"/>
          <a:ext cx="1045241" cy="196116"/>
        </a:xfrm>
        <a:prstGeom prst="roundRect">
          <a:avLst>
            <a:gd name="adj" fmla="val 10000"/>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Utilização das terras</a:t>
          </a:r>
        </a:p>
      </dsp:txBody>
      <dsp:txXfrm>
        <a:off x="2476480" y="6714454"/>
        <a:ext cx="1033753" cy="184628"/>
      </dsp:txXfrm>
    </dsp:sp>
    <dsp:sp modelId="{97684C04-7B81-4A47-988A-FA763F4F1157}">
      <dsp:nvSpPr>
        <dsp:cNvPr id="0" name=""/>
        <dsp:cNvSpPr/>
      </dsp:nvSpPr>
      <dsp:spPr>
        <a:xfrm rot="17764400">
          <a:off x="3338367" y="6519991"/>
          <a:ext cx="633780" cy="4273"/>
        </a:xfrm>
        <a:custGeom>
          <a:avLst/>
          <a:gdLst/>
          <a:ahLst/>
          <a:cxnLst/>
          <a:rect l="0" t="0" r="0" b="0"/>
          <a:pathLst>
            <a:path>
              <a:moveTo>
                <a:pt x="0" y="2136"/>
              </a:moveTo>
              <a:lnTo>
                <a:pt x="620722"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34061" y="6529396"/>
        <a:ext cx="0" cy="0"/>
      </dsp:txXfrm>
    </dsp:sp>
    <dsp:sp modelId="{5B909987-0CAE-4248-8499-40F112658A62}">
      <dsp:nvSpPr>
        <dsp:cNvPr id="0" name=""/>
        <dsp:cNvSpPr/>
      </dsp:nvSpPr>
      <dsp:spPr>
        <a:xfrm>
          <a:off x="3794537" y="6016943"/>
          <a:ext cx="1566467" cy="441087"/>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Construções; Benfeitorias e Caminhos; Florestas plantadas com essências florestais</a:t>
          </a:r>
        </a:p>
      </dsp:txBody>
      <dsp:txXfrm>
        <a:off x="3807456" y="6029862"/>
        <a:ext cx="1540629" cy="415249"/>
      </dsp:txXfrm>
    </dsp:sp>
    <dsp:sp modelId="{7A74DB35-7E93-4651-8DDF-FFAC0E2EDF8F}">
      <dsp:nvSpPr>
        <dsp:cNvPr id="0" name=""/>
        <dsp:cNvSpPr/>
      </dsp:nvSpPr>
      <dsp:spPr>
        <a:xfrm rot="19890633">
          <a:off x="3496787" y="6729042"/>
          <a:ext cx="316939" cy="4273"/>
        </a:xfrm>
        <a:custGeom>
          <a:avLst/>
          <a:gdLst/>
          <a:ahLst/>
          <a:cxnLst/>
          <a:rect l="0" t="0" r="0" b="0"/>
          <a:pathLst>
            <a:path>
              <a:moveTo>
                <a:pt x="0" y="2136"/>
              </a:moveTo>
              <a:lnTo>
                <a:pt x="310409"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44514" y="6727994"/>
        <a:ext cx="0" cy="0"/>
      </dsp:txXfrm>
    </dsp:sp>
    <dsp:sp modelId="{2213F8BC-7F5A-4AD9-B854-12EB52822A97}">
      <dsp:nvSpPr>
        <dsp:cNvPr id="0" name=""/>
        <dsp:cNvSpPr/>
      </dsp:nvSpPr>
      <dsp:spPr>
        <a:xfrm>
          <a:off x="3794537" y="6505683"/>
          <a:ext cx="1566467" cy="2998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Forrageiras para corte; Lavoura permanente; Lavoura temporária</a:t>
          </a:r>
        </a:p>
      </dsp:txBody>
      <dsp:txXfrm>
        <a:off x="3803318" y="6514464"/>
        <a:ext cx="1548905" cy="282250"/>
      </dsp:txXfrm>
    </dsp:sp>
    <dsp:sp modelId="{E1A11DDD-18FA-4004-9BE8-9BCF35273861}">
      <dsp:nvSpPr>
        <dsp:cNvPr id="0" name=""/>
        <dsp:cNvSpPr/>
      </dsp:nvSpPr>
      <dsp:spPr>
        <a:xfrm rot="2487334">
          <a:off x="3470642" y="6924433"/>
          <a:ext cx="361915" cy="4273"/>
        </a:xfrm>
        <a:custGeom>
          <a:avLst/>
          <a:gdLst/>
          <a:ahLst/>
          <a:cxnLst/>
          <a:rect l="0" t="0" r="0" b="0"/>
          <a:pathLst>
            <a:path>
              <a:moveTo>
                <a:pt x="0" y="2136"/>
              </a:moveTo>
              <a:lnTo>
                <a:pt x="354459"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50808" y="6913799"/>
        <a:ext cx="0" cy="0"/>
      </dsp:txXfrm>
    </dsp:sp>
    <dsp:sp modelId="{9F3D3E81-3B7A-4E8A-84BB-D0B7850AD6A1}">
      <dsp:nvSpPr>
        <dsp:cNvPr id="0" name=""/>
        <dsp:cNvSpPr/>
      </dsp:nvSpPr>
      <dsp:spPr>
        <a:xfrm>
          <a:off x="3787222" y="6859724"/>
          <a:ext cx="1566467" cy="373293"/>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Mata e florestas naturais; Pastagem natural; Pastagem plantada</a:t>
          </a:r>
        </a:p>
      </dsp:txBody>
      <dsp:txXfrm>
        <a:off x="3798155" y="6870657"/>
        <a:ext cx="1544601" cy="351427"/>
      </dsp:txXfrm>
    </dsp:sp>
    <dsp:sp modelId="{49A498FD-9DD6-4B9C-9E4B-1756813E2104}">
      <dsp:nvSpPr>
        <dsp:cNvPr id="0" name=""/>
        <dsp:cNvSpPr/>
      </dsp:nvSpPr>
      <dsp:spPr>
        <a:xfrm rot="3975387">
          <a:off x="3309344" y="7121266"/>
          <a:ext cx="691827" cy="4273"/>
        </a:xfrm>
        <a:custGeom>
          <a:avLst/>
          <a:gdLst/>
          <a:ahLst/>
          <a:cxnLst/>
          <a:rect l="0" t="0" r="0" b="0"/>
          <a:pathLst>
            <a:path>
              <a:moveTo>
                <a:pt x="0" y="2136"/>
              </a:moveTo>
              <a:lnTo>
                <a:pt x="677573" y="213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panose="020F0502020204030204"/>
            <a:ea typeface="+mn-ea"/>
            <a:cs typeface="+mn-cs"/>
          </a:endParaRPr>
        </a:p>
      </dsp:txBody>
      <dsp:txXfrm>
        <a:off x="3664125" y="7100607"/>
        <a:ext cx="0" cy="0"/>
      </dsp:txXfrm>
    </dsp:sp>
    <dsp:sp modelId="{F0D336BE-8CE4-4853-BD3A-76712949F15A}">
      <dsp:nvSpPr>
        <dsp:cNvPr id="0" name=""/>
        <dsp:cNvSpPr/>
      </dsp:nvSpPr>
      <dsp:spPr>
        <a:xfrm>
          <a:off x="3794537" y="7290131"/>
          <a:ext cx="1566467" cy="29981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Text" lastClr="000000"/>
              </a:solidFill>
              <a:latin typeface="Calibri" panose="020F0502020204030204"/>
              <a:ea typeface="+mn-ea"/>
              <a:cs typeface="+mn-cs"/>
            </a:rPr>
            <a:t>Terras degradadas; Terras inaproveitáveis</a:t>
          </a:r>
        </a:p>
      </dsp:txBody>
      <dsp:txXfrm>
        <a:off x="3803318" y="7298912"/>
        <a:ext cx="1548905" cy="282250"/>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1504F-E6C4-4E3B-8B17-E3887DE7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51933</Words>
  <Characters>280443</Characters>
  <Application>Microsoft Office Word</Application>
  <DocSecurity>0</DocSecurity>
  <Lines>2337</Lines>
  <Paragraphs>663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2023-10-01T13:32:00Z</dcterms:created>
  <dcterms:modified xsi:type="dcterms:W3CDTF">2023-10-06T20:17:00Z</dcterms:modified>
</cp:coreProperties>
</file>